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498" w:type="dxa"/>
        <w:tblLayout w:type="fixed"/>
        <w:tblLook w:val="0000" w:firstRow="0" w:lastRow="0" w:firstColumn="0" w:lastColumn="0" w:noHBand="0" w:noVBand="0"/>
      </w:tblPr>
      <w:tblGrid>
        <w:gridCol w:w="5954"/>
        <w:gridCol w:w="3544"/>
      </w:tblGrid>
      <w:tr w:rsidR="00DB0C6F" w:rsidRPr="001E764F" w14:paraId="76CD03CB" w14:textId="77777777" w:rsidTr="00335355">
        <w:tc>
          <w:tcPr>
            <w:tcW w:w="5954" w:type="dxa"/>
          </w:tcPr>
          <w:p w14:paraId="78EDD507" w14:textId="77777777" w:rsidR="00DB0C6F" w:rsidRPr="001E764F" w:rsidRDefault="00DB0C6F" w:rsidP="00335355">
            <w:pPr>
              <w:rPr>
                <w:rFonts w:ascii="Arial" w:hAnsi="Arial" w:cs="Arial"/>
                <w:b/>
                <w:sz w:val="32"/>
                <w:szCs w:val="32"/>
              </w:rPr>
            </w:pPr>
            <w:r>
              <w:rPr>
                <w:rFonts w:ascii="Arial" w:hAnsi="Arial" w:cs="Arial"/>
                <w:b/>
                <w:sz w:val="32"/>
                <w:szCs w:val="32"/>
              </w:rPr>
              <w:t>Ontario Land</w:t>
            </w:r>
            <w:r w:rsidRPr="00A7018C">
              <w:rPr>
                <w:rFonts w:ascii="Arial" w:hAnsi="Arial" w:cs="Arial"/>
                <w:b/>
                <w:sz w:val="32"/>
                <w:szCs w:val="32"/>
              </w:rPr>
              <w:t xml:space="preserve"> Tribunal</w:t>
            </w:r>
          </w:p>
        </w:tc>
        <w:tc>
          <w:tcPr>
            <w:tcW w:w="3544" w:type="dxa"/>
            <w:vMerge/>
          </w:tcPr>
          <w:p w14:paraId="57125ED5" w14:textId="4E10F45F" w:rsidR="00DB0C6F" w:rsidRPr="001E764F" w:rsidRDefault="00DB0C6F" w:rsidP="00335355">
            <w:pPr>
              <w:rPr>
                <w:rFonts w:ascii="Arial" w:hAnsi="Arial" w:cs="Arial"/>
                <w:b/>
                <w:sz w:val="32"/>
                <w:szCs w:val="32"/>
              </w:rPr>
            </w:pPr>
            <w:r>
              <w:rPr>
                <w:noProof/>
                <w:lang w:val="en-CA" w:eastAsia="en-CA"/>
              </w:rPr>
              <w:drawing>
                <wp:anchor distT="0" distB="0" distL="114300" distR="114300" simplePos="0" relativeHeight="251659264" behindDoc="0" locked="0" layoutInCell="1" allowOverlap="1" wp14:anchorId="7B7BC7FC" wp14:editId="250EA6BA">
                  <wp:simplePos x="0" y="0"/>
                  <wp:positionH relativeFrom="column">
                    <wp:posOffset>852060</wp:posOffset>
                  </wp:positionH>
                  <wp:positionV relativeFrom="paragraph">
                    <wp:posOffset>-72196</wp:posOffset>
                  </wp:positionV>
                  <wp:extent cx="1188720" cy="1188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B0C6F" w:rsidRPr="00F452AD" w14:paraId="58E641FC" w14:textId="77777777" w:rsidTr="00335355">
        <w:tc>
          <w:tcPr>
            <w:tcW w:w="5954" w:type="dxa"/>
          </w:tcPr>
          <w:p w14:paraId="32176A99" w14:textId="77777777" w:rsidR="00DB0C6F" w:rsidRDefault="00DB0C6F" w:rsidP="00335355">
            <w:pPr>
              <w:rPr>
                <w:rFonts w:ascii="Arial" w:hAnsi="Arial" w:cs="Arial"/>
                <w:sz w:val="32"/>
                <w:szCs w:val="32"/>
                <w:lang w:val="fr-CA"/>
              </w:rPr>
            </w:pPr>
            <w:r>
              <w:rPr>
                <w:rFonts w:ascii="Arial" w:hAnsi="Arial" w:cs="Arial"/>
                <w:sz w:val="32"/>
                <w:szCs w:val="32"/>
                <w:lang w:val="fr-CA"/>
              </w:rPr>
              <w:t xml:space="preserve">Tribunal </w:t>
            </w:r>
            <w:r w:rsidRPr="005A0C27">
              <w:rPr>
                <w:rFonts w:ascii="Arial" w:hAnsi="Arial" w:cs="Arial"/>
                <w:sz w:val="32"/>
                <w:szCs w:val="32"/>
                <w:lang w:val="fr-CA"/>
              </w:rPr>
              <w:t xml:space="preserve">ontarien </w:t>
            </w:r>
            <w:r w:rsidRPr="003C7820">
              <w:rPr>
                <w:rFonts w:ascii="Arial" w:hAnsi="Arial" w:cs="Arial"/>
                <w:sz w:val="32"/>
                <w:szCs w:val="32"/>
                <w:lang w:val="fr-CA"/>
              </w:rPr>
              <w:t xml:space="preserve">de l’aménagement </w:t>
            </w:r>
          </w:p>
          <w:p w14:paraId="47614021" w14:textId="77777777" w:rsidR="00DB0C6F" w:rsidRPr="003C7820" w:rsidRDefault="00DB0C6F" w:rsidP="00335355">
            <w:pPr>
              <w:rPr>
                <w:rFonts w:ascii="Arial" w:hAnsi="Arial" w:cs="Arial"/>
                <w:sz w:val="32"/>
                <w:szCs w:val="32"/>
                <w:lang w:val="fr-CA"/>
              </w:rPr>
            </w:pPr>
            <w:proofErr w:type="gramStart"/>
            <w:r w:rsidRPr="00E9577B">
              <w:rPr>
                <w:rFonts w:ascii="Arial" w:hAnsi="Arial" w:cs="Arial"/>
                <w:sz w:val="32"/>
                <w:szCs w:val="32"/>
                <w:lang w:val="fr-CA"/>
              </w:rPr>
              <w:t>du</w:t>
            </w:r>
            <w:proofErr w:type="gramEnd"/>
            <w:r w:rsidRPr="00E9577B">
              <w:rPr>
                <w:rFonts w:ascii="Arial" w:hAnsi="Arial" w:cs="Arial"/>
                <w:sz w:val="32"/>
                <w:szCs w:val="32"/>
                <w:lang w:val="fr-CA"/>
              </w:rPr>
              <w:t xml:space="preserve"> territoire</w:t>
            </w:r>
          </w:p>
          <w:p w14:paraId="78E615F1" w14:textId="77777777" w:rsidR="00DB0C6F" w:rsidRPr="001E764F" w:rsidRDefault="00DB0C6F" w:rsidP="00335355">
            <w:pPr>
              <w:rPr>
                <w:rFonts w:ascii="Arial" w:hAnsi="Arial" w:cs="Arial"/>
                <w:sz w:val="32"/>
                <w:szCs w:val="32"/>
                <w:lang w:val="fr-CA"/>
              </w:rPr>
            </w:pPr>
          </w:p>
          <w:p w14:paraId="2DE4A43B" w14:textId="77777777" w:rsidR="00DB0C6F" w:rsidRPr="001E764F" w:rsidRDefault="00DB0C6F" w:rsidP="00335355">
            <w:pPr>
              <w:rPr>
                <w:rFonts w:ascii="Arial" w:hAnsi="Arial" w:cs="Arial"/>
                <w:sz w:val="32"/>
                <w:szCs w:val="32"/>
                <w:lang w:val="fr-CA"/>
              </w:rPr>
            </w:pPr>
          </w:p>
        </w:tc>
        <w:tc>
          <w:tcPr>
            <w:tcW w:w="3544" w:type="dxa"/>
            <w:vMerge/>
          </w:tcPr>
          <w:p w14:paraId="377D31A4" w14:textId="77777777" w:rsidR="00DB0C6F" w:rsidRPr="001E764F" w:rsidRDefault="00DB0C6F" w:rsidP="00335355">
            <w:pPr>
              <w:rPr>
                <w:rFonts w:ascii="Arial" w:hAnsi="Arial" w:cs="Arial"/>
                <w:sz w:val="32"/>
                <w:szCs w:val="32"/>
                <w:lang w:val="fr-CA"/>
              </w:rPr>
            </w:pPr>
          </w:p>
        </w:tc>
      </w:tr>
    </w:tbl>
    <w:p w14:paraId="147E3F7C" w14:textId="77777777" w:rsidR="00DB0C6F" w:rsidRPr="0006526A" w:rsidRDefault="00DB0C6F" w:rsidP="00DB0C6F">
      <w:pPr>
        <w:rPr>
          <w:rFonts w:ascii="Arial" w:hAnsi="Arial" w:cs="Arial"/>
          <w:lang w:val="fr-CA"/>
        </w:rPr>
      </w:pPr>
      <w:bookmarkStart w:id="0" w:name="Appearances"/>
    </w:p>
    <w:tbl>
      <w:tblPr>
        <w:tblpPr w:leftFromText="181" w:rightFromText="181" w:vertAnchor="text" w:horzAnchor="margin" w:tblpY="189"/>
        <w:tblW w:w="9450" w:type="dxa"/>
        <w:tblLook w:val="04A0" w:firstRow="1" w:lastRow="0" w:firstColumn="1" w:lastColumn="0" w:noHBand="0" w:noVBand="1"/>
      </w:tblPr>
      <w:tblGrid>
        <w:gridCol w:w="1818"/>
        <w:gridCol w:w="3582"/>
        <w:gridCol w:w="2070"/>
        <w:gridCol w:w="1980"/>
      </w:tblGrid>
      <w:tr w:rsidR="00DB0C6F" w:rsidRPr="001E764F" w14:paraId="168C7C5F" w14:textId="77777777" w:rsidTr="00E44686">
        <w:trPr>
          <w:trHeight w:val="260"/>
        </w:trPr>
        <w:tc>
          <w:tcPr>
            <w:tcW w:w="1818" w:type="dxa"/>
            <w:shd w:val="clear" w:color="auto" w:fill="auto"/>
            <w:vAlign w:val="center"/>
          </w:tcPr>
          <w:p w14:paraId="4A5630D8" w14:textId="77777777" w:rsidR="00DB0C6F" w:rsidRPr="001D67CE" w:rsidRDefault="00DB0C6F" w:rsidP="00335355">
            <w:pPr>
              <w:rPr>
                <w:rFonts w:ascii="Arial" w:hAnsi="Arial" w:cs="Arial"/>
              </w:rPr>
            </w:pPr>
            <w:r w:rsidRPr="001E764F">
              <w:rPr>
                <w:rFonts w:ascii="Arial" w:hAnsi="Arial" w:cs="Arial"/>
                <w:b/>
              </w:rPr>
              <w:t>ISSUE DATE:</w:t>
            </w:r>
          </w:p>
        </w:tc>
        <w:tc>
          <w:tcPr>
            <w:tcW w:w="3582" w:type="dxa"/>
            <w:shd w:val="clear" w:color="auto" w:fill="auto"/>
            <w:vAlign w:val="center"/>
          </w:tcPr>
          <w:p w14:paraId="679C9C2B" w14:textId="4E960A64" w:rsidR="00DB0C6F" w:rsidRPr="001D67CE" w:rsidRDefault="002D4671" w:rsidP="00335355">
            <w:pPr>
              <w:rPr>
                <w:rFonts w:ascii="Arial" w:hAnsi="Arial" w:cs="Arial"/>
              </w:rPr>
            </w:pPr>
            <w:r>
              <w:rPr>
                <w:rFonts w:ascii="Arial" w:hAnsi="Arial" w:cs="Arial"/>
              </w:rPr>
              <w:t>February 29, 2024</w:t>
            </w:r>
          </w:p>
        </w:tc>
        <w:tc>
          <w:tcPr>
            <w:tcW w:w="2070" w:type="dxa"/>
            <w:shd w:val="clear" w:color="auto" w:fill="auto"/>
            <w:vAlign w:val="center"/>
          </w:tcPr>
          <w:p w14:paraId="7E200552" w14:textId="77777777" w:rsidR="00DB0C6F" w:rsidRPr="001D67CE" w:rsidRDefault="00DB0C6F" w:rsidP="00335355">
            <w:pPr>
              <w:rPr>
                <w:rFonts w:ascii="Arial" w:hAnsi="Arial" w:cs="Arial"/>
              </w:rPr>
            </w:pPr>
            <w:r w:rsidRPr="001E764F">
              <w:rPr>
                <w:rFonts w:ascii="Arial" w:hAnsi="Arial" w:cs="Arial"/>
                <w:b/>
              </w:rPr>
              <w:fldChar w:fldCharType="begin"/>
            </w:r>
            <w:r w:rsidRPr="001E764F">
              <w:rPr>
                <w:rFonts w:ascii="Arial" w:hAnsi="Arial" w:cs="Arial"/>
                <w:b/>
              </w:rPr>
              <w:instrText xml:space="preserve"> SEQ CHAPTER \h \r 1</w:instrText>
            </w:r>
            <w:r w:rsidRPr="001E764F">
              <w:rPr>
                <w:rFonts w:ascii="Arial" w:hAnsi="Arial" w:cs="Arial"/>
                <w:b/>
              </w:rPr>
              <w:fldChar w:fldCharType="end"/>
            </w:r>
            <w:r w:rsidRPr="001E764F">
              <w:rPr>
                <w:rFonts w:ascii="Arial" w:hAnsi="Arial" w:cs="Arial"/>
                <w:b/>
              </w:rPr>
              <w:t>CASE NO(S).:</w:t>
            </w:r>
          </w:p>
        </w:tc>
        <w:tc>
          <w:tcPr>
            <w:tcW w:w="1980" w:type="dxa"/>
            <w:shd w:val="clear" w:color="auto" w:fill="auto"/>
            <w:vAlign w:val="center"/>
          </w:tcPr>
          <w:p w14:paraId="2D79039D" w14:textId="3B53F566" w:rsidR="00DB0C6F" w:rsidRPr="00407748" w:rsidRDefault="00D646CC" w:rsidP="00D646CC">
            <w:pPr>
              <w:ind w:right="-391"/>
              <w:rPr>
                <w:rFonts w:ascii="Arial" w:hAnsi="Arial" w:cs="Arial"/>
              </w:rPr>
            </w:pPr>
            <w:r>
              <w:rPr>
                <w:rFonts w:ascii="Arial" w:hAnsi="Arial" w:cs="Arial"/>
              </w:rPr>
              <w:t>OLT-23-00</w:t>
            </w:r>
            <w:r w:rsidR="0058758F">
              <w:rPr>
                <w:rFonts w:ascii="Arial" w:hAnsi="Arial" w:cs="Arial"/>
              </w:rPr>
              <w:t>0</w:t>
            </w:r>
            <w:r w:rsidR="0014623D">
              <w:rPr>
                <w:rFonts w:ascii="Arial" w:hAnsi="Arial" w:cs="Arial"/>
              </w:rPr>
              <w:t>596</w:t>
            </w:r>
          </w:p>
        </w:tc>
      </w:tr>
    </w:tbl>
    <w:p w14:paraId="686E4832" w14:textId="77777777" w:rsidR="00C01EF9" w:rsidRDefault="00C01EF9" w:rsidP="00DB0C6F">
      <w:pPr>
        <w:rPr>
          <w:rFonts w:ascii="Arial" w:hAnsi="Arial" w:cs="Arial"/>
          <w:highlight w:val="yellow"/>
        </w:rPr>
      </w:pPr>
    </w:p>
    <w:tbl>
      <w:tblPr>
        <w:tblW w:w="9450" w:type="dxa"/>
        <w:tblLook w:val="04A0" w:firstRow="1" w:lastRow="0" w:firstColumn="1" w:lastColumn="0" w:noHBand="0" w:noVBand="1"/>
      </w:tblPr>
      <w:tblGrid>
        <w:gridCol w:w="3690"/>
        <w:gridCol w:w="5760"/>
      </w:tblGrid>
      <w:tr w:rsidR="00C01EF9" w:rsidRPr="009D0238" w14:paraId="0AD1DF1E" w14:textId="77777777" w:rsidTr="00C01EF9">
        <w:trPr>
          <w:cantSplit/>
          <w:trHeight w:val="314"/>
        </w:trPr>
        <w:tc>
          <w:tcPr>
            <w:tcW w:w="9450" w:type="dxa"/>
            <w:gridSpan w:val="2"/>
          </w:tcPr>
          <w:p w14:paraId="2A6549ED" w14:textId="77777777" w:rsidR="00C01EF9" w:rsidRPr="00C01EF9" w:rsidRDefault="00C01EF9" w:rsidP="00323DB8">
            <w:pPr>
              <w:rPr>
                <w:rFonts w:ascii="Arial" w:hAnsi="Arial" w:cs="Arial"/>
                <w:b/>
              </w:rPr>
            </w:pPr>
            <w:r w:rsidRPr="009D0238">
              <w:rPr>
                <w:rFonts w:ascii="Arial" w:hAnsi="Arial" w:cs="Arial"/>
                <w:b/>
              </w:rPr>
              <w:t xml:space="preserve">PROCEEDING COMMENCED UNDER </w:t>
            </w:r>
            <w:r w:rsidRPr="00C01EF9">
              <w:rPr>
                <w:rFonts w:ascii="Arial" w:hAnsi="Arial" w:cs="Arial"/>
                <w:b/>
              </w:rPr>
              <w:t>subsection 34(11) of the Planning Act, R.S.O. 1990, c. P.13, as amended</w:t>
            </w:r>
          </w:p>
        </w:tc>
      </w:tr>
      <w:tr w:rsidR="00C01EF9" w:rsidRPr="009D0238" w14:paraId="292E2FF3" w14:textId="77777777" w:rsidTr="00E6771F">
        <w:tc>
          <w:tcPr>
            <w:tcW w:w="3690" w:type="dxa"/>
            <w:hideMark/>
          </w:tcPr>
          <w:p w14:paraId="30694975" w14:textId="77777777" w:rsidR="00C01EF9" w:rsidRPr="009D0238" w:rsidRDefault="00C01EF9" w:rsidP="00323DB8">
            <w:pPr>
              <w:rPr>
                <w:rFonts w:ascii="Arial" w:hAnsi="Arial" w:cs="Arial"/>
              </w:rPr>
            </w:pPr>
            <w:r w:rsidRPr="009D0238">
              <w:rPr>
                <w:rFonts w:ascii="Arial" w:hAnsi="Arial" w:cs="Arial"/>
              </w:rPr>
              <w:t>Applican</w:t>
            </w:r>
            <w:r>
              <w:rPr>
                <w:rFonts w:ascii="Arial" w:hAnsi="Arial" w:cs="Arial"/>
              </w:rPr>
              <w:t xml:space="preserve">t and </w:t>
            </w:r>
            <w:r w:rsidRPr="009D0238">
              <w:rPr>
                <w:rFonts w:ascii="Arial" w:hAnsi="Arial" w:cs="Arial"/>
              </w:rPr>
              <w:t>Appellant:</w:t>
            </w:r>
          </w:p>
        </w:tc>
        <w:tc>
          <w:tcPr>
            <w:tcW w:w="5760" w:type="dxa"/>
          </w:tcPr>
          <w:p w14:paraId="5233D2E3" w14:textId="77777777" w:rsidR="00C01EF9" w:rsidRPr="009D0238" w:rsidRDefault="00C01EF9" w:rsidP="00323DB8">
            <w:pPr>
              <w:rPr>
                <w:rFonts w:ascii="Arial" w:hAnsi="Arial" w:cs="Arial"/>
              </w:rPr>
            </w:pPr>
            <w:r>
              <w:rPr>
                <w:rFonts w:ascii="Arial" w:hAnsi="Arial" w:cs="Arial"/>
              </w:rPr>
              <w:t>Queenscorp (Royal York) Inc.</w:t>
            </w:r>
          </w:p>
        </w:tc>
      </w:tr>
      <w:tr w:rsidR="00C01EF9" w:rsidRPr="009D0238" w14:paraId="6442E9E1" w14:textId="77777777" w:rsidTr="00E6771F">
        <w:tc>
          <w:tcPr>
            <w:tcW w:w="3690" w:type="dxa"/>
            <w:hideMark/>
          </w:tcPr>
          <w:p w14:paraId="6BF23CD0" w14:textId="77777777" w:rsidR="00C01EF9" w:rsidRPr="009D0238" w:rsidRDefault="00C01EF9" w:rsidP="00323DB8">
            <w:pPr>
              <w:rPr>
                <w:rFonts w:ascii="Arial" w:hAnsi="Arial" w:cs="Arial"/>
              </w:rPr>
            </w:pPr>
            <w:r w:rsidRPr="009D0238">
              <w:rPr>
                <w:rFonts w:ascii="Arial" w:hAnsi="Arial" w:cs="Arial"/>
              </w:rPr>
              <w:t>Subject:</w:t>
            </w:r>
          </w:p>
        </w:tc>
        <w:tc>
          <w:tcPr>
            <w:tcW w:w="5760" w:type="dxa"/>
            <w:hideMark/>
          </w:tcPr>
          <w:p w14:paraId="4713F8F7" w14:textId="77777777" w:rsidR="00C01EF9" w:rsidRPr="009D0238" w:rsidRDefault="00C01EF9" w:rsidP="00323DB8">
            <w:pPr>
              <w:rPr>
                <w:rFonts w:ascii="Arial" w:hAnsi="Arial" w:cs="Arial"/>
              </w:rPr>
            </w:pPr>
            <w:r w:rsidRPr="00781DAE">
              <w:rPr>
                <w:rFonts w:ascii="Arial" w:hAnsi="Arial" w:cs="Arial"/>
              </w:rPr>
              <w:t>Application to amend the Zoning By-law – Refusal or neglect to make a decision</w:t>
            </w:r>
          </w:p>
        </w:tc>
      </w:tr>
      <w:tr w:rsidR="00C01EF9" w:rsidRPr="009D0238" w14:paraId="582B37E5" w14:textId="77777777" w:rsidTr="00E6771F">
        <w:tc>
          <w:tcPr>
            <w:tcW w:w="3690" w:type="dxa"/>
            <w:hideMark/>
          </w:tcPr>
          <w:p w14:paraId="761347E2" w14:textId="77777777" w:rsidR="00C01EF9" w:rsidRPr="009D0238" w:rsidRDefault="00C01EF9" w:rsidP="00323DB8">
            <w:pPr>
              <w:rPr>
                <w:rFonts w:ascii="Arial" w:hAnsi="Arial" w:cs="Arial"/>
              </w:rPr>
            </w:pPr>
            <w:r>
              <w:rPr>
                <w:rFonts w:ascii="Arial" w:hAnsi="Arial" w:cs="Arial"/>
              </w:rPr>
              <w:t>Description</w:t>
            </w:r>
            <w:r w:rsidRPr="009D0238">
              <w:rPr>
                <w:rFonts w:ascii="Arial" w:hAnsi="Arial" w:cs="Arial"/>
              </w:rPr>
              <w:t xml:space="preserve">: </w:t>
            </w:r>
          </w:p>
        </w:tc>
        <w:tc>
          <w:tcPr>
            <w:tcW w:w="5760" w:type="dxa"/>
            <w:hideMark/>
          </w:tcPr>
          <w:p w14:paraId="5CB99F90" w14:textId="77777777" w:rsidR="00C01EF9" w:rsidRPr="009D0238" w:rsidRDefault="00C01EF9" w:rsidP="00323DB8">
            <w:pPr>
              <w:rPr>
                <w:rFonts w:ascii="Arial" w:hAnsi="Arial" w:cs="Arial"/>
              </w:rPr>
            </w:pPr>
            <w:r w:rsidRPr="009D0238">
              <w:rPr>
                <w:rFonts w:ascii="Arial" w:hAnsi="Arial" w:cs="Arial"/>
              </w:rPr>
              <w:t>To permit</w:t>
            </w:r>
            <w:r>
              <w:rPr>
                <w:rFonts w:ascii="Arial" w:hAnsi="Arial" w:cs="Arial"/>
              </w:rPr>
              <w:t xml:space="preserve"> a 967-unit mixed use development</w:t>
            </w:r>
          </w:p>
        </w:tc>
      </w:tr>
      <w:tr w:rsidR="00C01EF9" w:rsidRPr="009D0238" w14:paraId="4D64DB9C" w14:textId="77777777" w:rsidTr="00E6771F">
        <w:tc>
          <w:tcPr>
            <w:tcW w:w="3690" w:type="dxa"/>
          </w:tcPr>
          <w:p w14:paraId="0D0C2B34" w14:textId="77777777" w:rsidR="00C01EF9" w:rsidRPr="009D0238" w:rsidRDefault="00C01EF9" w:rsidP="00323DB8">
            <w:pPr>
              <w:rPr>
                <w:rFonts w:ascii="Arial" w:hAnsi="Arial" w:cs="Arial"/>
              </w:rPr>
            </w:pPr>
            <w:r>
              <w:rPr>
                <w:rFonts w:ascii="Arial" w:hAnsi="Arial" w:cs="Arial"/>
              </w:rPr>
              <w:t>Reference Number:</w:t>
            </w:r>
          </w:p>
        </w:tc>
        <w:tc>
          <w:tcPr>
            <w:tcW w:w="5760" w:type="dxa"/>
          </w:tcPr>
          <w:p w14:paraId="26E229A8" w14:textId="77777777" w:rsidR="00C01EF9" w:rsidRPr="009D0238" w:rsidRDefault="00C01EF9" w:rsidP="00323DB8">
            <w:pPr>
              <w:rPr>
                <w:rFonts w:ascii="Arial" w:hAnsi="Arial" w:cs="Arial"/>
              </w:rPr>
            </w:pPr>
            <w:r w:rsidRPr="001B2D3F">
              <w:rPr>
                <w:rFonts w:ascii="Arial" w:hAnsi="Arial" w:cs="Arial"/>
              </w:rPr>
              <w:t>22 144668 WET 03 OZ</w:t>
            </w:r>
          </w:p>
        </w:tc>
      </w:tr>
      <w:tr w:rsidR="00C01EF9" w:rsidRPr="009D0238" w14:paraId="428912F5" w14:textId="77777777" w:rsidTr="00E6771F">
        <w:tc>
          <w:tcPr>
            <w:tcW w:w="3690" w:type="dxa"/>
            <w:hideMark/>
          </w:tcPr>
          <w:p w14:paraId="3149D7C0" w14:textId="77777777" w:rsidR="00C01EF9" w:rsidRPr="009D0238" w:rsidRDefault="00C01EF9" w:rsidP="00323DB8">
            <w:pPr>
              <w:rPr>
                <w:rFonts w:ascii="Arial" w:hAnsi="Arial" w:cs="Arial"/>
              </w:rPr>
            </w:pPr>
            <w:r w:rsidRPr="009D0238">
              <w:rPr>
                <w:rFonts w:ascii="Arial" w:hAnsi="Arial" w:cs="Arial"/>
              </w:rPr>
              <w:t xml:space="preserve">Property Address: </w:t>
            </w:r>
          </w:p>
        </w:tc>
        <w:tc>
          <w:tcPr>
            <w:tcW w:w="5760" w:type="dxa"/>
          </w:tcPr>
          <w:p w14:paraId="78E69FB0" w14:textId="77777777" w:rsidR="00C01EF9" w:rsidRPr="009D0238" w:rsidRDefault="00C01EF9" w:rsidP="00323DB8">
            <w:pPr>
              <w:rPr>
                <w:rFonts w:ascii="Arial" w:hAnsi="Arial" w:cs="Arial"/>
              </w:rPr>
            </w:pPr>
            <w:r w:rsidRPr="00FC127D">
              <w:rPr>
                <w:rFonts w:ascii="Arial" w:hAnsi="Arial" w:cs="Arial"/>
              </w:rPr>
              <w:t>2-10 Queen Elizabeth Blvd., 506-522 Royal York Rd and 3-15 Sinclair St</w:t>
            </w:r>
          </w:p>
        </w:tc>
      </w:tr>
      <w:tr w:rsidR="00C01EF9" w:rsidRPr="009D0238" w14:paraId="12DDC966" w14:textId="77777777" w:rsidTr="00E6771F">
        <w:tc>
          <w:tcPr>
            <w:tcW w:w="3690" w:type="dxa"/>
            <w:hideMark/>
          </w:tcPr>
          <w:p w14:paraId="1FA909C3" w14:textId="77777777" w:rsidR="00C01EF9" w:rsidRPr="009D0238" w:rsidRDefault="00C01EF9" w:rsidP="00323DB8">
            <w:pPr>
              <w:rPr>
                <w:rFonts w:ascii="Arial" w:hAnsi="Arial" w:cs="Arial"/>
              </w:rPr>
            </w:pPr>
            <w:r w:rsidRPr="009D0238">
              <w:rPr>
                <w:rFonts w:ascii="Arial" w:hAnsi="Arial" w:cs="Arial"/>
              </w:rPr>
              <w:t>Municipality</w:t>
            </w:r>
            <w:r>
              <w:rPr>
                <w:rFonts w:ascii="Arial" w:hAnsi="Arial" w:cs="Arial"/>
              </w:rPr>
              <w:t>/UT</w:t>
            </w:r>
            <w:r w:rsidRPr="009D0238">
              <w:rPr>
                <w:rFonts w:ascii="Arial" w:hAnsi="Arial" w:cs="Arial"/>
              </w:rPr>
              <w:t xml:space="preserve">: </w:t>
            </w:r>
          </w:p>
        </w:tc>
        <w:tc>
          <w:tcPr>
            <w:tcW w:w="5760" w:type="dxa"/>
          </w:tcPr>
          <w:p w14:paraId="32E83FA1" w14:textId="77777777" w:rsidR="00C01EF9" w:rsidRPr="009D0238" w:rsidRDefault="00C01EF9" w:rsidP="00323DB8">
            <w:pPr>
              <w:rPr>
                <w:rFonts w:ascii="Arial" w:hAnsi="Arial" w:cs="Arial"/>
              </w:rPr>
            </w:pPr>
            <w:r>
              <w:rPr>
                <w:rFonts w:ascii="Arial" w:hAnsi="Arial" w:cs="Arial"/>
              </w:rPr>
              <w:t>City of Toronto / City of Toronto</w:t>
            </w:r>
          </w:p>
        </w:tc>
      </w:tr>
      <w:tr w:rsidR="00C01EF9" w:rsidRPr="009D0238" w14:paraId="785CD84D" w14:textId="77777777" w:rsidTr="00E6771F">
        <w:tc>
          <w:tcPr>
            <w:tcW w:w="3690" w:type="dxa"/>
            <w:hideMark/>
          </w:tcPr>
          <w:p w14:paraId="61841396" w14:textId="77777777" w:rsidR="00C01EF9" w:rsidRPr="009D0238" w:rsidRDefault="00C01EF9" w:rsidP="00323DB8">
            <w:pPr>
              <w:rPr>
                <w:rFonts w:ascii="Arial" w:hAnsi="Arial" w:cs="Arial"/>
              </w:rPr>
            </w:pPr>
            <w:r w:rsidRPr="009D0238">
              <w:rPr>
                <w:rFonts w:ascii="Arial" w:hAnsi="Arial" w:cs="Arial"/>
              </w:rPr>
              <w:t xml:space="preserve">OLT Case No.: </w:t>
            </w:r>
          </w:p>
        </w:tc>
        <w:tc>
          <w:tcPr>
            <w:tcW w:w="5760" w:type="dxa"/>
          </w:tcPr>
          <w:p w14:paraId="22F050EA" w14:textId="77777777" w:rsidR="00C01EF9" w:rsidRPr="009D0238" w:rsidRDefault="00C01EF9" w:rsidP="00323DB8">
            <w:pPr>
              <w:rPr>
                <w:rFonts w:ascii="Arial" w:hAnsi="Arial" w:cs="Arial"/>
              </w:rPr>
            </w:pPr>
            <w:r>
              <w:rPr>
                <w:rFonts w:ascii="Arial" w:hAnsi="Arial" w:cs="Arial"/>
              </w:rPr>
              <w:t>OLT-23-000596</w:t>
            </w:r>
          </w:p>
        </w:tc>
      </w:tr>
      <w:tr w:rsidR="00C01EF9" w:rsidRPr="009D0238" w14:paraId="50691C3C" w14:textId="77777777" w:rsidTr="00E6771F">
        <w:tc>
          <w:tcPr>
            <w:tcW w:w="3690" w:type="dxa"/>
            <w:hideMark/>
          </w:tcPr>
          <w:p w14:paraId="1CE30420" w14:textId="77777777" w:rsidR="00C01EF9" w:rsidRPr="009D0238" w:rsidRDefault="00C01EF9" w:rsidP="00323DB8">
            <w:pPr>
              <w:rPr>
                <w:rFonts w:ascii="Arial" w:hAnsi="Arial" w:cs="Arial"/>
              </w:rPr>
            </w:pPr>
            <w:r w:rsidRPr="009D0238">
              <w:rPr>
                <w:rFonts w:ascii="Arial" w:hAnsi="Arial" w:cs="Arial"/>
              </w:rPr>
              <w:t xml:space="preserve">OLT Lead Case No.: </w:t>
            </w:r>
          </w:p>
        </w:tc>
        <w:tc>
          <w:tcPr>
            <w:tcW w:w="5760" w:type="dxa"/>
          </w:tcPr>
          <w:p w14:paraId="4C2206BB" w14:textId="77777777" w:rsidR="00C01EF9" w:rsidRPr="009D0238" w:rsidRDefault="00C01EF9" w:rsidP="00323DB8">
            <w:pPr>
              <w:rPr>
                <w:rFonts w:ascii="Arial" w:hAnsi="Arial" w:cs="Arial"/>
              </w:rPr>
            </w:pPr>
            <w:r>
              <w:rPr>
                <w:rFonts w:ascii="Arial" w:hAnsi="Arial" w:cs="Arial"/>
              </w:rPr>
              <w:t>OLT-23-000596</w:t>
            </w:r>
          </w:p>
        </w:tc>
      </w:tr>
      <w:tr w:rsidR="00C01EF9" w:rsidRPr="009D0238" w14:paraId="19B7A7C1" w14:textId="77777777" w:rsidTr="00E6771F">
        <w:tc>
          <w:tcPr>
            <w:tcW w:w="3690" w:type="dxa"/>
            <w:hideMark/>
          </w:tcPr>
          <w:p w14:paraId="6B6CFDA4" w14:textId="77777777" w:rsidR="00C01EF9" w:rsidRPr="009D0238" w:rsidRDefault="00C01EF9" w:rsidP="00323DB8">
            <w:pPr>
              <w:rPr>
                <w:rFonts w:ascii="Arial" w:hAnsi="Arial" w:cs="Arial"/>
              </w:rPr>
            </w:pPr>
            <w:r w:rsidRPr="009D0238">
              <w:rPr>
                <w:rFonts w:ascii="Arial" w:hAnsi="Arial" w:cs="Arial"/>
              </w:rPr>
              <w:t xml:space="preserve">OLT Case Name: </w:t>
            </w:r>
          </w:p>
        </w:tc>
        <w:tc>
          <w:tcPr>
            <w:tcW w:w="5760" w:type="dxa"/>
          </w:tcPr>
          <w:p w14:paraId="4F4B603B" w14:textId="77777777" w:rsidR="00C01EF9" w:rsidRPr="009D0238" w:rsidRDefault="00C01EF9" w:rsidP="00323DB8">
            <w:pPr>
              <w:rPr>
                <w:rFonts w:ascii="Arial" w:hAnsi="Arial" w:cs="Arial"/>
              </w:rPr>
            </w:pPr>
            <w:r>
              <w:rPr>
                <w:rFonts w:ascii="Arial" w:hAnsi="Arial" w:cs="Arial"/>
              </w:rPr>
              <w:t>Queenscorp (Royal York) Inc. v. Toronto (City)</w:t>
            </w:r>
          </w:p>
        </w:tc>
      </w:tr>
      <w:tr w:rsidR="00C01EF9" w:rsidRPr="009D0238" w14:paraId="30F550A2" w14:textId="77777777" w:rsidTr="00E6771F">
        <w:tc>
          <w:tcPr>
            <w:tcW w:w="3690" w:type="dxa"/>
          </w:tcPr>
          <w:p w14:paraId="5DEE9BD5" w14:textId="77777777" w:rsidR="00C01EF9" w:rsidRPr="009D0238" w:rsidRDefault="00C01EF9" w:rsidP="00323DB8">
            <w:pPr>
              <w:rPr>
                <w:rFonts w:ascii="Arial" w:hAnsi="Arial" w:cs="Arial"/>
              </w:rPr>
            </w:pPr>
          </w:p>
        </w:tc>
        <w:tc>
          <w:tcPr>
            <w:tcW w:w="5760" w:type="dxa"/>
          </w:tcPr>
          <w:p w14:paraId="25DD2C32" w14:textId="77777777" w:rsidR="00C01EF9" w:rsidRDefault="00C01EF9" w:rsidP="00323DB8">
            <w:pPr>
              <w:rPr>
                <w:rFonts w:ascii="Arial" w:hAnsi="Arial" w:cs="Arial"/>
              </w:rPr>
            </w:pPr>
          </w:p>
        </w:tc>
      </w:tr>
      <w:tr w:rsidR="00C01EF9" w:rsidRPr="009D0238" w14:paraId="4B0B7C82" w14:textId="77777777" w:rsidTr="00E6771F">
        <w:tc>
          <w:tcPr>
            <w:tcW w:w="3690" w:type="dxa"/>
          </w:tcPr>
          <w:p w14:paraId="7E62D019" w14:textId="77777777" w:rsidR="00C01EF9" w:rsidRPr="009D0238" w:rsidRDefault="00C01EF9" w:rsidP="00323DB8">
            <w:pPr>
              <w:rPr>
                <w:rFonts w:ascii="Arial" w:hAnsi="Arial" w:cs="Arial"/>
              </w:rPr>
            </w:pPr>
          </w:p>
        </w:tc>
        <w:tc>
          <w:tcPr>
            <w:tcW w:w="5760" w:type="dxa"/>
          </w:tcPr>
          <w:p w14:paraId="2FD64B17" w14:textId="77777777" w:rsidR="00C01EF9" w:rsidRDefault="00C01EF9" w:rsidP="00323DB8">
            <w:pPr>
              <w:rPr>
                <w:rFonts w:ascii="Arial" w:hAnsi="Arial" w:cs="Arial"/>
              </w:rPr>
            </w:pPr>
          </w:p>
        </w:tc>
      </w:tr>
      <w:tr w:rsidR="00C01EF9" w:rsidRPr="009D0238" w14:paraId="5BE2DF3C" w14:textId="77777777" w:rsidTr="00E6771F">
        <w:tc>
          <w:tcPr>
            <w:tcW w:w="3690" w:type="dxa"/>
          </w:tcPr>
          <w:p w14:paraId="5D7A1619" w14:textId="15E84565" w:rsidR="00C01EF9" w:rsidRPr="00C01EF9" w:rsidRDefault="00C01EF9" w:rsidP="00323DB8">
            <w:pPr>
              <w:rPr>
                <w:rFonts w:ascii="Arial" w:hAnsi="Arial" w:cs="Arial"/>
                <w:b/>
                <w:bCs/>
              </w:rPr>
            </w:pPr>
            <w:r w:rsidRPr="00C01EF9">
              <w:rPr>
                <w:rFonts w:ascii="Arial" w:hAnsi="Arial" w:cs="Arial"/>
                <w:b/>
                <w:bCs/>
              </w:rPr>
              <w:t>Heard:</w:t>
            </w:r>
          </w:p>
        </w:tc>
        <w:tc>
          <w:tcPr>
            <w:tcW w:w="5760" w:type="dxa"/>
          </w:tcPr>
          <w:p w14:paraId="2FAEB1AC" w14:textId="6295A231" w:rsidR="00C01EF9" w:rsidRDefault="00C01EF9" w:rsidP="00323DB8">
            <w:pPr>
              <w:rPr>
                <w:rFonts w:ascii="Arial" w:hAnsi="Arial" w:cs="Arial"/>
              </w:rPr>
            </w:pPr>
            <w:r>
              <w:rPr>
                <w:rFonts w:ascii="Arial" w:hAnsi="Arial" w:cs="Arial"/>
              </w:rPr>
              <w:t xml:space="preserve">February 26, </w:t>
            </w:r>
            <w:proofErr w:type="gramStart"/>
            <w:r>
              <w:rPr>
                <w:rFonts w:ascii="Arial" w:hAnsi="Arial" w:cs="Arial"/>
              </w:rPr>
              <w:t>2024</w:t>
            </w:r>
            <w:proofErr w:type="gramEnd"/>
            <w:r>
              <w:rPr>
                <w:rFonts w:ascii="Arial" w:hAnsi="Arial" w:cs="Arial"/>
              </w:rPr>
              <w:t xml:space="preserve"> via Video Hearing</w:t>
            </w:r>
          </w:p>
        </w:tc>
      </w:tr>
    </w:tbl>
    <w:p w14:paraId="4AA17A0F" w14:textId="77777777" w:rsidR="00E6771F" w:rsidRPr="001E764F" w:rsidRDefault="00E6771F" w:rsidP="00DB0C6F">
      <w:pPr>
        <w:rPr>
          <w:rFonts w:ascii="Arial" w:hAnsi="Arial" w:cs="Arial"/>
        </w:rPr>
      </w:pPr>
    </w:p>
    <w:tbl>
      <w:tblPr>
        <w:tblW w:w="9498" w:type="dxa"/>
        <w:tblLook w:val="0000" w:firstRow="0" w:lastRow="0" w:firstColumn="0" w:lastColumn="0" w:noHBand="0" w:noVBand="0"/>
      </w:tblPr>
      <w:tblGrid>
        <w:gridCol w:w="3690"/>
        <w:gridCol w:w="5808"/>
      </w:tblGrid>
      <w:tr w:rsidR="00DB0C6F" w:rsidRPr="001E764F" w14:paraId="0323955C" w14:textId="77777777" w:rsidTr="00E6771F">
        <w:tc>
          <w:tcPr>
            <w:tcW w:w="3690" w:type="dxa"/>
          </w:tcPr>
          <w:bookmarkEnd w:id="0"/>
          <w:p w14:paraId="09D4AEB8" w14:textId="77777777" w:rsidR="00DB0C6F" w:rsidRPr="00C940BC" w:rsidRDefault="00DB0C6F" w:rsidP="00335355">
            <w:pPr>
              <w:rPr>
                <w:rFonts w:ascii="Arial" w:hAnsi="Arial" w:cs="Arial"/>
              </w:rPr>
            </w:pPr>
            <w:r w:rsidRPr="001E764F">
              <w:rPr>
                <w:rFonts w:ascii="Arial" w:hAnsi="Arial" w:cs="Arial"/>
                <w:b/>
              </w:rPr>
              <w:t>APPEARANCES:</w:t>
            </w:r>
          </w:p>
        </w:tc>
        <w:tc>
          <w:tcPr>
            <w:tcW w:w="5808" w:type="dxa"/>
          </w:tcPr>
          <w:p w14:paraId="3F3F86CF" w14:textId="77777777" w:rsidR="00DB0C6F" w:rsidRPr="001E764F" w:rsidRDefault="00DB0C6F" w:rsidP="00335355">
            <w:pPr>
              <w:rPr>
                <w:rFonts w:ascii="Arial" w:hAnsi="Arial" w:cs="Arial"/>
              </w:rPr>
            </w:pPr>
          </w:p>
        </w:tc>
      </w:tr>
      <w:tr w:rsidR="00DB0C6F" w:rsidRPr="001E764F" w14:paraId="5163AA4C" w14:textId="77777777" w:rsidTr="00E6771F">
        <w:tc>
          <w:tcPr>
            <w:tcW w:w="3690" w:type="dxa"/>
          </w:tcPr>
          <w:p w14:paraId="07259BF4" w14:textId="77777777" w:rsidR="00DB0C6F" w:rsidRPr="001E764F" w:rsidRDefault="00DB0C6F" w:rsidP="00335355">
            <w:pPr>
              <w:rPr>
                <w:rFonts w:ascii="Arial" w:hAnsi="Arial" w:cs="Arial"/>
              </w:rPr>
            </w:pPr>
          </w:p>
        </w:tc>
        <w:tc>
          <w:tcPr>
            <w:tcW w:w="5808" w:type="dxa"/>
          </w:tcPr>
          <w:p w14:paraId="48DC9597" w14:textId="77777777" w:rsidR="00DB0C6F" w:rsidRPr="001E764F" w:rsidRDefault="00DB0C6F" w:rsidP="00335355">
            <w:pPr>
              <w:rPr>
                <w:rFonts w:ascii="Arial" w:hAnsi="Arial" w:cs="Arial"/>
              </w:rPr>
            </w:pPr>
          </w:p>
        </w:tc>
      </w:tr>
      <w:tr w:rsidR="00DB0C6F" w:rsidRPr="001E764F" w14:paraId="73D57BE1" w14:textId="77777777" w:rsidTr="00E6771F">
        <w:tc>
          <w:tcPr>
            <w:tcW w:w="3690" w:type="dxa"/>
          </w:tcPr>
          <w:p w14:paraId="7788F81A" w14:textId="174BF033" w:rsidR="00DB0C6F" w:rsidRPr="00C940BC" w:rsidRDefault="00DB0C6F" w:rsidP="00335355">
            <w:pPr>
              <w:rPr>
                <w:rFonts w:ascii="Arial" w:hAnsi="Arial" w:cs="Arial"/>
              </w:rPr>
            </w:pPr>
            <w:bookmarkStart w:id="1" w:name="Parties"/>
            <w:r w:rsidRPr="00C300F2">
              <w:rPr>
                <w:rFonts w:ascii="Arial" w:hAnsi="Arial" w:cs="Arial"/>
                <w:b/>
                <w:u w:val="single"/>
              </w:rPr>
              <w:t>Parties</w:t>
            </w:r>
            <w:bookmarkEnd w:id="1"/>
          </w:p>
        </w:tc>
        <w:tc>
          <w:tcPr>
            <w:tcW w:w="5808" w:type="dxa"/>
          </w:tcPr>
          <w:p w14:paraId="5CA2FD1F" w14:textId="2CCE5E68" w:rsidR="00DB0C6F" w:rsidRPr="00C940BC" w:rsidRDefault="00DB0C6F" w:rsidP="00335355">
            <w:pPr>
              <w:rPr>
                <w:rFonts w:ascii="Arial" w:hAnsi="Arial" w:cs="Arial"/>
              </w:rPr>
            </w:pPr>
            <w:bookmarkStart w:id="2" w:name="CounselAgent"/>
            <w:r w:rsidRPr="00C300F2">
              <w:rPr>
                <w:rFonts w:ascii="Arial" w:hAnsi="Arial" w:cs="Arial"/>
                <w:b/>
                <w:u w:val="single"/>
              </w:rPr>
              <w:t>Counse</w:t>
            </w:r>
            <w:bookmarkEnd w:id="2"/>
            <w:r w:rsidR="000D5C2E">
              <w:rPr>
                <w:rFonts w:ascii="Arial" w:hAnsi="Arial" w:cs="Arial"/>
                <w:b/>
                <w:u w:val="single"/>
              </w:rPr>
              <w:t>l</w:t>
            </w:r>
          </w:p>
        </w:tc>
      </w:tr>
      <w:tr w:rsidR="00C01EF9" w:rsidRPr="001E764F" w14:paraId="4F7CA127" w14:textId="77777777" w:rsidTr="00E6771F">
        <w:tc>
          <w:tcPr>
            <w:tcW w:w="3690" w:type="dxa"/>
          </w:tcPr>
          <w:p w14:paraId="58837B32" w14:textId="77777777" w:rsidR="00C01EF9" w:rsidRPr="00C300F2" w:rsidRDefault="00C01EF9" w:rsidP="00335355">
            <w:pPr>
              <w:rPr>
                <w:rFonts w:ascii="Arial" w:hAnsi="Arial" w:cs="Arial"/>
                <w:b/>
                <w:u w:val="single"/>
              </w:rPr>
            </w:pPr>
          </w:p>
        </w:tc>
        <w:tc>
          <w:tcPr>
            <w:tcW w:w="5808" w:type="dxa"/>
          </w:tcPr>
          <w:p w14:paraId="471A1AA2" w14:textId="77777777" w:rsidR="00C01EF9" w:rsidRPr="00C300F2" w:rsidRDefault="00C01EF9" w:rsidP="00335355">
            <w:pPr>
              <w:rPr>
                <w:rFonts w:ascii="Arial" w:hAnsi="Arial" w:cs="Arial"/>
                <w:b/>
                <w:u w:val="single"/>
              </w:rPr>
            </w:pPr>
          </w:p>
        </w:tc>
      </w:tr>
      <w:tr w:rsidR="00C01EF9" w:rsidRPr="001E764F" w14:paraId="09EF1AB1" w14:textId="77777777" w:rsidTr="00E6771F">
        <w:tc>
          <w:tcPr>
            <w:tcW w:w="3690" w:type="dxa"/>
          </w:tcPr>
          <w:p w14:paraId="274BEE20" w14:textId="41153BBF" w:rsidR="00C01EF9" w:rsidRPr="00C300F2" w:rsidRDefault="00C01EF9" w:rsidP="00335355">
            <w:pPr>
              <w:rPr>
                <w:rFonts w:ascii="Arial" w:hAnsi="Arial" w:cs="Arial"/>
                <w:b/>
                <w:u w:val="single"/>
              </w:rPr>
            </w:pPr>
            <w:r w:rsidRPr="00B5705B">
              <w:rPr>
                <w:rFonts w:asciiTheme="minorHAnsi" w:hAnsiTheme="minorHAnsi" w:cstheme="minorHAnsi"/>
              </w:rPr>
              <w:t>Queenscorp (Royal York) Inc.</w:t>
            </w:r>
          </w:p>
        </w:tc>
        <w:tc>
          <w:tcPr>
            <w:tcW w:w="5808" w:type="dxa"/>
          </w:tcPr>
          <w:p w14:paraId="395FA9BF" w14:textId="77777777" w:rsidR="00C01EF9" w:rsidRDefault="00C01EF9" w:rsidP="00C01EF9">
            <w:pPr>
              <w:tabs>
                <w:tab w:val="left" w:pos="3969"/>
              </w:tabs>
              <w:rPr>
                <w:rFonts w:asciiTheme="minorHAnsi" w:hAnsiTheme="minorHAnsi" w:cstheme="minorHAnsi"/>
              </w:rPr>
            </w:pPr>
            <w:r w:rsidRPr="00B5705B">
              <w:rPr>
                <w:rFonts w:asciiTheme="minorHAnsi" w:hAnsiTheme="minorHAnsi" w:cstheme="minorHAnsi"/>
              </w:rPr>
              <w:t xml:space="preserve">I. Kagan, </w:t>
            </w:r>
          </w:p>
          <w:p w14:paraId="26FB18B2" w14:textId="2F44B52B" w:rsidR="00C01EF9" w:rsidRPr="00C01EF9" w:rsidRDefault="00C01EF9" w:rsidP="00C01EF9">
            <w:pPr>
              <w:tabs>
                <w:tab w:val="left" w:pos="3969"/>
              </w:tabs>
              <w:rPr>
                <w:rFonts w:asciiTheme="minorHAnsi" w:hAnsiTheme="minorHAnsi" w:cstheme="minorHAnsi"/>
              </w:rPr>
            </w:pPr>
            <w:r w:rsidRPr="00B5705B">
              <w:rPr>
                <w:rFonts w:asciiTheme="minorHAnsi" w:hAnsiTheme="minorHAnsi" w:cstheme="minorHAnsi"/>
              </w:rPr>
              <w:t xml:space="preserve">S. Kagan, </w:t>
            </w:r>
            <w:r>
              <w:rPr>
                <w:rFonts w:asciiTheme="minorHAnsi" w:hAnsiTheme="minorHAnsi" w:cstheme="minorHAnsi"/>
              </w:rPr>
              <w:t>(in absentia)</w:t>
            </w:r>
          </w:p>
        </w:tc>
      </w:tr>
      <w:tr w:rsidR="00C01EF9" w:rsidRPr="001E764F" w14:paraId="39BEF2D8" w14:textId="77777777" w:rsidTr="00E6771F">
        <w:tc>
          <w:tcPr>
            <w:tcW w:w="3690" w:type="dxa"/>
          </w:tcPr>
          <w:p w14:paraId="38411900" w14:textId="77777777" w:rsidR="00C01EF9" w:rsidRPr="00C300F2" w:rsidRDefault="00C01EF9" w:rsidP="00335355">
            <w:pPr>
              <w:rPr>
                <w:rFonts w:ascii="Arial" w:hAnsi="Arial" w:cs="Arial"/>
                <w:b/>
                <w:u w:val="single"/>
              </w:rPr>
            </w:pPr>
          </w:p>
        </w:tc>
        <w:tc>
          <w:tcPr>
            <w:tcW w:w="5808" w:type="dxa"/>
          </w:tcPr>
          <w:p w14:paraId="3468F655" w14:textId="77777777" w:rsidR="00C01EF9" w:rsidRPr="00C300F2" w:rsidRDefault="00C01EF9" w:rsidP="00335355">
            <w:pPr>
              <w:rPr>
                <w:rFonts w:ascii="Arial" w:hAnsi="Arial" w:cs="Arial"/>
                <w:b/>
                <w:u w:val="single"/>
              </w:rPr>
            </w:pPr>
          </w:p>
        </w:tc>
      </w:tr>
      <w:tr w:rsidR="00C01EF9" w:rsidRPr="001E764F" w14:paraId="4C47407F" w14:textId="77777777" w:rsidTr="00E6771F">
        <w:tc>
          <w:tcPr>
            <w:tcW w:w="3690" w:type="dxa"/>
          </w:tcPr>
          <w:p w14:paraId="2957079D" w14:textId="2B0A73C3" w:rsidR="00C01EF9" w:rsidRPr="00C300F2" w:rsidRDefault="00C01EF9" w:rsidP="00335355">
            <w:pPr>
              <w:rPr>
                <w:rFonts w:ascii="Arial" w:hAnsi="Arial" w:cs="Arial"/>
                <w:b/>
                <w:u w:val="single"/>
              </w:rPr>
            </w:pPr>
            <w:r w:rsidRPr="00B5705B">
              <w:rPr>
                <w:rFonts w:asciiTheme="minorHAnsi" w:hAnsiTheme="minorHAnsi" w:cstheme="minorHAnsi"/>
              </w:rPr>
              <w:t>City of Toronto</w:t>
            </w:r>
          </w:p>
        </w:tc>
        <w:tc>
          <w:tcPr>
            <w:tcW w:w="5808" w:type="dxa"/>
          </w:tcPr>
          <w:p w14:paraId="1457DD67" w14:textId="77777777" w:rsidR="00C01EF9" w:rsidRDefault="00C01EF9" w:rsidP="00C01EF9">
            <w:pPr>
              <w:tabs>
                <w:tab w:val="left" w:pos="3969"/>
              </w:tabs>
              <w:rPr>
                <w:rFonts w:asciiTheme="minorHAnsi" w:hAnsiTheme="minorHAnsi" w:cstheme="minorHAnsi"/>
              </w:rPr>
            </w:pPr>
            <w:r w:rsidRPr="00B5705B">
              <w:rPr>
                <w:rFonts w:asciiTheme="minorHAnsi" w:hAnsiTheme="minorHAnsi" w:cstheme="minorHAnsi"/>
              </w:rPr>
              <w:t xml:space="preserve">M. Mahoney, </w:t>
            </w:r>
          </w:p>
          <w:p w14:paraId="0ACBECC7" w14:textId="02049F1F" w:rsidR="00C01EF9" w:rsidRPr="00C01EF9" w:rsidRDefault="00C01EF9" w:rsidP="00C01EF9">
            <w:pPr>
              <w:tabs>
                <w:tab w:val="left" w:pos="3969"/>
              </w:tabs>
              <w:rPr>
                <w:rFonts w:asciiTheme="minorHAnsi" w:hAnsiTheme="minorHAnsi" w:cstheme="minorHAnsi"/>
              </w:rPr>
            </w:pPr>
            <w:r w:rsidRPr="00B5705B">
              <w:rPr>
                <w:rFonts w:asciiTheme="minorHAnsi" w:hAnsiTheme="minorHAnsi" w:cstheme="minorHAnsi"/>
              </w:rPr>
              <w:t xml:space="preserve">M. </w:t>
            </w:r>
            <w:proofErr w:type="spellStart"/>
            <w:r w:rsidRPr="00B5705B">
              <w:rPr>
                <w:rFonts w:asciiTheme="minorHAnsi" w:hAnsiTheme="minorHAnsi" w:cstheme="minorHAnsi"/>
              </w:rPr>
              <w:t>Lafortune</w:t>
            </w:r>
            <w:proofErr w:type="spellEnd"/>
            <w:r w:rsidRPr="00B5705B">
              <w:rPr>
                <w:rFonts w:asciiTheme="minorHAnsi" w:hAnsiTheme="minorHAnsi" w:cstheme="minorHAnsi"/>
              </w:rPr>
              <w:t xml:space="preserve">, </w:t>
            </w:r>
            <w:r>
              <w:rPr>
                <w:rFonts w:asciiTheme="minorHAnsi" w:hAnsiTheme="minorHAnsi" w:cstheme="minorHAnsi"/>
              </w:rPr>
              <w:t>(in absentia)</w:t>
            </w:r>
          </w:p>
        </w:tc>
      </w:tr>
    </w:tbl>
    <w:p w14:paraId="240F8FF7" w14:textId="77777777" w:rsidR="00C01EF9" w:rsidRDefault="00C01EF9" w:rsidP="00803F7F">
      <w:pPr>
        <w:pStyle w:val="DecisionDeliveredby"/>
      </w:pPr>
    </w:p>
    <w:p w14:paraId="776B1CDC" w14:textId="6732A83F" w:rsidR="00DB0C6F" w:rsidRPr="00DB0C6F" w:rsidRDefault="00DB67F0" w:rsidP="00803F7F">
      <w:pPr>
        <w:pStyle w:val="DecisionDeliveredby"/>
      </w:pPr>
      <w:r w:rsidRPr="00B32C4A">
        <w:lastRenderedPageBreak/>
        <w:t xml:space="preserve">MEMORANDUM OF ORAL </w:t>
      </w:r>
      <w:r w:rsidR="00DB0C6F" w:rsidRPr="00B32C4A">
        <w:t xml:space="preserve">DECISION DELIVERED BY </w:t>
      </w:r>
      <w:r w:rsidR="005F0E9B" w:rsidRPr="00B32C4A">
        <w:t>D. CHIPMAN</w:t>
      </w:r>
      <w:r w:rsidR="00562F3C">
        <w:t xml:space="preserve"> ON</w:t>
      </w:r>
      <w:r w:rsidR="00803F7F">
        <w:t xml:space="preserve"> </w:t>
      </w:r>
      <w:r w:rsidR="000D5C2E">
        <w:t>FEBR</w:t>
      </w:r>
      <w:r w:rsidR="008B5FB0">
        <w:t xml:space="preserve">UARY </w:t>
      </w:r>
      <w:r w:rsidR="00782655">
        <w:t>2</w:t>
      </w:r>
      <w:r w:rsidR="00D914A1">
        <w:t>6</w:t>
      </w:r>
      <w:r w:rsidR="00BB3AEF">
        <w:t>,</w:t>
      </w:r>
      <w:r w:rsidR="00B32C4A">
        <w:t xml:space="preserve"> 202</w:t>
      </w:r>
      <w:r w:rsidR="004B0EC5">
        <w:t>4</w:t>
      </w:r>
      <w:r w:rsidR="00B32C4A">
        <w:t xml:space="preserve">, </w:t>
      </w:r>
      <w:r w:rsidR="00DB0C6F" w:rsidRPr="00B32C4A">
        <w:t>AND ORDER OF THE TRIBUNAL</w:t>
      </w:r>
      <w:r w:rsidR="00DB0C6F" w:rsidRPr="00DB0C6F">
        <w:t xml:space="preserve"> </w:t>
      </w:r>
    </w:p>
    <w:p w14:paraId="139933F6" w14:textId="4A0BB2CB" w:rsidR="00DB0C6F" w:rsidRPr="00DB0C6F" w:rsidRDefault="00DB0C6F" w:rsidP="00F61F85">
      <w:pPr>
        <w:rPr>
          <w:rFonts w:ascii="Arial" w:hAnsi="Arial" w:cs="Arial"/>
        </w:rPr>
      </w:pPr>
    </w:p>
    <w:p w14:paraId="7C4E827A" w14:textId="77777777" w:rsidR="004F0939" w:rsidRDefault="00FC6530" w:rsidP="00C01EF9">
      <w:pPr>
        <w:pStyle w:val="DecisionBody"/>
        <w:numPr>
          <w:ilvl w:val="0"/>
          <w:numId w:val="0"/>
        </w:numPr>
        <w:rPr>
          <w:b/>
          <w:bCs w:val="0"/>
        </w:rPr>
      </w:pPr>
      <w:r w:rsidRPr="00FC6530">
        <w:rPr>
          <w:b/>
          <w:bCs w:val="0"/>
        </w:rPr>
        <w:t>INTRODUCTION</w:t>
      </w:r>
    </w:p>
    <w:p w14:paraId="13BF812C" w14:textId="23E58CF4" w:rsidR="00890064" w:rsidRDefault="00890064" w:rsidP="000A3FEE">
      <w:pPr>
        <w:pStyle w:val="DecisionBody"/>
      </w:pPr>
      <w:r w:rsidRPr="00890064">
        <w:t xml:space="preserve">This is the </w:t>
      </w:r>
      <w:r w:rsidR="009A067D">
        <w:t>second</w:t>
      </w:r>
      <w:r w:rsidRPr="00890064">
        <w:t xml:space="preserve"> Case Management Conference (“CMC”) respecting an appeal filed by Queenscorp (Royal York) Inc. on an application for a Zoning By-law Amendment (“ZBA”) pursuant to section 34(11) on the failure of the City of Toronto (“City”) to make a decision within the statutory timeframe. </w:t>
      </w:r>
    </w:p>
    <w:p w14:paraId="7FA5837F" w14:textId="77777777" w:rsidR="00890064" w:rsidRDefault="00890064" w:rsidP="000A3FEE">
      <w:pPr>
        <w:pStyle w:val="DecisionBody"/>
      </w:pPr>
      <w:r w:rsidRPr="00890064">
        <w:t>The Subject Property is made up of 11 parcels of land that are municipally known as 2-10 Queen Elizabeth Blvd., 506-522 Royal York Rd., and 3-15 Sinclair St., Etobicoke, in the City.</w:t>
      </w:r>
    </w:p>
    <w:p w14:paraId="60BE0259" w14:textId="53878777" w:rsidR="00833A23" w:rsidRPr="00833A23" w:rsidRDefault="00833A23" w:rsidP="000A3FEE">
      <w:pPr>
        <w:pStyle w:val="DecisionBody"/>
        <w:rPr>
          <w:b/>
          <w:bCs w:val="0"/>
        </w:rPr>
      </w:pPr>
      <w:r w:rsidRPr="00833A23">
        <w:lastRenderedPageBreak/>
        <w:t xml:space="preserve">The application proposes a total of 967 residential units with a total of 1,075 vehicular parking spaces. The proposal is a mixed-use development consisting of three buildings on two parcels of land. Parcel 1 is located to the north of Queen Elizabeth Boulevard, and Parcel 2 is located to the south. The application proposes a total of 967 residential units, of which 65% are </w:t>
      </w:r>
      <w:r w:rsidR="00E6771F">
        <w:t>one</w:t>
      </w:r>
      <w:r w:rsidRPr="00833A23">
        <w:t xml:space="preserve">-bedroom units, 30 precent are two-bedroom units, and </w:t>
      </w:r>
      <w:r w:rsidR="00E6771F">
        <w:t>five</w:t>
      </w:r>
      <w:r w:rsidRPr="00833A23">
        <w:t xml:space="preserve"> precent are three-bedroom units.</w:t>
      </w:r>
    </w:p>
    <w:p w14:paraId="1FB944F2" w14:textId="35168786" w:rsidR="00E6771F" w:rsidRPr="003F2C86" w:rsidRDefault="00833A23" w:rsidP="003F2C86">
      <w:pPr>
        <w:pStyle w:val="DecisionBody"/>
      </w:pPr>
      <w:r w:rsidRPr="00833A23">
        <w:t>Parcel 1 proposes a ten-storey mid-rise building with frontage onto Royal York and two towers with heights of seventeen and thirty-five-storeys connected by an eight</w:t>
      </w:r>
      <w:r>
        <w:t xml:space="preserve"> </w:t>
      </w:r>
      <w:r w:rsidRPr="00833A23">
        <w:t>storey base building containing 5,000 square metres of non-residential gross floor area. A 646 m2 open space is in the middle of Parcel 1, fronting Queen Eliz</w:t>
      </w:r>
      <w:r w:rsidRPr="00833A23">
        <w:lastRenderedPageBreak/>
        <w:t>abeth Boulevard. On Parcel 2, a twenty-storey mixed-use building containing employment gross floor area is proposed, containing 1,000 square metres of non-residential gross floor area. Frontages are along Sinclair Street (129 m</w:t>
      </w:r>
      <w:r w:rsidR="00E6771F">
        <w:t>etres</w:t>
      </w:r>
      <w:r w:rsidRPr="00833A23">
        <w:t>), Royal York Road (141 m</w:t>
      </w:r>
      <w:r w:rsidR="00E6771F">
        <w:t>etres</w:t>
      </w:r>
      <w:r w:rsidRPr="00833A23">
        <w:t>), and Queen Elizabeth Boulevard (180 m</w:t>
      </w:r>
      <w:r w:rsidR="00E6771F">
        <w:t>etres</w:t>
      </w:r>
      <w:r w:rsidRPr="00833A23">
        <w:t>).</w:t>
      </w:r>
    </w:p>
    <w:p w14:paraId="7875431F" w14:textId="3AFD3A7B" w:rsidR="00E02A07" w:rsidRDefault="00003482" w:rsidP="00E6771F">
      <w:pPr>
        <w:pStyle w:val="DecisionBody"/>
        <w:numPr>
          <w:ilvl w:val="0"/>
          <w:numId w:val="0"/>
        </w:numPr>
        <w:rPr>
          <w:b/>
          <w:bCs w:val="0"/>
        </w:rPr>
      </w:pPr>
      <w:r>
        <w:rPr>
          <w:b/>
          <w:bCs w:val="0"/>
        </w:rPr>
        <w:t>CONFIRMATION OF</w:t>
      </w:r>
      <w:r w:rsidR="00541A24" w:rsidRPr="00541A24">
        <w:rPr>
          <w:b/>
          <w:bCs w:val="0"/>
        </w:rPr>
        <w:t xml:space="preserve"> STATUS</w:t>
      </w:r>
    </w:p>
    <w:p w14:paraId="083D5D4D" w14:textId="54B1AA11" w:rsidR="00633D48" w:rsidRPr="00633D48" w:rsidRDefault="00633D48" w:rsidP="000A3FEE">
      <w:pPr>
        <w:pStyle w:val="DecisionBody"/>
        <w:rPr>
          <w:b/>
          <w:bCs w:val="0"/>
        </w:rPr>
      </w:pPr>
      <w:r>
        <w:t>At the first CMC</w:t>
      </w:r>
      <w:r w:rsidR="00792E2F">
        <w:t>,</w:t>
      </w:r>
      <w:r>
        <w:t xml:space="preserve"> the</w:t>
      </w:r>
      <w:r w:rsidRPr="00633D48">
        <w:t xml:space="preserve"> Tribunal </w:t>
      </w:r>
      <w:r w:rsidR="00FB0FF8">
        <w:t>provided Mr. Russo</w:t>
      </w:r>
      <w:r w:rsidR="00AD1E41">
        <w:t xml:space="preserve"> with an explanation of the responsibilities associated with both Party and Participant status.  </w:t>
      </w:r>
      <w:r w:rsidR="00A84844">
        <w:t>In an email received by the Case Coordinator on Fe</w:t>
      </w:r>
      <w:r w:rsidR="00444266">
        <w:t xml:space="preserve">bruary 9, 2024, </w:t>
      </w:r>
      <w:r w:rsidR="00CB5B64">
        <w:t>Mr. Russo</w:t>
      </w:r>
      <w:r w:rsidR="00A84844">
        <w:t xml:space="preserve"> indicated </w:t>
      </w:r>
      <w:r w:rsidR="00444266">
        <w:t xml:space="preserve">he would </w:t>
      </w:r>
      <w:r w:rsidR="00A93EE0">
        <w:t xml:space="preserve">continue </w:t>
      </w:r>
      <w:r w:rsidR="00003482">
        <w:t xml:space="preserve">to participate in this matter </w:t>
      </w:r>
      <w:r w:rsidR="00CB5B64">
        <w:t>under</w:t>
      </w:r>
      <w:r w:rsidR="00A93EE0">
        <w:t xml:space="preserve"> Participant status</w:t>
      </w:r>
      <w:r w:rsidR="00003482">
        <w:t>.</w:t>
      </w:r>
      <w:r w:rsidR="00CB5B64">
        <w:t xml:space="preserve"> </w:t>
      </w:r>
      <w:r w:rsidR="00003482">
        <w:t>H</w:t>
      </w:r>
      <w:r w:rsidR="00CB5B64">
        <w:t xml:space="preserve">aving provided </w:t>
      </w:r>
      <w:r w:rsidR="00A93EE0">
        <w:t>his submission of September 15, 2023</w:t>
      </w:r>
      <w:r w:rsidR="00003482">
        <w:t>, t</w:t>
      </w:r>
      <w:r w:rsidR="00390719">
        <w:t>he Tribunal indi</w:t>
      </w:r>
      <w:r w:rsidR="00390719">
        <w:lastRenderedPageBreak/>
        <w:t xml:space="preserve">cated that </w:t>
      </w:r>
      <w:r w:rsidR="002E1B4C">
        <w:t xml:space="preserve">his comments would continue to remain on file for </w:t>
      </w:r>
      <w:r w:rsidR="002E0F81">
        <w:t>consideration during the merit hearing</w:t>
      </w:r>
      <w:r w:rsidRPr="00633D48">
        <w:t xml:space="preserve">. </w:t>
      </w:r>
    </w:p>
    <w:p w14:paraId="51AEE0B7" w14:textId="5708D0C1" w:rsidR="00A34B42" w:rsidRDefault="00A34B42" w:rsidP="00E6771F">
      <w:pPr>
        <w:pStyle w:val="DecisionBody"/>
        <w:numPr>
          <w:ilvl w:val="0"/>
          <w:numId w:val="0"/>
        </w:numPr>
        <w:rPr>
          <w:b/>
          <w:bCs w:val="0"/>
        </w:rPr>
      </w:pPr>
      <w:r w:rsidRPr="00A34B42">
        <w:rPr>
          <w:b/>
          <w:bCs w:val="0"/>
        </w:rPr>
        <w:t>Mediation</w:t>
      </w:r>
    </w:p>
    <w:p w14:paraId="6DA99346" w14:textId="1941E9BF" w:rsidR="00866E24" w:rsidRDefault="00866E24" w:rsidP="003904CD">
      <w:pPr>
        <w:pStyle w:val="DecisionBody"/>
        <w:rPr>
          <w:b/>
          <w:bCs w:val="0"/>
        </w:rPr>
      </w:pPr>
      <w:r>
        <w:t xml:space="preserve">The </w:t>
      </w:r>
      <w:r w:rsidR="00F3591A">
        <w:t xml:space="preserve">Parties </w:t>
      </w:r>
      <w:r w:rsidR="00A25C36">
        <w:t xml:space="preserve">indicated they </w:t>
      </w:r>
      <w:r w:rsidR="002E0F81">
        <w:t>have now secured th</w:t>
      </w:r>
      <w:r w:rsidR="00DE6B69">
        <w:t>ree</w:t>
      </w:r>
      <w:r w:rsidR="002E0F81">
        <w:t xml:space="preserve"> da</w:t>
      </w:r>
      <w:r w:rsidR="00DE6B69">
        <w:t>ys</w:t>
      </w:r>
      <w:r w:rsidR="002E0F81">
        <w:t xml:space="preserve"> </w:t>
      </w:r>
      <w:r w:rsidR="00DE6B69">
        <w:t xml:space="preserve">beginning </w:t>
      </w:r>
      <w:r w:rsidR="002E0F81">
        <w:t>March 1, 2024</w:t>
      </w:r>
      <w:r w:rsidR="00307646">
        <w:t>,</w:t>
      </w:r>
      <w:r w:rsidR="002E0F81">
        <w:t xml:space="preserve"> for</w:t>
      </w:r>
      <w:r w:rsidR="00C31800">
        <w:t xml:space="preserve"> Tribunal</w:t>
      </w:r>
      <w:r w:rsidR="00F73E2E">
        <w:t>-led</w:t>
      </w:r>
      <w:r w:rsidR="00A25C36">
        <w:t xml:space="preserve"> mediation</w:t>
      </w:r>
      <w:r w:rsidR="002E0F81">
        <w:t xml:space="preserve">. </w:t>
      </w:r>
      <w:r w:rsidR="008B1851">
        <w:t>Both Parties</w:t>
      </w:r>
      <w:r w:rsidR="005726FC">
        <w:t xml:space="preserve"> are encourage</w:t>
      </w:r>
      <w:r w:rsidR="007466B6">
        <w:t>d</w:t>
      </w:r>
      <w:r w:rsidR="005726FC">
        <w:t xml:space="preserve"> by the discussion</w:t>
      </w:r>
      <w:r w:rsidR="00307646">
        <w:t>s</w:t>
      </w:r>
      <w:r w:rsidR="005726FC">
        <w:t xml:space="preserve"> held thus far and are </w:t>
      </w:r>
      <w:r w:rsidR="00BA14C7">
        <w:t xml:space="preserve">hopeful that the issues identified in the draft Procedural Order (“PO”) </w:t>
      </w:r>
      <w:r w:rsidR="008B1851">
        <w:t xml:space="preserve">and Issues List (“IL”) </w:t>
      </w:r>
      <w:r w:rsidR="00307646">
        <w:t>submitted to the Tribunal on February 15, 2024</w:t>
      </w:r>
      <w:r w:rsidR="006A07EA">
        <w:t>,</w:t>
      </w:r>
      <w:r w:rsidR="00557E4F">
        <w:t xml:space="preserve"> </w:t>
      </w:r>
      <w:r w:rsidR="00BA14C7">
        <w:t xml:space="preserve">will be fully discussed in an effort to resolve </w:t>
      </w:r>
      <w:r w:rsidR="007D68FC">
        <w:t>or redu</w:t>
      </w:r>
      <w:r w:rsidR="00BD1CAA">
        <w:t xml:space="preserve">ce those in dispute.  </w:t>
      </w:r>
      <w:r w:rsidR="00CA1166">
        <w:t xml:space="preserve">In an effort to keep the discussions focussed on the </w:t>
      </w:r>
      <w:r w:rsidR="00991FD2">
        <w:t xml:space="preserve">issues identified, the Parties requested that the draft PO be approved </w:t>
      </w:r>
      <w:r w:rsidR="004F3799">
        <w:t xml:space="preserve">at this time while leaving the opportunity to amend the </w:t>
      </w:r>
      <w:r w:rsidR="00FC2F3D">
        <w:t xml:space="preserve">PO and </w:t>
      </w:r>
      <w:r w:rsidR="008B1851">
        <w:t>IL</w:t>
      </w:r>
      <w:r w:rsidR="004F3799">
        <w:t xml:space="preserve"> once mediation </w:t>
      </w:r>
      <w:r w:rsidR="004F3799">
        <w:lastRenderedPageBreak/>
        <w:t>has concluded.</w:t>
      </w:r>
    </w:p>
    <w:p w14:paraId="45A5D5B0" w14:textId="6F4964B6" w:rsidR="003904CD" w:rsidRPr="003904CD" w:rsidRDefault="003904CD" w:rsidP="00E6771F">
      <w:pPr>
        <w:pStyle w:val="DecisionBody"/>
        <w:numPr>
          <w:ilvl w:val="0"/>
          <w:numId w:val="0"/>
        </w:numPr>
        <w:rPr>
          <w:b/>
          <w:bCs w:val="0"/>
        </w:rPr>
      </w:pPr>
      <w:r w:rsidRPr="003904CD">
        <w:rPr>
          <w:b/>
          <w:bCs w:val="0"/>
        </w:rPr>
        <w:t>Next Steps</w:t>
      </w:r>
    </w:p>
    <w:p w14:paraId="5E301E9D" w14:textId="77777777" w:rsidR="009A067D" w:rsidRDefault="00C74131" w:rsidP="00925CEB">
      <w:pPr>
        <w:pStyle w:val="DecisionBody"/>
      </w:pPr>
      <w:r>
        <w:t xml:space="preserve">The Tribunal having been advised by the Appellant that there are no concerns with the Issues list </w:t>
      </w:r>
      <w:r w:rsidR="00B06EAA">
        <w:t xml:space="preserve">and timelines </w:t>
      </w:r>
      <w:r>
        <w:t>submitted with the draft PO</w:t>
      </w:r>
      <w:r w:rsidR="0085157C">
        <w:t xml:space="preserve">, approves the draft PO and IL </w:t>
      </w:r>
      <w:r w:rsidR="00C36425" w:rsidRPr="00530969">
        <w:rPr>
          <w:rFonts w:asciiTheme="minorHAnsi" w:hAnsiTheme="minorHAnsi" w:cstheme="minorHAnsi"/>
        </w:rPr>
        <w:t xml:space="preserve">to </w:t>
      </w:r>
      <w:r w:rsidR="00530969" w:rsidRPr="00530969">
        <w:rPr>
          <w:rFonts w:asciiTheme="minorHAnsi" w:hAnsiTheme="minorHAnsi" w:cstheme="minorHAnsi"/>
        </w:rPr>
        <w:t>govern the proceedings leading up to and including the Hearing of the merits</w:t>
      </w:r>
      <w:r w:rsidR="00530969">
        <w:t xml:space="preserve">. </w:t>
      </w:r>
    </w:p>
    <w:p w14:paraId="04D80917" w14:textId="1E8E8FD2" w:rsidR="00DE085C" w:rsidRDefault="001B57BD" w:rsidP="00925CEB">
      <w:pPr>
        <w:pStyle w:val="DecisionBody"/>
      </w:pPr>
      <w:r>
        <w:t xml:space="preserve">The Parties are directed to </w:t>
      </w:r>
      <w:r w:rsidR="00C84FE4">
        <w:t xml:space="preserve">advise the Tribunal if a settlement has been reached or </w:t>
      </w:r>
      <w:r w:rsidR="00D369C8">
        <w:t xml:space="preserve">to </w:t>
      </w:r>
      <w:r w:rsidR="00335E6B">
        <w:t>submit a</w:t>
      </w:r>
      <w:r w:rsidR="00CB5B64">
        <w:t>ny amendments to the</w:t>
      </w:r>
      <w:r w:rsidR="00335E6B">
        <w:t xml:space="preserve"> draft Procedural Order </w:t>
      </w:r>
      <w:r w:rsidR="00925CEB">
        <w:t xml:space="preserve">no later than </w:t>
      </w:r>
      <w:r w:rsidR="00DE6B69">
        <w:rPr>
          <w:b/>
          <w:bCs w:val="0"/>
        </w:rPr>
        <w:t>Friday March 29, 2024.</w:t>
      </w:r>
    </w:p>
    <w:p w14:paraId="396A1C51" w14:textId="446064D5" w:rsidR="008F0F5D" w:rsidRPr="00FC2F3D" w:rsidRDefault="008F0F5D" w:rsidP="00FD74B8">
      <w:pPr>
        <w:pStyle w:val="DecisionBody"/>
        <w:rPr>
          <w:rFonts w:cs="Arial"/>
          <w:i/>
        </w:rPr>
      </w:pPr>
      <w:r>
        <w:t xml:space="preserve">The Tribunal inquired as to whether there were any other matters to be addressed which might assist in the </w:t>
      </w:r>
      <w:r>
        <w:lastRenderedPageBreak/>
        <w:t>fair, just and expeditious resolution of this matter. The Parties indicated that there were none.</w:t>
      </w:r>
    </w:p>
    <w:p w14:paraId="759E170B" w14:textId="33CBD4C3" w:rsidR="00FC2F3D" w:rsidRPr="006E08C5" w:rsidRDefault="00FC2F3D" w:rsidP="00E6771F">
      <w:pPr>
        <w:pStyle w:val="DecisionBody"/>
        <w:numPr>
          <w:ilvl w:val="0"/>
          <w:numId w:val="0"/>
        </w:numPr>
        <w:rPr>
          <w:rFonts w:cs="Arial"/>
          <w:b/>
          <w:bCs w:val="0"/>
          <w:i/>
        </w:rPr>
      </w:pPr>
      <w:r w:rsidRPr="006E08C5">
        <w:rPr>
          <w:b/>
          <w:bCs w:val="0"/>
        </w:rPr>
        <w:t>ORDER</w:t>
      </w:r>
    </w:p>
    <w:p w14:paraId="578831B2" w14:textId="3D729F3B" w:rsidR="00C67BAD" w:rsidRPr="00435CB4" w:rsidRDefault="00C67BAD" w:rsidP="00FD74B8">
      <w:pPr>
        <w:pStyle w:val="DecisionBody"/>
        <w:rPr>
          <w:rFonts w:cs="Arial"/>
          <w:i/>
        </w:rPr>
      </w:pPr>
      <w:r w:rsidRPr="006E08C5">
        <w:rPr>
          <w:b/>
          <w:bCs w:val="0"/>
        </w:rPr>
        <w:t>THE TRIBUNAL ORDERS</w:t>
      </w:r>
      <w:r>
        <w:t xml:space="preserve"> that the attached Procedural Order </w:t>
      </w:r>
      <w:r w:rsidR="006E08C5">
        <w:t xml:space="preserve">inclusive of identified Issues list will </w:t>
      </w:r>
      <w:r w:rsidR="006E08C5" w:rsidRPr="00530969">
        <w:rPr>
          <w:rFonts w:asciiTheme="minorHAnsi" w:hAnsiTheme="minorHAnsi" w:cstheme="minorHAnsi"/>
        </w:rPr>
        <w:t>govern the proceedings leading up to and including the Hearing of the merits</w:t>
      </w:r>
      <w:r w:rsidR="006E08C5">
        <w:rPr>
          <w:rFonts w:asciiTheme="minorHAnsi" w:hAnsiTheme="minorHAnsi" w:cstheme="minorHAnsi"/>
        </w:rPr>
        <w:t xml:space="preserve">. </w:t>
      </w:r>
    </w:p>
    <w:p w14:paraId="62120985" w14:textId="4B47C958" w:rsidR="00435CB4" w:rsidRPr="00435CB4" w:rsidRDefault="00435CB4" w:rsidP="00FD74B8">
      <w:pPr>
        <w:pStyle w:val="DecisionBody"/>
        <w:rPr>
          <w:rFonts w:cs="Arial"/>
          <w:i/>
        </w:rPr>
      </w:pPr>
      <w:r w:rsidRPr="006E08C5">
        <w:rPr>
          <w:b/>
          <w:bCs w:val="0"/>
        </w:rPr>
        <w:t>THE TRIBUNAL ORDERS</w:t>
      </w:r>
      <w:r>
        <w:rPr>
          <w:b/>
          <w:bCs w:val="0"/>
        </w:rPr>
        <w:t xml:space="preserve"> </w:t>
      </w:r>
      <w:r w:rsidRPr="00435CB4">
        <w:t>that any</w:t>
      </w:r>
      <w:r>
        <w:rPr>
          <w:b/>
          <w:bCs w:val="0"/>
        </w:rPr>
        <w:t xml:space="preserve"> </w:t>
      </w:r>
      <w:r w:rsidR="00B62A48" w:rsidRPr="00B62A48">
        <w:t>requested</w:t>
      </w:r>
      <w:r w:rsidR="00B62A48">
        <w:rPr>
          <w:b/>
          <w:bCs w:val="0"/>
        </w:rPr>
        <w:t xml:space="preserve"> </w:t>
      </w:r>
      <w:r w:rsidRPr="00435CB4">
        <w:t>amen</w:t>
      </w:r>
      <w:r>
        <w:t xml:space="preserve">dments to the attached Procedural Order </w:t>
      </w:r>
      <w:r w:rsidR="00F05103">
        <w:t xml:space="preserve">and Issues List be advanced to the Case Coordinator on or before </w:t>
      </w:r>
      <w:r w:rsidR="00F05103" w:rsidRPr="00B62A48">
        <w:rPr>
          <w:b/>
          <w:bCs w:val="0"/>
        </w:rPr>
        <w:t>Friday March 29, 2024</w:t>
      </w:r>
      <w:r w:rsidR="00B62A48">
        <w:t>,</w:t>
      </w:r>
      <w:r w:rsidR="00F05103">
        <w:t xml:space="preserve"> for </w:t>
      </w:r>
      <w:r w:rsidR="00B62A48">
        <w:t>final consideration and approval by the Tribunal.</w:t>
      </w:r>
    </w:p>
    <w:p w14:paraId="5AE7B2D8" w14:textId="77777777" w:rsidR="0028262A" w:rsidRDefault="0028262A" w:rsidP="0028262A">
      <w:pPr>
        <w:pStyle w:val="DecisionBody"/>
      </w:pPr>
      <w:r>
        <w:rPr>
          <w:lang w:eastAsia="en-CA"/>
        </w:rPr>
        <w:t xml:space="preserve">This Member is not seized but will continue to </w:t>
      </w:r>
      <w:r>
        <w:rPr>
          <w:lang w:eastAsia="en-CA"/>
        </w:rPr>
        <w:lastRenderedPageBreak/>
        <w:t>manage this file.</w:t>
      </w:r>
    </w:p>
    <w:p w14:paraId="632D14FE" w14:textId="68EC7A83" w:rsidR="00CA1F7B" w:rsidRPr="002A0A31" w:rsidRDefault="00046F6F" w:rsidP="00046F6F">
      <w:pPr>
        <w:pStyle w:val="DecisionBody"/>
        <w:rPr>
          <w:i/>
        </w:rPr>
      </w:pPr>
      <w:r>
        <w:rPr>
          <w:lang w:eastAsia="en-CA"/>
        </w:rPr>
        <w:t>This Member remains available through the Case Coordinator should the need arise.</w:t>
      </w:r>
    </w:p>
    <w:p w14:paraId="43B7C001" w14:textId="6A836E00" w:rsidR="00DB0C6F" w:rsidRPr="00E6771F" w:rsidRDefault="00E6771F" w:rsidP="00E6771F">
      <w:pPr>
        <w:pStyle w:val="DecisionBody"/>
        <w:numPr>
          <w:ilvl w:val="0"/>
          <w:numId w:val="0"/>
        </w:numPr>
        <w:jc w:val="right"/>
        <w:rPr>
          <w:i/>
        </w:rPr>
      </w:pPr>
      <w:r>
        <w:rPr>
          <w:i/>
        </w:rPr>
        <w:t>“D. Chipman”</w:t>
      </w:r>
    </w:p>
    <w:p w14:paraId="73573F97" w14:textId="1483451D" w:rsidR="00DB0C6F" w:rsidRDefault="003D4A1F" w:rsidP="00E6771F">
      <w:pPr>
        <w:pStyle w:val="DecisionBody"/>
        <w:numPr>
          <w:ilvl w:val="0"/>
          <w:numId w:val="0"/>
        </w:numPr>
        <w:spacing w:beforeLines="0" w:before="0" w:afterLines="0" w:after="0" w:line="240" w:lineRule="auto"/>
        <w:ind w:left="7371"/>
        <w:jc w:val="right"/>
      </w:pPr>
      <w:r>
        <w:tab/>
      </w:r>
      <w:r w:rsidR="00FB4FFB">
        <w:t>D. C</w:t>
      </w:r>
      <w:r w:rsidR="00E6771F">
        <w:t>H</w:t>
      </w:r>
      <w:r w:rsidR="00FB4FFB">
        <w:t>IPMAN</w:t>
      </w:r>
    </w:p>
    <w:p w14:paraId="726A27A6" w14:textId="77777777" w:rsidR="00DB0C6F" w:rsidRPr="00AC548D" w:rsidRDefault="00DB0C6F" w:rsidP="00E6771F">
      <w:pPr>
        <w:pStyle w:val="MemberSignatureNameandTitle"/>
      </w:pPr>
      <w:bookmarkStart w:id="3" w:name="_Hlk102582480"/>
      <w:r>
        <w:t>MEMBER</w:t>
      </w:r>
    </w:p>
    <w:bookmarkEnd w:id="3"/>
    <w:p w14:paraId="5CF2BD00" w14:textId="674997AB" w:rsidR="00DB0C6F" w:rsidRDefault="00DB0C6F" w:rsidP="00DB0C6F">
      <w:pPr>
        <w:ind w:left="7920"/>
      </w:pPr>
    </w:p>
    <w:p w14:paraId="0D4C5FD4" w14:textId="46050049" w:rsidR="00DB0C6F" w:rsidRDefault="00DB0C6F" w:rsidP="00DB0C6F">
      <w:pPr>
        <w:ind w:left="7920"/>
      </w:pPr>
    </w:p>
    <w:p w14:paraId="1CAEA20A" w14:textId="2196BD99" w:rsidR="00DB0C6F" w:rsidRDefault="00DB0C6F" w:rsidP="00DB0C6F">
      <w:pPr>
        <w:ind w:left="7920"/>
      </w:pPr>
    </w:p>
    <w:p w14:paraId="2EF46D93" w14:textId="3E3AF6F2" w:rsidR="00E6771F" w:rsidRDefault="00E6771F" w:rsidP="00DB0C6F">
      <w:pPr>
        <w:ind w:left="7920"/>
      </w:pPr>
    </w:p>
    <w:p w14:paraId="772079E0" w14:textId="4420792C" w:rsidR="00E6771F" w:rsidRDefault="00E6771F" w:rsidP="00DB0C6F">
      <w:pPr>
        <w:ind w:left="7920"/>
      </w:pPr>
    </w:p>
    <w:p w14:paraId="2CD55FEE" w14:textId="10CE0A3A" w:rsidR="00E6771F" w:rsidRDefault="00E6771F" w:rsidP="00DB0C6F">
      <w:pPr>
        <w:ind w:left="7920"/>
      </w:pPr>
    </w:p>
    <w:p w14:paraId="4B6B019A" w14:textId="18300D64" w:rsidR="00E6771F" w:rsidRDefault="00E6771F" w:rsidP="00DB0C6F">
      <w:pPr>
        <w:ind w:left="7920"/>
      </w:pPr>
    </w:p>
    <w:p w14:paraId="067E69DB" w14:textId="3AAFB6B3" w:rsidR="003F2C86" w:rsidRDefault="003F2C86" w:rsidP="00DB0C6F">
      <w:pPr>
        <w:ind w:left="7920"/>
      </w:pPr>
    </w:p>
    <w:p w14:paraId="0200B717" w14:textId="707C9A76" w:rsidR="003F2C86" w:rsidRDefault="003F2C86" w:rsidP="00DB0C6F">
      <w:pPr>
        <w:ind w:left="7920"/>
      </w:pPr>
    </w:p>
    <w:p w14:paraId="773E880B" w14:textId="34F60369" w:rsidR="003F2C86" w:rsidRDefault="003F2C86" w:rsidP="00DB0C6F">
      <w:pPr>
        <w:ind w:left="7920"/>
      </w:pPr>
    </w:p>
    <w:p w14:paraId="5CED9EE5" w14:textId="22F5A989" w:rsidR="003F2C86" w:rsidRDefault="003F2C86" w:rsidP="00DB0C6F">
      <w:pPr>
        <w:ind w:left="7920"/>
      </w:pPr>
    </w:p>
    <w:p w14:paraId="4575A74A" w14:textId="4D9F9667" w:rsidR="003F2C86" w:rsidRDefault="003F2C86" w:rsidP="00DB0C6F">
      <w:pPr>
        <w:ind w:left="7920"/>
      </w:pPr>
    </w:p>
    <w:p w14:paraId="7E59C30F" w14:textId="549D07E4" w:rsidR="003F2C86" w:rsidRDefault="003F2C86" w:rsidP="00DB0C6F">
      <w:pPr>
        <w:ind w:left="7920"/>
      </w:pPr>
    </w:p>
    <w:p w14:paraId="27448FF8" w14:textId="0C53E447" w:rsidR="003F2C86" w:rsidRDefault="003F2C86" w:rsidP="00DB0C6F">
      <w:pPr>
        <w:ind w:left="7920"/>
      </w:pPr>
    </w:p>
    <w:p w14:paraId="096940B4" w14:textId="25E3E2C1" w:rsidR="003F2C86" w:rsidRDefault="003F2C86" w:rsidP="00DB0C6F">
      <w:pPr>
        <w:ind w:left="7920"/>
      </w:pPr>
    </w:p>
    <w:p w14:paraId="327EC3C8" w14:textId="442995F0" w:rsidR="003F2C86" w:rsidRDefault="003F2C86" w:rsidP="00DB0C6F">
      <w:pPr>
        <w:ind w:left="7920"/>
      </w:pPr>
    </w:p>
    <w:p w14:paraId="0A6A0091" w14:textId="1FA46F21" w:rsidR="003F2C86" w:rsidRDefault="003F2C86" w:rsidP="00DB0C6F">
      <w:pPr>
        <w:ind w:left="7920"/>
      </w:pPr>
    </w:p>
    <w:p w14:paraId="0247FE2A" w14:textId="1EEE3513" w:rsidR="003F2C86" w:rsidRDefault="003F2C86" w:rsidP="00DB0C6F">
      <w:pPr>
        <w:ind w:left="7920"/>
      </w:pPr>
    </w:p>
    <w:p w14:paraId="3376ED00" w14:textId="77777777" w:rsidR="003F2C86" w:rsidRDefault="003F2C86" w:rsidP="00DB0C6F">
      <w:pPr>
        <w:ind w:left="7920"/>
      </w:pPr>
    </w:p>
    <w:p w14:paraId="40FEC003" w14:textId="77777777" w:rsidR="00E6771F" w:rsidRDefault="00E6771F" w:rsidP="00DB0C6F">
      <w:pPr>
        <w:ind w:left="7920"/>
      </w:pPr>
    </w:p>
    <w:p w14:paraId="48E0D5D3" w14:textId="77777777" w:rsidR="00E6771F" w:rsidRDefault="00E6771F" w:rsidP="00DB0C6F">
      <w:pPr>
        <w:ind w:left="7920"/>
      </w:pPr>
    </w:p>
    <w:p w14:paraId="09B58029" w14:textId="77777777" w:rsidR="00DB0C6F" w:rsidRPr="00DB0C6F" w:rsidRDefault="00DB0C6F" w:rsidP="00DB0C6F">
      <w:pPr>
        <w:pStyle w:val="Footer"/>
        <w:jc w:val="center"/>
        <w:rPr>
          <w:rFonts w:asciiTheme="minorHAnsi" w:hAnsiTheme="minorHAnsi" w:cstheme="minorHAnsi"/>
          <w:b/>
        </w:rPr>
      </w:pPr>
      <w:r w:rsidRPr="00DB0C6F">
        <w:rPr>
          <w:rFonts w:asciiTheme="minorHAnsi" w:hAnsiTheme="minorHAnsi" w:cstheme="minorHAnsi"/>
          <w:b/>
        </w:rPr>
        <w:t>Ontario Land Tribunal</w:t>
      </w:r>
    </w:p>
    <w:p w14:paraId="13024CE9" w14:textId="77777777" w:rsidR="00DB0C6F" w:rsidRPr="00DB0C6F" w:rsidRDefault="00DB0C6F" w:rsidP="00DB0C6F">
      <w:pPr>
        <w:pStyle w:val="Footer"/>
        <w:jc w:val="center"/>
        <w:rPr>
          <w:rFonts w:ascii="Arial" w:hAnsi="Arial" w:cs="Arial"/>
        </w:rPr>
      </w:pPr>
      <w:r w:rsidRPr="00DB0C6F">
        <w:rPr>
          <w:rFonts w:ascii="Arial" w:hAnsi="Arial" w:cs="Arial"/>
        </w:rPr>
        <w:t xml:space="preserve">Website: </w:t>
      </w:r>
      <w:hyperlink r:id="rId9" w:history="1">
        <w:r w:rsidRPr="00DB0C6F">
          <w:rPr>
            <w:rStyle w:val="Hyperlink"/>
            <w:rFonts w:ascii="Arial" w:eastAsiaTheme="majorEastAsia" w:hAnsi="Arial" w:cs="Arial"/>
          </w:rPr>
          <w:t>olt.gov.on.ca</w:t>
        </w:r>
      </w:hyperlink>
      <w:r w:rsidRPr="00DB0C6F">
        <w:rPr>
          <w:rFonts w:ascii="Arial" w:hAnsi="Arial" w:cs="Arial"/>
        </w:rPr>
        <w:t xml:space="preserve">   Telephone: 416-212-6349   Toll Free: 1-866-448-2248</w:t>
      </w:r>
    </w:p>
    <w:p w14:paraId="5A4D39F8" w14:textId="77777777" w:rsidR="00DB0C6F" w:rsidRPr="00DB0C6F" w:rsidRDefault="00DB0C6F" w:rsidP="00DB0C6F">
      <w:pPr>
        <w:jc w:val="center"/>
        <w:rPr>
          <w:rFonts w:ascii="Arial" w:hAnsi="Arial" w:cs="Arial"/>
        </w:rPr>
      </w:pPr>
    </w:p>
    <w:p w14:paraId="59E124D6" w14:textId="6D74EDCE" w:rsidR="00DB0C6F" w:rsidRDefault="00DB0C6F" w:rsidP="00E6771F">
      <w:pPr>
        <w:rPr>
          <w:rFonts w:ascii="Arial" w:hAnsi="Arial" w:cs="Arial"/>
        </w:rPr>
      </w:pPr>
      <w:r w:rsidRPr="005873BD">
        <w:rPr>
          <w:rFonts w:ascii="Arial" w:hAnsi="Arial" w:cs="Arial"/>
        </w:rPr>
        <w:t>The Conservation Review Board, the Environmental Review Tribunal, the Local Planning Appeal Tribunal and the Mining and Lands Tribunal are amalgamated and continued as the Ontario Land Tribunal (“Tribunal”). Any reference to the preceding tribunals or the former Ontario Municipal Board is deemed to be a reference to the Tribunal</w:t>
      </w:r>
      <w:r w:rsidR="006D58A8">
        <w:rPr>
          <w:rFonts w:ascii="Arial" w:hAnsi="Arial" w:cs="Arial"/>
        </w:rPr>
        <w:t>.</w:t>
      </w:r>
    </w:p>
    <w:p w14:paraId="1ECE55A6" w14:textId="77777777" w:rsidR="0083351E" w:rsidRDefault="0083351E" w:rsidP="0083351E">
      <w:pPr>
        <w:pStyle w:val="c3"/>
        <w:tabs>
          <w:tab w:val="left" w:pos="7920"/>
        </w:tabs>
        <w:jc w:val="left"/>
        <w:rPr>
          <w:rFonts w:ascii="Arial" w:hAnsi="Arial" w:cs="Arial"/>
          <w:b/>
          <w:sz w:val="24"/>
          <w:szCs w:val="24"/>
          <w:lang w:val="en-CA"/>
        </w:rPr>
      </w:pPr>
      <w:r w:rsidRPr="005D3FF3">
        <w:rPr>
          <w:rFonts w:ascii="Arial" w:hAnsi="Arial" w:cs="Arial"/>
          <w:noProof/>
          <w:color w:val="000000"/>
          <w:sz w:val="27"/>
          <w:szCs w:val="27"/>
          <w:lang w:eastAsia="en-CA"/>
        </w:rPr>
        <w:drawing>
          <wp:inline distT="0" distB="0" distL="0" distR="0" wp14:anchorId="6906784E" wp14:editId="38423402">
            <wp:extent cx="3381375" cy="78486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addre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784860"/>
                    </a:xfrm>
                    <a:prstGeom prst="rect">
                      <a:avLst/>
                    </a:prstGeom>
                    <a:noFill/>
                    <a:ln>
                      <a:noFill/>
                    </a:ln>
                  </pic:spPr>
                </pic:pic>
              </a:graphicData>
            </a:graphic>
          </wp:inline>
        </w:drawing>
      </w:r>
    </w:p>
    <w:p w14:paraId="6CB87FCB" w14:textId="77777777" w:rsidR="0083351E" w:rsidRPr="00AC7DB6" w:rsidRDefault="0083351E" w:rsidP="0083351E">
      <w:pPr>
        <w:pStyle w:val="c3"/>
        <w:tabs>
          <w:tab w:val="left" w:pos="7920"/>
        </w:tabs>
        <w:spacing w:line="240" w:lineRule="auto"/>
        <w:jc w:val="right"/>
        <w:rPr>
          <w:rFonts w:ascii="Arial" w:hAnsi="Arial" w:cs="Arial"/>
          <w:b/>
          <w:sz w:val="24"/>
          <w:szCs w:val="24"/>
          <w:lang w:val="en-CA"/>
        </w:rPr>
      </w:pPr>
      <w:r w:rsidRPr="00AC7DB6">
        <w:rPr>
          <w:rFonts w:ascii="Arial" w:hAnsi="Arial" w:cs="Arial"/>
          <w:b/>
          <w:sz w:val="24"/>
          <w:szCs w:val="24"/>
          <w:lang w:val="en-CA"/>
        </w:rPr>
        <w:lastRenderedPageBreak/>
        <w:t xml:space="preserve">OLT Case No. </w:t>
      </w:r>
      <w:r w:rsidRPr="00AC7DB6">
        <w:rPr>
          <w:rFonts w:ascii="Arial" w:hAnsi="Arial" w:cs="Arial"/>
          <w:bCs/>
          <w:sz w:val="24"/>
          <w:szCs w:val="24"/>
          <w:lang w:val="en-CA"/>
        </w:rPr>
        <w:t>OLT-23-000596</w:t>
      </w:r>
    </w:p>
    <w:p w14:paraId="7D0B7B50" w14:textId="77777777" w:rsidR="0083351E" w:rsidRPr="00AC7DB6" w:rsidRDefault="0083351E" w:rsidP="0083351E">
      <w:pPr>
        <w:pStyle w:val="c3"/>
        <w:tabs>
          <w:tab w:val="left" w:pos="7920"/>
        </w:tabs>
        <w:spacing w:line="240" w:lineRule="auto"/>
        <w:jc w:val="right"/>
        <w:rPr>
          <w:rFonts w:ascii="Arial" w:hAnsi="Arial" w:cs="Arial"/>
          <w:b/>
          <w:sz w:val="24"/>
          <w:szCs w:val="24"/>
          <w:lang w:val="en-CA"/>
        </w:rPr>
      </w:pPr>
    </w:p>
    <w:p w14:paraId="3C86B3E8" w14:textId="77777777" w:rsidR="0083351E" w:rsidRPr="00AC7DB6" w:rsidRDefault="0083351E" w:rsidP="0083351E">
      <w:pPr>
        <w:pStyle w:val="c3"/>
        <w:tabs>
          <w:tab w:val="left" w:pos="9560"/>
        </w:tabs>
        <w:spacing w:line="240" w:lineRule="auto"/>
        <w:jc w:val="left"/>
        <w:rPr>
          <w:rFonts w:ascii="Arial" w:hAnsi="Arial" w:cs="Arial"/>
          <w:b/>
          <w:sz w:val="24"/>
          <w:szCs w:val="24"/>
          <w:lang w:val="en-CA"/>
        </w:rPr>
      </w:pPr>
    </w:p>
    <w:p w14:paraId="16B0B143" w14:textId="77777777" w:rsidR="0083351E" w:rsidRPr="00AC7DB6" w:rsidRDefault="0083351E" w:rsidP="0083351E">
      <w:pPr>
        <w:pStyle w:val="c3"/>
        <w:tabs>
          <w:tab w:val="left" w:pos="9560"/>
        </w:tabs>
        <w:spacing w:line="240" w:lineRule="auto"/>
        <w:rPr>
          <w:rFonts w:ascii="Arial" w:hAnsi="Arial" w:cs="Arial"/>
          <w:b/>
          <w:sz w:val="24"/>
          <w:szCs w:val="24"/>
          <w:lang w:val="en-CA"/>
        </w:rPr>
      </w:pPr>
      <w:r w:rsidRPr="00AC7DB6">
        <w:rPr>
          <w:rFonts w:ascii="Arial" w:hAnsi="Arial" w:cs="Arial"/>
          <w:b/>
          <w:sz w:val="24"/>
          <w:szCs w:val="24"/>
          <w:lang w:val="en-CA"/>
        </w:rPr>
        <w:t>ONTARIO LAND TRIBUNAL</w:t>
      </w:r>
    </w:p>
    <w:p w14:paraId="138D12FC" w14:textId="77777777" w:rsidR="0083351E" w:rsidRPr="00AC7DB6" w:rsidRDefault="0083351E" w:rsidP="0083351E">
      <w:pPr>
        <w:pStyle w:val="p4"/>
        <w:tabs>
          <w:tab w:val="left" w:pos="720"/>
        </w:tabs>
        <w:spacing w:line="280" w:lineRule="exact"/>
        <w:ind w:left="0"/>
        <w:jc w:val="center"/>
        <w:rPr>
          <w:rFonts w:ascii="Arial" w:hAnsi="Arial" w:cs="Arial"/>
          <w:sz w:val="24"/>
          <w:szCs w:val="24"/>
          <w:lang w:val="fr-FR"/>
        </w:rPr>
      </w:pPr>
      <w:r w:rsidRPr="00AC7DB6">
        <w:rPr>
          <w:rFonts w:ascii="Arial" w:hAnsi="Arial" w:cs="Arial"/>
          <w:sz w:val="24"/>
          <w:szCs w:val="24"/>
          <w:lang w:val="fr-FR"/>
        </w:rPr>
        <w:t xml:space="preserve">Tribunal ontarien de l’aménagement du territoire </w:t>
      </w:r>
    </w:p>
    <w:p w14:paraId="261E1781" w14:textId="77777777" w:rsidR="0083351E" w:rsidRPr="00AC7DB6" w:rsidRDefault="0083351E" w:rsidP="0083351E">
      <w:pPr>
        <w:pStyle w:val="p4"/>
        <w:tabs>
          <w:tab w:val="left" w:pos="720"/>
        </w:tabs>
        <w:spacing w:line="280" w:lineRule="exact"/>
        <w:ind w:left="0"/>
        <w:jc w:val="center"/>
        <w:rPr>
          <w:rFonts w:ascii="Arial" w:hAnsi="Arial" w:cs="Arial"/>
          <w:sz w:val="24"/>
          <w:szCs w:val="24"/>
          <w:lang w:val="fr-FR"/>
        </w:rPr>
      </w:pPr>
    </w:p>
    <w:p w14:paraId="6B786E0D" w14:textId="77777777" w:rsidR="0083351E" w:rsidRPr="00AC7DB6" w:rsidRDefault="0083351E" w:rsidP="0083351E">
      <w:pPr>
        <w:pStyle w:val="p4"/>
        <w:tabs>
          <w:tab w:val="left" w:pos="720"/>
        </w:tabs>
        <w:spacing w:line="280" w:lineRule="exact"/>
        <w:ind w:left="0"/>
        <w:jc w:val="center"/>
        <w:rPr>
          <w:rFonts w:ascii="Arial" w:hAnsi="Arial" w:cs="Arial"/>
          <w:sz w:val="24"/>
          <w:szCs w:val="24"/>
          <w:lang w:val="fr-FR"/>
        </w:rPr>
      </w:pPr>
    </w:p>
    <w:p w14:paraId="0622DFCA" w14:textId="77777777" w:rsidR="0083351E" w:rsidRPr="00AC7DB6" w:rsidRDefault="0083351E" w:rsidP="0083351E">
      <w:pPr>
        <w:pStyle w:val="p4"/>
        <w:tabs>
          <w:tab w:val="left" w:pos="720"/>
        </w:tabs>
        <w:spacing w:line="280" w:lineRule="exact"/>
        <w:ind w:left="0"/>
        <w:jc w:val="both"/>
        <w:rPr>
          <w:rFonts w:ascii="Arial" w:hAnsi="Arial" w:cs="Arial"/>
          <w:sz w:val="24"/>
          <w:szCs w:val="24"/>
        </w:rPr>
      </w:pPr>
      <w:r w:rsidRPr="00AC7DB6">
        <w:rPr>
          <w:rFonts w:ascii="Arial" w:hAnsi="Arial" w:cs="Arial"/>
          <w:b/>
          <w:sz w:val="24"/>
          <w:szCs w:val="24"/>
        </w:rPr>
        <w:t>PROCEEDING COMMENCED UNDER</w:t>
      </w:r>
      <w:r w:rsidRPr="00AC7DB6">
        <w:rPr>
          <w:rFonts w:ascii="Arial" w:hAnsi="Arial" w:cs="Arial"/>
          <w:sz w:val="24"/>
          <w:szCs w:val="24"/>
        </w:rPr>
        <w:t xml:space="preserve"> subsection 34(11) of the </w:t>
      </w:r>
      <w:r w:rsidRPr="00AC7DB6">
        <w:rPr>
          <w:rFonts w:ascii="Arial" w:hAnsi="Arial" w:cs="Arial"/>
          <w:i/>
          <w:sz w:val="24"/>
          <w:szCs w:val="24"/>
        </w:rPr>
        <w:t>Planning Act</w:t>
      </w:r>
      <w:r w:rsidRPr="00AC7DB6">
        <w:rPr>
          <w:rFonts w:ascii="Arial" w:hAnsi="Arial" w:cs="Arial"/>
          <w:sz w:val="24"/>
          <w:szCs w:val="24"/>
        </w:rPr>
        <w:t xml:space="preserve">, R.S.O 1990, c. P. 13, as </w:t>
      </w:r>
      <w:proofErr w:type="gramStart"/>
      <w:r w:rsidRPr="00AC7DB6">
        <w:rPr>
          <w:rFonts w:ascii="Arial" w:hAnsi="Arial" w:cs="Arial"/>
          <w:sz w:val="24"/>
          <w:szCs w:val="24"/>
        </w:rPr>
        <w:t>amended</w:t>
      </w:r>
      <w:proofErr w:type="gramEnd"/>
    </w:p>
    <w:p w14:paraId="02EFEDA0" w14:textId="77777777" w:rsidR="0083351E" w:rsidRPr="00AC7DB6" w:rsidRDefault="0083351E" w:rsidP="0083351E">
      <w:pPr>
        <w:pStyle w:val="p4"/>
        <w:tabs>
          <w:tab w:val="left" w:pos="720"/>
        </w:tabs>
        <w:spacing w:line="280" w:lineRule="exact"/>
        <w:ind w:left="0"/>
        <w:jc w:val="both"/>
        <w:rPr>
          <w:rFonts w:ascii="Arial" w:hAnsi="Arial" w:cs="Arial"/>
          <w:sz w:val="24"/>
          <w:szCs w:val="24"/>
        </w:rPr>
      </w:pPr>
    </w:p>
    <w:p w14:paraId="497BD12A"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 xml:space="preserve">Applicant and Appellant: </w:t>
      </w:r>
      <w:r w:rsidRPr="00AC7DB6">
        <w:rPr>
          <w:rFonts w:ascii="Arial" w:hAnsi="Arial" w:cs="Arial"/>
          <w:sz w:val="24"/>
          <w:szCs w:val="24"/>
        </w:rPr>
        <w:tab/>
        <w:t xml:space="preserve">Queenscorp (Royal York) Inc. </w:t>
      </w:r>
    </w:p>
    <w:p w14:paraId="2E142163"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Subject:</w:t>
      </w:r>
      <w:r w:rsidRPr="00AC7DB6">
        <w:rPr>
          <w:rFonts w:ascii="Arial" w:hAnsi="Arial" w:cs="Arial"/>
          <w:sz w:val="24"/>
          <w:szCs w:val="24"/>
        </w:rPr>
        <w:tab/>
      </w:r>
      <w:r w:rsidRPr="00AC7DB6">
        <w:rPr>
          <w:rFonts w:ascii="Arial" w:hAnsi="Arial" w:cs="Arial"/>
          <w:sz w:val="24"/>
          <w:szCs w:val="24"/>
        </w:rPr>
        <w:tab/>
        <w:t xml:space="preserve">Application to amend the Zoning By-law – refusal or neglect to make a decision </w:t>
      </w:r>
    </w:p>
    <w:p w14:paraId="55519760"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Description:</w:t>
      </w:r>
      <w:r w:rsidRPr="00AC7DB6">
        <w:rPr>
          <w:rFonts w:ascii="Arial" w:hAnsi="Arial" w:cs="Arial"/>
          <w:sz w:val="24"/>
          <w:szCs w:val="24"/>
        </w:rPr>
        <w:tab/>
        <w:t xml:space="preserve">To permit a 967-unit mixed use development </w:t>
      </w:r>
    </w:p>
    <w:p w14:paraId="3629117F"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 xml:space="preserve">Reference Number: </w:t>
      </w:r>
      <w:r w:rsidRPr="00AC7DB6">
        <w:rPr>
          <w:rFonts w:ascii="Arial" w:hAnsi="Arial" w:cs="Arial"/>
          <w:sz w:val="24"/>
          <w:szCs w:val="24"/>
        </w:rPr>
        <w:tab/>
        <w:t xml:space="preserve">22 144668 WET 03 OZ </w:t>
      </w:r>
    </w:p>
    <w:p w14:paraId="609103E2" w14:textId="77777777" w:rsidR="0083351E" w:rsidRPr="00AC7DB6" w:rsidRDefault="0083351E" w:rsidP="0083351E">
      <w:pPr>
        <w:pStyle w:val="p4"/>
        <w:tabs>
          <w:tab w:val="left" w:pos="720"/>
        </w:tabs>
        <w:spacing w:line="280" w:lineRule="exact"/>
        <w:ind w:left="0"/>
        <w:rPr>
          <w:rFonts w:ascii="Arial" w:hAnsi="Arial" w:cs="Arial"/>
          <w:sz w:val="24"/>
          <w:szCs w:val="24"/>
        </w:rPr>
      </w:pPr>
      <w:r w:rsidRPr="00AC7DB6">
        <w:rPr>
          <w:rFonts w:ascii="Arial" w:hAnsi="Arial" w:cs="Arial"/>
          <w:sz w:val="24"/>
          <w:szCs w:val="24"/>
        </w:rPr>
        <w:t>Property Address/</w:t>
      </w:r>
    </w:p>
    <w:p w14:paraId="364EF1A2" w14:textId="77777777" w:rsidR="0083351E" w:rsidRPr="00AC7DB6" w:rsidRDefault="0083351E" w:rsidP="0083351E">
      <w:pPr>
        <w:pStyle w:val="p4"/>
        <w:tabs>
          <w:tab w:val="left" w:pos="720"/>
        </w:tabs>
        <w:spacing w:line="280" w:lineRule="exact"/>
        <w:ind w:left="2880" w:hanging="2880"/>
        <w:rPr>
          <w:rFonts w:ascii="Arial" w:hAnsi="Arial" w:cs="Arial"/>
          <w:sz w:val="24"/>
          <w:szCs w:val="24"/>
        </w:rPr>
      </w:pPr>
      <w:r w:rsidRPr="00AC7DB6">
        <w:rPr>
          <w:rFonts w:ascii="Arial" w:hAnsi="Arial" w:cs="Arial"/>
          <w:sz w:val="24"/>
          <w:szCs w:val="24"/>
        </w:rPr>
        <w:t xml:space="preserve">Description:  </w:t>
      </w:r>
      <w:r w:rsidRPr="00AC7DB6">
        <w:rPr>
          <w:rFonts w:ascii="Arial" w:hAnsi="Arial" w:cs="Arial"/>
          <w:sz w:val="24"/>
          <w:szCs w:val="24"/>
        </w:rPr>
        <w:tab/>
        <w:t>2-10 Queen Elizabeth Blvd., 506-522 Royal York Rd and 3-15 Sinclair St</w:t>
      </w:r>
    </w:p>
    <w:p w14:paraId="0D98A959"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Municipality/UT:</w:t>
      </w:r>
      <w:r w:rsidRPr="00AC7DB6">
        <w:rPr>
          <w:rFonts w:ascii="Arial" w:hAnsi="Arial" w:cs="Arial"/>
          <w:sz w:val="24"/>
          <w:szCs w:val="24"/>
        </w:rPr>
        <w:tab/>
        <w:t xml:space="preserve">City of Toronto / City of Toronto </w:t>
      </w:r>
    </w:p>
    <w:p w14:paraId="34A57879"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lastRenderedPageBreak/>
        <w:t>Municipality File No:</w:t>
      </w:r>
      <w:r w:rsidRPr="00AC7DB6">
        <w:rPr>
          <w:rFonts w:ascii="Arial" w:hAnsi="Arial" w:cs="Arial"/>
          <w:sz w:val="24"/>
          <w:szCs w:val="24"/>
        </w:rPr>
        <w:tab/>
        <w:t xml:space="preserve">17 277580 NNY 16 OZ </w:t>
      </w:r>
    </w:p>
    <w:p w14:paraId="4B0B9C30"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OLT Case No.:</w:t>
      </w:r>
      <w:r w:rsidRPr="00AC7DB6">
        <w:rPr>
          <w:rFonts w:ascii="Arial" w:hAnsi="Arial" w:cs="Arial"/>
          <w:sz w:val="24"/>
          <w:szCs w:val="24"/>
        </w:rPr>
        <w:tab/>
        <w:t>OLT-23-000596</w:t>
      </w:r>
    </w:p>
    <w:p w14:paraId="1773BC4D"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OLT Lead Case No.:</w:t>
      </w:r>
      <w:r w:rsidRPr="00AC7DB6">
        <w:rPr>
          <w:rFonts w:ascii="Arial" w:hAnsi="Arial" w:cs="Arial"/>
          <w:sz w:val="24"/>
          <w:szCs w:val="24"/>
        </w:rPr>
        <w:tab/>
        <w:t>OLT-23-000596</w:t>
      </w:r>
    </w:p>
    <w:p w14:paraId="4E0B87CD"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r w:rsidRPr="00AC7DB6">
        <w:rPr>
          <w:rFonts w:ascii="Arial" w:hAnsi="Arial" w:cs="Arial"/>
          <w:sz w:val="24"/>
          <w:szCs w:val="24"/>
        </w:rPr>
        <w:t>OLT Case Name:</w:t>
      </w:r>
      <w:r w:rsidRPr="00AC7DB6">
        <w:rPr>
          <w:rFonts w:ascii="Arial" w:hAnsi="Arial" w:cs="Arial"/>
          <w:sz w:val="24"/>
          <w:szCs w:val="24"/>
        </w:rPr>
        <w:tab/>
        <w:t>Queenscorp (Royal York) Inc. v. Toronto (City)</w:t>
      </w:r>
    </w:p>
    <w:p w14:paraId="2B65954C" w14:textId="77777777" w:rsidR="0083351E" w:rsidRPr="00AC7DB6" w:rsidRDefault="0083351E" w:rsidP="0083351E">
      <w:pPr>
        <w:pStyle w:val="p4"/>
        <w:tabs>
          <w:tab w:val="left" w:pos="720"/>
        </w:tabs>
        <w:spacing w:line="280" w:lineRule="exact"/>
        <w:ind w:left="0"/>
        <w:jc w:val="both"/>
        <w:rPr>
          <w:rFonts w:ascii="Arial" w:hAnsi="Arial" w:cs="Arial"/>
          <w:sz w:val="24"/>
          <w:szCs w:val="24"/>
        </w:rPr>
      </w:pPr>
    </w:p>
    <w:p w14:paraId="731D4592" w14:textId="77777777" w:rsidR="0083351E" w:rsidRPr="00AC7DB6" w:rsidRDefault="0083351E" w:rsidP="0083351E">
      <w:pPr>
        <w:pStyle w:val="p4"/>
        <w:tabs>
          <w:tab w:val="left" w:pos="720"/>
        </w:tabs>
        <w:spacing w:line="280" w:lineRule="exact"/>
        <w:ind w:left="2880" w:hanging="2880"/>
        <w:jc w:val="both"/>
        <w:rPr>
          <w:rFonts w:ascii="Arial" w:hAnsi="Arial" w:cs="Arial"/>
          <w:sz w:val="24"/>
          <w:szCs w:val="24"/>
        </w:rPr>
      </w:pPr>
    </w:p>
    <w:p w14:paraId="4502DE63" w14:textId="77777777" w:rsidR="0083351E" w:rsidRPr="00AC7DB6" w:rsidRDefault="0083351E" w:rsidP="0083351E">
      <w:pPr>
        <w:pStyle w:val="Default"/>
        <w:jc w:val="both"/>
        <w:rPr>
          <w:b/>
          <w:bCs/>
        </w:rPr>
      </w:pPr>
    </w:p>
    <w:p w14:paraId="1A1A489E" w14:textId="77777777" w:rsidR="0083351E" w:rsidRPr="00AC7DB6" w:rsidRDefault="0083351E" w:rsidP="0083351E">
      <w:pPr>
        <w:pStyle w:val="Default"/>
        <w:pBdr>
          <w:top w:val="single" w:sz="4" w:space="1" w:color="auto"/>
          <w:bottom w:val="single" w:sz="4" w:space="1" w:color="auto"/>
        </w:pBdr>
        <w:jc w:val="center"/>
      </w:pPr>
      <w:r w:rsidRPr="00AC7DB6">
        <w:rPr>
          <w:b/>
          <w:bCs/>
        </w:rPr>
        <w:t>PROCEDURAL ORDER</w:t>
      </w:r>
    </w:p>
    <w:p w14:paraId="7D60A844" w14:textId="77777777" w:rsidR="0083351E" w:rsidRPr="00AC7DB6" w:rsidRDefault="0083351E" w:rsidP="0083351E">
      <w:pPr>
        <w:pStyle w:val="Default"/>
        <w:jc w:val="both"/>
      </w:pPr>
    </w:p>
    <w:p w14:paraId="002434DD" w14:textId="77777777" w:rsidR="0083351E" w:rsidRPr="00AC7DB6" w:rsidRDefault="0083351E" w:rsidP="0083351E">
      <w:pPr>
        <w:pStyle w:val="Default"/>
        <w:numPr>
          <w:ilvl w:val="0"/>
          <w:numId w:val="10"/>
        </w:numPr>
        <w:ind w:hanging="720"/>
        <w:jc w:val="both"/>
      </w:pPr>
      <w:r w:rsidRPr="00AC7DB6">
        <w:t xml:space="preserve">The Tribunal may vary or add to the directions in this procedural order at any time by an oral ruling or by another written order, either on the parties’ request or its own motion. </w:t>
      </w:r>
    </w:p>
    <w:p w14:paraId="080CB504" w14:textId="77777777" w:rsidR="0083351E" w:rsidRPr="00AC7DB6" w:rsidRDefault="0083351E" w:rsidP="0083351E">
      <w:pPr>
        <w:pStyle w:val="Default"/>
        <w:jc w:val="both"/>
        <w:rPr>
          <w:b/>
          <w:bCs/>
          <w:u w:val="single"/>
        </w:rPr>
      </w:pPr>
    </w:p>
    <w:p w14:paraId="6A890CCE" w14:textId="77777777" w:rsidR="0083351E" w:rsidRPr="00AC7DB6" w:rsidRDefault="0083351E" w:rsidP="0083351E">
      <w:pPr>
        <w:pStyle w:val="Default"/>
        <w:jc w:val="both"/>
        <w:rPr>
          <w:b/>
          <w:bCs/>
        </w:rPr>
      </w:pPr>
      <w:r w:rsidRPr="00AC7DB6">
        <w:rPr>
          <w:b/>
          <w:bCs/>
        </w:rPr>
        <w:t xml:space="preserve">Organization of the Hearing </w:t>
      </w:r>
    </w:p>
    <w:p w14:paraId="26BD2574" w14:textId="77777777" w:rsidR="0083351E" w:rsidRPr="00AC7DB6" w:rsidRDefault="0083351E" w:rsidP="0083351E">
      <w:pPr>
        <w:pStyle w:val="Default"/>
        <w:ind w:left="720"/>
        <w:jc w:val="both"/>
      </w:pPr>
    </w:p>
    <w:p w14:paraId="4152898A" w14:textId="77777777" w:rsidR="0083351E" w:rsidRPr="00AC7DB6" w:rsidRDefault="0083351E" w:rsidP="0083351E">
      <w:pPr>
        <w:pStyle w:val="Default"/>
        <w:numPr>
          <w:ilvl w:val="0"/>
          <w:numId w:val="10"/>
        </w:numPr>
        <w:ind w:hanging="720"/>
        <w:jc w:val="both"/>
      </w:pPr>
      <w:r w:rsidRPr="00AC7DB6">
        <w:t xml:space="preserve">The video hearing will begin on </w:t>
      </w:r>
      <w:r w:rsidRPr="00AC7DB6">
        <w:rPr>
          <w:b/>
          <w:bCs/>
        </w:rPr>
        <w:t>Tuesday</w:t>
      </w:r>
      <w:r w:rsidRPr="00AC7DB6">
        <w:t xml:space="preserve">, </w:t>
      </w:r>
      <w:r w:rsidRPr="00AC7DB6">
        <w:rPr>
          <w:b/>
          <w:bCs/>
        </w:rPr>
        <w:t xml:space="preserve">August 6, </w:t>
      </w:r>
      <w:proofErr w:type="gramStart"/>
      <w:r w:rsidRPr="00AC7DB6">
        <w:rPr>
          <w:b/>
          <w:bCs/>
        </w:rPr>
        <w:t>2024</w:t>
      </w:r>
      <w:proofErr w:type="gramEnd"/>
      <w:r w:rsidRPr="00AC7DB6">
        <w:t xml:space="preserve"> at</w:t>
      </w:r>
      <w:r w:rsidRPr="00AC7DB6">
        <w:rPr>
          <w:b/>
        </w:rPr>
        <w:t xml:space="preserve"> 10:00 a.m. </w:t>
      </w:r>
      <w:r w:rsidRPr="00AC7DB6">
        <w:t xml:space="preserve">via videoconference. </w:t>
      </w:r>
      <w:r w:rsidRPr="00AC7DB6">
        <w:rPr>
          <w:b/>
        </w:rPr>
        <w:t xml:space="preserve"> </w:t>
      </w:r>
    </w:p>
    <w:p w14:paraId="16734808" w14:textId="77777777" w:rsidR="0083351E" w:rsidRPr="00AC7DB6" w:rsidRDefault="0083351E" w:rsidP="0083351E">
      <w:pPr>
        <w:pStyle w:val="ListParagraph"/>
        <w:rPr>
          <w:rFonts w:ascii="Arial" w:hAnsi="Arial" w:cs="Arial"/>
        </w:rPr>
      </w:pPr>
    </w:p>
    <w:p w14:paraId="5F9F06AA" w14:textId="77777777" w:rsidR="0083351E" w:rsidRPr="00AC7DB6" w:rsidRDefault="0083351E" w:rsidP="0083351E">
      <w:pPr>
        <w:pStyle w:val="Default"/>
        <w:numPr>
          <w:ilvl w:val="0"/>
          <w:numId w:val="10"/>
        </w:numPr>
        <w:ind w:hanging="720"/>
        <w:jc w:val="both"/>
      </w:pPr>
      <w:r w:rsidRPr="00AC7DB6">
        <w:t xml:space="preserve">The parties’ initial estimation for the length of the hearing is </w:t>
      </w:r>
      <w:r w:rsidRPr="00AC7DB6">
        <w:rPr>
          <w:b/>
          <w:bCs/>
        </w:rPr>
        <w:t>12 days</w:t>
      </w:r>
      <w:r w:rsidRPr="00AC7DB6">
        <w:t xml:space="preserve">. The parties are expected to </w:t>
      </w:r>
      <w:r w:rsidRPr="00AC7DB6">
        <w:lastRenderedPageBreak/>
        <w:t xml:space="preserve">cooperate to reduce the length of the hearing by eliminating redundant evidence and attempting to reach settlements on issues where possible. </w:t>
      </w:r>
    </w:p>
    <w:p w14:paraId="72CF8497" w14:textId="77777777" w:rsidR="0083351E" w:rsidRPr="00AC7DB6" w:rsidRDefault="0083351E" w:rsidP="0083351E">
      <w:pPr>
        <w:pStyle w:val="ListParagraph"/>
        <w:rPr>
          <w:rFonts w:ascii="Arial" w:hAnsi="Arial" w:cs="Arial"/>
        </w:rPr>
      </w:pPr>
    </w:p>
    <w:p w14:paraId="1696CEC8" w14:textId="77777777" w:rsidR="0083351E" w:rsidRPr="00AC7DB6" w:rsidRDefault="0083351E" w:rsidP="0083351E">
      <w:pPr>
        <w:pStyle w:val="Default"/>
        <w:numPr>
          <w:ilvl w:val="0"/>
          <w:numId w:val="10"/>
        </w:numPr>
        <w:ind w:hanging="720"/>
        <w:jc w:val="both"/>
      </w:pPr>
      <w:r w:rsidRPr="00AC7DB6">
        <w:t xml:space="preserve">The parties and participants identified at the case management conference are set out in </w:t>
      </w:r>
      <w:r w:rsidRPr="00AC7DB6">
        <w:rPr>
          <w:b/>
        </w:rPr>
        <w:t>Attachment 1</w:t>
      </w:r>
      <w:r w:rsidRPr="00AC7DB6">
        <w:t xml:space="preserve"> (</w:t>
      </w:r>
      <w:r w:rsidRPr="00AC7DB6">
        <w:rPr>
          <w:i/>
        </w:rPr>
        <w:t xml:space="preserve">see </w:t>
      </w:r>
      <w:r w:rsidRPr="00AC7DB6">
        <w:rPr>
          <w:b/>
        </w:rPr>
        <w:t>Attachment 2</w:t>
      </w:r>
      <w:r w:rsidRPr="00AC7DB6">
        <w:t xml:space="preserve"> </w:t>
      </w:r>
      <w:r w:rsidRPr="00AC7DB6">
        <w:rPr>
          <w:i/>
        </w:rPr>
        <w:t>for the meaning of these terms</w:t>
      </w:r>
      <w:r w:rsidRPr="00AC7DB6">
        <w:t xml:space="preserve">). </w:t>
      </w:r>
    </w:p>
    <w:p w14:paraId="32879371" w14:textId="77777777" w:rsidR="0083351E" w:rsidRPr="00AC7DB6" w:rsidRDefault="0083351E" w:rsidP="0083351E">
      <w:pPr>
        <w:pStyle w:val="ListParagraph"/>
        <w:rPr>
          <w:rFonts w:ascii="Arial" w:hAnsi="Arial" w:cs="Arial"/>
        </w:rPr>
      </w:pPr>
    </w:p>
    <w:p w14:paraId="16302627" w14:textId="77777777" w:rsidR="0083351E" w:rsidRPr="00AC7DB6" w:rsidRDefault="0083351E" w:rsidP="0083351E">
      <w:pPr>
        <w:pStyle w:val="Default"/>
        <w:numPr>
          <w:ilvl w:val="0"/>
          <w:numId w:val="10"/>
        </w:numPr>
        <w:ind w:hanging="720"/>
        <w:jc w:val="both"/>
      </w:pPr>
      <w:r w:rsidRPr="00AC7DB6">
        <w:t xml:space="preserve">The issues are set out in the Issues List attached as </w:t>
      </w:r>
      <w:r w:rsidRPr="00AC7DB6">
        <w:rPr>
          <w:b/>
        </w:rPr>
        <w:t>Attachment 3</w:t>
      </w:r>
      <w:r w:rsidRPr="00AC7DB6">
        <w:t xml:space="preserve">. Except for scoping or removing issues, there will be no changes to this list unless the Tribunal permits. A party who asks for changes may have costs awarded against it. </w:t>
      </w:r>
    </w:p>
    <w:p w14:paraId="50346050" w14:textId="77777777" w:rsidR="0083351E" w:rsidRPr="00AC7DB6" w:rsidRDefault="0083351E" w:rsidP="0083351E">
      <w:pPr>
        <w:pStyle w:val="ListParagraph"/>
        <w:rPr>
          <w:rFonts w:ascii="Arial" w:hAnsi="Arial" w:cs="Arial"/>
        </w:rPr>
      </w:pPr>
    </w:p>
    <w:p w14:paraId="045FB51B" w14:textId="77777777" w:rsidR="0083351E" w:rsidRPr="00AC7DB6" w:rsidRDefault="0083351E" w:rsidP="0083351E">
      <w:pPr>
        <w:pStyle w:val="Default"/>
        <w:numPr>
          <w:ilvl w:val="0"/>
          <w:numId w:val="10"/>
        </w:numPr>
        <w:ind w:hanging="720"/>
        <w:jc w:val="both"/>
      </w:pPr>
      <w:r w:rsidRPr="00AC7DB6">
        <w:t xml:space="preserve">The order of evidence shall be as listed in </w:t>
      </w:r>
      <w:r w:rsidRPr="00AC7DB6">
        <w:rPr>
          <w:b/>
        </w:rPr>
        <w:t>Attachment 4</w:t>
      </w:r>
      <w:r w:rsidRPr="00AC7DB6">
        <w:t xml:space="preserve"> to this Order. The Tribunal may limit the amount of time allocated for opening statements, evidence-in-chief (including the qualification of witnesses), cross-examination, evidence in reply and final argument.  The length of written argument, if any, may be limited either on the parties’ consent, </w:t>
      </w:r>
      <w:r w:rsidRPr="00AC7DB6">
        <w:lastRenderedPageBreak/>
        <w:t xml:space="preserve">subject to the Tribunal’s approval, or by Order of the Tribunal. </w:t>
      </w:r>
    </w:p>
    <w:p w14:paraId="66B390B1" w14:textId="77777777" w:rsidR="0083351E" w:rsidRPr="00AC7DB6" w:rsidRDefault="0083351E" w:rsidP="0083351E">
      <w:pPr>
        <w:pStyle w:val="ListParagraph"/>
        <w:rPr>
          <w:rFonts w:ascii="Arial" w:hAnsi="Arial" w:cs="Arial"/>
        </w:rPr>
      </w:pPr>
    </w:p>
    <w:p w14:paraId="11C2C5DF" w14:textId="77777777" w:rsidR="0083351E" w:rsidRPr="00AC7DB6" w:rsidRDefault="0083351E" w:rsidP="0083351E">
      <w:pPr>
        <w:pStyle w:val="Default"/>
        <w:numPr>
          <w:ilvl w:val="0"/>
          <w:numId w:val="10"/>
        </w:numPr>
        <w:ind w:hanging="720"/>
        <w:jc w:val="both"/>
      </w:pPr>
      <w:r w:rsidRPr="00AC7DB6">
        <w:t xml:space="preserve">Any person intending to participate in the hearing should provide a mailing address, email address and telephone number to the Tribunal as soon as possible – ideally before the case management conference.  Any such person who will be retaining a representative (legal counsel or agent) should advise the other parties and the Tribunal of the representative’s name, address, email address and the phone number as soon as possible. </w:t>
      </w:r>
    </w:p>
    <w:p w14:paraId="782DC13E" w14:textId="77777777" w:rsidR="0083351E" w:rsidRPr="00AC7DB6" w:rsidRDefault="0083351E" w:rsidP="0083351E">
      <w:pPr>
        <w:pStyle w:val="ListParagraph"/>
        <w:rPr>
          <w:rFonts w:ascii="Arial" w:hAnsi="Arial" w:cs="Arial"/>
        </w:rPr>
      </w:pPr>
    </w:p>
    <w:p w14:paraId="6DDB70F7" w14:textId="04C1A191" w:rsidR="0083351E" w:rsidRPr="00AC7DB6" w:rsidRDefault="0083351E" w:rsidP="0083351E">
      <w:pPr>
        <w:pStyle w:val="Default"/>
        <w:numPr>
          <w:ilvl w:val="0"/>
          <w:numId w:val="10"/>
        </w:numPr>
        <w:ind w:hanging="720"/>
        <w:jc w:val="both"/>
      </w:pPr>
      <w:r w:rsidRPr="00AC7DB6">
        <w:rPr>
          <w:lang w:val="en-US"/>
        </w:rPr>
        <w:t xml:space="preserve">Any person who intends to participate in the hearing, including parties, counsel and witnesses, is expected to review the Tribunal’s </w:t>
      </w:r>
      <w:hyperlink r:id="rId11" w:history="1">
        <w:r w:rsidRPr="00AC7DB6">
          <w:rPr>
            <w:rStyle w:val="Hyperlink"/>
            <w:lang w:val="en-US"/>
          </w:rPr>
          <w:t>Video Hearing Guide</w:t>
        </w:r>
      </w:hyperlink>
      <w:r w:rsidRPr="00AC7DB6">
        <w:rPr>
          <w:lang w:val="en-US"/>
        </w:rPr>
        <w:t>, available on the Tribunal’s website.</w:t>
      </w:r>
    </w:p>
    <w:p w14:paraId="1689AB18" w14:textId="77777777" w:rsidR="0083351E" w:rsidRPr="00AC7DB6" w:rsidRDefault="0083351E" w:rsidP="0083351E">
      <w:pPr>
        <w:pStyle w:val="ListParagraph"/>
        <w:rPr>
          <w:rFonts w:ascii="Arial" w:hAnsi="Arial" w:cs="Arial"/>
        </w:rPr>
      </w:pPr>
    </w:p>
    <w:p w14:paraId="3A7578D5" w14:textId="77777777" w:rsidR="0083351E" w:rsidRPr="00AC7DB6" w:rsidRDefault="0083351E" w:rsidP="0083351E">
      <w:pPr>
        <w:pStyle w:val="Default"/>
        <w:jc w:val="both"/>
        <w:rPr>
          <w:b/>
        </w:rPr>
      </w:pPr>
      <w:r w:rsidRPr="00AC7DB6">
        <w:rPr>
          <w:b/>
        </w:rPr>
        <w:t xml:space="preserve">Requirements Before the Hearing </w:t>
      </w:r>
    </w:p>
    <w:p w14:paraId="47A9574C" w14:textId="77777777" w:rsidR="0083351E" w:rsidRPr="00AC7DB6" w:rsidRDefault="0083351E" w:rsidP="0083351E">
      <w:pPr>
        <w:pStyle w:val="Default"/>
        <w:jc w:val="both"/>
      </w:pPr>
    </w:p>
    <w:p w14:paraId="4686E93B" w14:textId="77777777" w:rsidR="0083351E" w:rsidRPr="00AC7DB6" w:rsidRDefault="0083351E" w:rsidP="0083351E">
      <w:pPr>
        <w:pStyle w:val="Default"/>
        <w:numPr>
          <w:ilvl w:val="0"/>
          <w:numId w:val="10"/>
        </w:numPr>
        <w:ind w:hanging="720"/>
        <w:jc w:val="both"/>
      </w:pPr>
      <w:r w:rsidRPr="00AC7DB6">
        <w:t xml:space="preserve">A party who intends to call witnesses, whether by summons or not, shall provide to the Tribunal and the other parties a list of the witnesses and the </w:t>
      </w:r>
      <w:r w:rsidRPr="00AC7DB6">
        <w:lastRenderedPageBreak/>
        <w:t xml:space="preserve">order in which they will be called. This list must be delivered on or before </w:t>
      </w:r>
      <w:r w:rsidRPr="00AC7DB6">
        <w:rPr>
          <w:b/>
          <w:bCs/>
        </w:rPr>
        <w:t xml:space="preserve">Friday, March 8, </w:t>
      </w:r>
      <w:proofErr w:type="gramStart"/>
      <w:r w:rsidRPr="00AC7DB6">
        <w:rPr>
          <w:b/>
          <w:bCs/>
        </w:rPr>
        <w:t>2024</w:t>
      </w:r>
      <w:proofErr w:type="gramEnd"/>
      <w:r w:rsidRPr="00AC7DB6">
        <w:rPr>
          <w:b/>
        </w:rPr>
        <w:t xml:space="preserve"> </w:t>
      </w:r>
      <w:r w:rsidRPr="00AC7DB6">
        <w:t>and in accordance with paragraph 23 below. A party who intends to call an expert witness must include a copy of the witness’ Curriculum Vitae and the area of expertise in which the witness is prepared to be qualified.  Any party who intends to challenge a witnesses qualifications shall advise the other parties of same within 14 days of receiving the witness list.</w:t>
      </w:r>
    </w:p>
    <w:p w14:paraId="40AE687B" w14:textId="77777777" w:rsidR="0083351E" w:rsidRPr="00AC7DB6" w:rsidRDefault="0083351E" w:rsidP="0083351E">
      <w:pPr>
        <w:pStyle w:val="Default"/>
        <w:ind w:left="720"/>
        <w:jc w:val="both"/>
      </w:pPr>
    </w:p>
    <w:p w14:paraId="7DEB0DAC" w14:textId="77777777" w:rsidR="0083351E" w:rsidRPr="00AC7DB6" w:rsidRDefault="0083351E" w:rsidP="0083351E">
      <w:pPr>
        <w:pStyle w:val="Default"/>
        <w:numPr>
          <w:ilvl w:val="0"/>
          <w:numId w:val="10"/>
        </w:numPr>
        <w:ind w:hanging="720"/>
        <w:jc w:val="both"/>
      </w:pPr>
      <w:r w:rsidRPr="00AC7DB6">
        <w:t xml:space="preserve">A party who intends to challenge the qualifications of a witness to give opinion evidence in the area of expertise proposed shall do so by motion in accordance with the Tribunal’s Rules and notice of same must be served on the other Parties on or before </w:t>
      </w:r>
      <w:r w:rsidRPr="00AC7DB6">
        <w:rPr>
          <w:b/>
          <w:bCs/>
        </w:rPr>
        <w:t>Friday, March 22, 2024</w:t>
      </w:r>
      <w:r w:rsidRPr="00AC7DB6">
        <w:t>.</w:t>
      </w:r>
    </w:p>
    <w:p w14:paraId="3D787B44" w14:textId="77777777" w:rsidR="0083351E" w:rsidRPr="00AC7DB6" w:rsidRDefault="0083351E" w:rsidP="0083351E">
      <w:pPr>
        <w:pStyle w:val="Default"/>
        <w:ind w:left="720"/>
        <w:jc w:val="both"/>
      </w:pPr>
      <w:r w:rsidRPr="00AC7DB6">
        <w:t xml:space="preserve"> </w:t>
      </w:r>
    </w:p>
    <w:p w14:paraId="521DBC3D" w14:textId="77777777" w:rsidR="0083351E" w:rsidRPr="00AC7DB6" w:rsidRDefault="0083351E" w:rsidP="0083351E">
      <w:pPr>
        <w:pStyle w:val="Default"/>
        <w:numPr>
          <w:ilvl w:val="0"/>
          <w:numId w:val="10"/>
        </w:numPr>
        <w:ind w:hanging="720"/>
        <w:jc w:val="both"/>
      </w:pPr>
      <w:r w:rsidRPr="00AC7DB6">
        <w:t xml:space="preserve">Expert witnesses in the same field shall have a meeting on or before </w:t>
      </w:r>
      <w:r w:rsidRPr="00AC7DB6">
        <w:rPr>
          <w:b/>
          <w:bCs/>
        </w:rPr>
        <w:t xml:space="preserve">Friday, April 19, </w:t>
      </w:r>
      <w:proofErr w:type="gramStart"/>
      <w:r w:rsidRPr="00AC7DB6">
        <w:rPr>
          <w:b/>
          <w:bCs/>
        </w:rPr>
        <w:t>2024</w:t>
      </w:r>
      <w:proofErr w:type="gramEnd"/>
      <w:r w:rsidRPr="00AC7DB6">
        <w:rPr>
          <w:b/>
          <w:bCs/>
        </w:rPr>
        <w:t xml:space="preserve"> </w:t>
      </w:r>
      <w:r w:rsidRPr="00AC7DB6">
        <w:t xml:space="preserve">and use best efforts to try to resolve or reduce the issues for the hearing. Following the experts’ meeting the parties must prepare and file a Statement of Agreed Facts and Issues with the OLT case co-ordinator on or </w:t>
      </w:r>
      <w:r w:rsidRPr="00AC7DB6">
        <w:lastRenderedPageBreak/>
        <w:t>before</w:t>
      </w:r>
      <w:r w:rsidRPr="00AC7DB6">
        <w:rPr>
          <w:b/>
        </w:rPr>
        <w:t xml:space="preserve"> Friday, May 3, 2024</w:t>
      </w:r>
      <w:r w:rsidRPr="00AC7DB6">
        <w:t xml:space="preserve">. Any discussions held at a meeting of expert witnesses shall be considered confidential and without prejudice, and shall not be shared at the hearing, with the exception of the Statement of Agreed Facts and the remaining issues to be addressed at the hearing resulting from any such meeting. </w:t>
      </w:r>
    </w:p>
    <w:p w14:paraId="59CB5683" w14:textId="77777777" w:rsidR="0083351E" w:rsidRPr="00AC7DB6" w:rsidRDefault="0083351E" w:rsidP="0083351E">
      <w:pPr>
        <w:pStyle w:val="Default"/>
        <w:jc w:val="both"/>
      </w:pPr>
    </w:p>
    <w:p w14:paraId="68C2BE12" w14:textId="77777777" w:rsidR="0083351E" w:rsidRPr="00AC7DB6" w:rsidRDefault="0083351E" w:rsidP="0083351E">
      <w:pPr>
        <w:pStyle w:val="Default"/>
        <w:numPr>
          <w:ilvl w:val="0"/>
          <w:numId w:val="10"/>
        </w:numPr>
        <w:ind w:hanging="720"/>
        <w:jc w:val="both"/>
      </w:pPr>
      <w:r w:rsidRPr="00AC7DB6">
        <w:t xml:space="preserve">An expert witness shall prepare an Expert Witness Statement, which shall list any reports prepared by the expert, or any other reports or documents to be relied on at the hearing. Copies of this must be provided in accordance with paragraph 14 below. The Expert Witness Statement shall also include: an acknowledgement of expert’s duty form and the area(s) of expertise. Instead of a witness statement, the expert may file his or her entire report if it contains the required information. If this is not done, the Tribunal may refuse to hear the expert’s testimony. </w:t>
      </w:r>
    </w:p>
    <w:p w14:paraId="1202BA9E" w14:textId="77777777" w:rsidR="0083351E" w:rsidRPr="00AC7DB6" w:rsidRDefault="0083351E" w:rsidP="0083351E">
      <w:pPr>
        <w:pStyle w:val="Default"/>
        <w:jc w:val="both"/>
      </w:pPr>
    </w:p>
    <w:p w14:paraId="0DBDFF77" w14:textId="77777777" w:rsidR="0083351E" w:rsidRPr="00AC7DB6" w:rsidRDefault="0083351E" w:rsidP="0083351E">
      <w:pPr>
        <w:pStyle w:val="Default"/>
        <w:numPr>
          <w:ilvl w:val="0"/>
          <w:numId w:val="10"/>
        </w:numPr>
        <w:ind w:hanging="720"/>
        <w:jc w:val="both"/>
      </w:pPr>
      <w:r w:rsidRPr="00AC7DB6">
        <w:t xml:space="preserve">Expert witnesses who are under summons but not paid to produce a report do not have to file an expert witness statement; but the party calling them </w:t>
      </w:r>
      <w:r w:rsidRPr="00AC7DB6">
        <w:lastRenderedPageBreak/>
        <w:t>must file a brief outline of the expert’s evidence in accordance with paragraph 14 below. A party who intends to call a witness who is not an expert must file a brief outline of the witness’ evidence, as in paragraph 14 below.</w:t>
      </w:r>
    </w:p>
    <w:p w14:paraId="4CFE3752" w14:textId="77777777" w:rsidR="0083351E" w:rsidRPr="00AC7DB6" w:rsidRDefault="0083351E" w:rsidP="0083351E">
      <w:pPr>
        <w:pStyle w:val="ListParagraph"/>
        <w:rPr>
          <w:rFonts w:ascii="Arial" w:hAnsi="Arial" w:cs="Arial"/>
        </w:rPr>
      </w:pPr>
    </w:p>
    <w:p w14:paraId="4F9D1C61" w14:textId="77777777" w:rsidR="0083351E" w:rsidRPr="00AC7DB6" w:rsidRDefault="0083351E" w:rsidP="0083351E">
      <w:pPr>
        <w:pStyle w:val="Default"/>
        <w:numPr>
          <w:ilvl w:val="0"/>
          <w:numId w:val="10"/>
        </w:numPr>
        <w:ind w:hanging="720"/>
        <w:jc w:val="both"/>
      </w:pPr>
      <w:r w:rsidRPr="00AC7DB6">
        <w:t>On or before</w:t>
      </w:r>
      <w:r w:rsidRPr="00AC7DB6">
        <w:rPr>
          <w:b/>
        </w:rPr>
        <w:t xml:space="preserve"> Friday, June 7, 2024</w:t>
      </w:r>
      <w:r w:rsidRPr="00AC7DB6">
        <w:t xml:space="preserve">, the parties shall provide copies of their Witness and/or Expert Witness Statements to the other parties and to the OLT case co-ordinator and in accordance with paragraph 23 below. </w:t>
      </w:r>
    </w:p>
    <w:p w14:paraId="59569C0A" w14:textId="77777777" w:rsidR="0083351E" w:rsidRPr="00AC7DB6" w:rsidRDefault="0083351E" w:rsidP="0083351E">
      <w:pPr>
        <w:pStyle w:val="ListParagraph"/>
        <w:rPr>
          <w:rFonts w:ascii="Arial" w:hAnsi="Arial" w:cs="Arial"/>
        </w:rPr>
      </w:pPr>
    </w:p>
    <w:p w14:paraId="6AAD0D90" w14:textId="77777777" w:rsidR="0083351E" w:rsidRPr="00AC7DB6" w:rsidRDefault="0083351E" w:rsidP="0083351E">
      <w:pPr>
        <w:pStyle w:val="Default"/>
        <w:numPr>
          <w:ilvl w:val="0"/>
          <w:numId w:val="10"/>
        </w:numPr>
        <w:ind w:hanging="720"/>
        <w:jc w:val="both"/>
      </w:pPr>
      <w:r w:rsidRPr="00AC7DB6">
        <w:t>On or before</w:t>
      </w:r>
      <w:r w:rsidRPr="00AC7DB6">
        <w:rPr>
          <w:b/>
        </w:rPr>
        <w:t xml:space="preserve"> Friday, June 7, 2024</w:t>
      </w:r>
      <w:r w:rsidRPr="00AC7DB6">
        <w:t xml:space="preserve">, a participant shall provide copies of their written participant statement to the other parties in accordance with paragraph 23 below. A participant cannot present oral submissions at the hearing on the content of their written statement, unless ordered by the Tribunal. </w:t>
      </w:r>
    </w:p>
    <w:p w14:paraId="0BEE36AA" w14:textId="77777777" w:rsidR="0083351E" w:rsidRPr="00AC7DB6" w:rsidRDefault="0083351E" w:rsidP="0083351E">
      <w:pPr>
        <w:pStyle w:val="Default"/>
        <w:jc w:val="both"/>
      </w:pPr>
    </w:p>
    <w:p w14:paraId="4CB3DA12" w14:textId="77777777" w:rsidR="0083351E" w:rsidRPr="00AC7DB6" w:rsidRDefault="0083351E" w:rsidP="0083351E">
      <w:pPr>
        <w:pStyle w:val="Default"/>
        <w:numPr>
          <w:ilvl w:val="0"/>
          <w:numId w:val="10"/>
        </w:numPr>
        <w:ind w:hanging="720"/>
        <w:jc w:val="both"/>
      </w:pPr>
      <w:r w:rsidRPr="00AC7DB6">
        <w:t xml:space="preserve">On or before </w:t>
      </w:r>
      <w:r w:rsidRPr="00AC7DB6">
        <w:rPr>
          <w:b/>
          <w:bCs/>
        </w:rPr>
        <w:t xml:space="preserve">Friday, July 5, </w:t>
      </w:r>
      <w:proofErr w:type="gramStart"/>
      <w:r w:rsidRPr="00AC7DB6">
        <w:rPr>
          <w:b/>
          <w:bCs/>
        </w:rPr>
        <w:t>2024</w:t>
      </w:r>
      <w:proofErr w:type="gramEnd"/>
      <w:r w:rsidRPr="00AC7DB6">
        <w:rPr>
          <w:b/>
        </w:rPr>
        <w:t xml:space="preserve"> </w:t>
      </w:r>
      <w:r w:rsidRPr="00AC7DB6">
        <w:t xml:space="preserve">parties shall provide copies of their Reply Witness Statements, </w:t>
      </w:r>
      <w:r w:rsidRPr="00AC7DB6">
        <w:lastRenderedPageBreak/>
        <w:t xml:space="preserve">if any, to all other parties and the OLT case co-ordinator in accordance with paragraph 23 below. </w:t>
      </w:r>
    </w:p>
    <w:p w14:paraId="2AC1B4DD" w14:textId="77777777" w:rsidR="0083351E" w:rsidRPr="00AC7DB6" w:rsidRDefault="0083351E" w:rsidP="0083351E">
      <w:pPr>
        <w:pStyle w:val="ListParagraph"/>
        <w:rPr>
          <w:rFonts w:ascii="Arial" w:hAnsi="Arial" w:cs="Arial"/>
        </w:rPr>
      </w:pPr>
    </w:p>
    <w:p w14:paraId="64445155" w14:textId="77777777" w:rsidR="0083351E" w:rsidRPr="00AC7DB6" w:rsidRDefault="0083351E" w:rsidP="0083351E">
      <w:pPr>
        <w:pStyle w:val="Default"/>
        <w:numPr>
          <w:ilvl w:val="0"/>
          <w:numId w:val="10"/>
        </w:numPr>
        <w:ind w:hanging="720"/>
        <w:jc w:val="both"/>
      </w:pPr>
      <w:r w:rsidRPr="00AC7DB6">
        <w:t xml:space="preserve">On or before </w:t>
      </w:r>
      <w:r w:rsidRPr="00AC7DB6">
        <w:rPr>
          <w:b/>
          <w:bCs/>
        </w:rPr>
        <w:t>Tuesday, July 16, 2024</w:t>
      </w:r>
      <w:r w:rsidRPr="00AC7DB6">
        <w:t xml:space="preserve">, the parties shall provide copies of their visual evidence to all of the other parties in accordance with paragraph 23 below. If a model will be used, all parties must have a reasonable opportunity to view it before the hearing. </w:t>
      </w:r>
    </w:p>
    <w:p w14:paraId="2BF11BEC" w14:textId="77777777" w:rsidR="0083351E" w:rsidRPr="00AC7DB6" w:rsidRDefault="0083351E" w:rsidP="0083351E">
      <w:pPr>
        <w:pStyle w:val="Default"/>
        <w:ind w:hanging="720"/>
        <w:jc w:val="both"/>
      </w:pPr>
    </w:p>
    <w:p w14:paraId="5BC8F1BE" w14:textId="77777777" w:rsidR="0083351E" w:rsidRPr="00AC7DB6" w:rsidRDefault="0083351E" w:rsidP="0083351E">
      <w:pPr>
        <w:pStyle w:val="Default"/>
        <w:numPr>
          <w:ilvl w:val="0"/>
          <w:numId w:val="10"/>
        </w:numPr>
        <w:ind w:hanging="720"/>
        <w:jc w:val="both"/>
      </w:pPr>
      <w:r w:rsidRPr="00AC7DB6">
        <w:t xml:space="preserve">The parties shall cooperate to prepare a Joint Document Book, which shall be uploaded to the OLT’s file share server, pursuant to the directions provided by the OLT case co-ordinator, on or before </w:t>
      </w:r>
      <w:r w:rsidRPr="00AC7DB6">
        <w:rPr>
          <w:b/>
          <w:bCs/>
        </w:rPr>
        <w:t>Tuesday, July 23, 2024.</w:t>
      </w:r>
      <w:r w:rsidRPr="00AC7DB6">
        <w:t xml:space="preserve"> </w:t>
      </w:r>
    </w:p>
    <w:p w14:paraId="46EEEB07" w14:textId="77777777" w:rsidR="0083351E" w:rsidRPr="00AC7DB6" w:rsidRDefault="0083351E" w:rsidP="0083351E">
      <w:pPr>
        <w:pStyle w:val="ListParagraph"/>
        <w:rPr>
          <w:rFonts w:ascii="Arial" w:hAnsi="Arial" w:cs="Arial"/>
        </w:rPr>
      </w:pPr>
    </w:p>
    <w:p w14:paraId="56BB3FB0" w14:textId="77777777" w:rsidR="0083351E" w:rsidRPr="00AC7DB6" w:rsidRDefault="0083351E" w:rsidP="0083351E">
      <w:pPr>
        <w:pStyle w:val="Default"/>
        <w:numPr>
          <w:ilvl w:val="0"/>
          <w:numId w:val="10"/>
        </w:numPr>
        <w:ind w:hanging="720"/>
        <w:jc w:val="both"/>
      </w:pPr>
      <w:r w:rsidRPr="00AC7DB6">
        <w:t xml:space="preserve">A person wishing to change written evidence, including witness statements, after Witness Statements and Reply Witness Statements have been filed must make a written motion to the Tribunal. </w:t>
      </w:r>
      <w:r w:rsidRPr="00AC7DB6">
        <w:rPr>
          <w:i/>
        </w:rPr>
        <w:t xml:space="preserve">See Rule 10 of the Tribunal’s Rules with respect to Motions, which requires that the moving party provide </w:t>
      </w:r>
      <w:r w:rsidRPr="00AC7DB6">
        <w:rPr>
          <w:i/>
        </w:rPr>
        <w:lastRenderedPageBreak/>
        <w:t>copies of the motion to all other parties 15 days before the Tribunal hears the motion.</w:t>
      </w:r>
    </w:p>
    <w:p w14:paraId="68871C1A" w14:textId="77777777" w:rsidR="0083351E" w:rsidRPr="00AC7DB6" w:rsidRDefault="0083351E" w:rsidP="0083351E">
      <w:pPr>
        <w:pStyle w:val="Default"/>
        <w:jc w:val="both"/>
      </w:pPr>
    </w:p>
    <w:p w14:paraId="224DF122" w14:textId="77777777" w:rsidR="0083351E" w:rsidRPr="00AC7DB6" w:rsidRDefault="0083351E" w:rsidP="0083351E">
      <w:pPr>
        <w:pStyle w:val="Default"/>
        <w:numPr>
          <w:ilvl w:val="0"/>
          <w:numId w:val="10"/>
        </w:numPr>
        <w:ind w:hanging="720"/>
        <w:jc w:val="both"/>
      </w:pPr>
      <w:r w:rsidRPr="00AC7DB6">
        <w:t xml:space="preserve">A party who provides written evidence of a witness to the other parties must have that witness attend the hearing to give oral evidence, unless the party notifies the Tribunal on or before </w:t>
      </w:r>
      <w:r w:rsidRPr="00AC7DB6">
        <w:rPr>
          <w:b/>
          <w:bCs/>
        </w:rPr>
        <w:t xml:space="preserve">Friday, July 26, </w:t>
      </w:r>
      <w:proofErr w:type="gramStart"/>
      <w:r w:rsidRPr="00AC7DB6">
        <w:rPr>
          <w:b/>
          <w:bCs/>
        </w:rPr>
        <w:t>2024</w:t>
      </w:r>
      <w:proofErr w:type="gramEnd"/>
      <w:r w:rsidRPr="00AC7DB6">
        <w:rPr>
          <w:b/>
        </w:rPr>
        <w:t xml:space="preserve"> </w:t>
      </w:r>
      <w:r w:rsidRPr="00AC7DB6">
        <w:t xml:space="preserve">that the written evidence is not part of their record. </w:t>
      </w:r>
    </w:p>
    <w:p w14:paraId="2328571B" w14:textId="77777777" w:rsidR="0083351E" w:rsidRPr="00AC7DB6" w:rsidRDefault="0083351E" w:rsidP="0083351E">
      <w:pPr>
        <w:pStyle w:val="ListParagraph"/>
        <w:rPr>
          <w:rFonts w:ascii="Arial" w:hAnsi="Arial" w:cs="Arial"/>
          <w:lang w:val="en-CA"/>
        </w:rPr>
      </w:pPr>
    </w:p>
    <w:p w14:paraId="5DA271A9" w14:textId="77777777" w:rsidR="0083351E" w:rsidRPr="00AC7DB6" w:rsidRDefault="0083351E" w:rsidP="0083351E">
      <w:pPr>
        <w:pStyle w:val="Default"/>
        <w:numPr>
          <w:ilvl w:val="0"/>
          <w:numId w:val="10"/>
        </w:numPr>
        <w:ind w:hanging="720"/>
        <w:jc w:val="both"/>
      </w:pPr>
      <w:r w:rsidRPr="00AC7DB6">
        <w:t xml:space="preserve">If the applicant intends to seek approval of a revised proposal at the hearing, the applicant shall provide copies of the revised proposal, including all revised plans, drawings, proposed instruments, updated supporting documents and reports which the Applicant intends to reply upon, to the other Parties on or before </w:t>
      </w:r>
      <w:r w:rsidRPr="00AC7DB6">
        <w:rPr>
          <w:b/>
          <w:bCs/>
        </w:rPr>
        <w:t>Friday, February 9, 2024</w:t>
      </w:r>
      <w:r w:rsidRPr="00AC7DB6">
        <w:t xml:space="preserve">.  The applicant acknowledges that any revisions to the proposal after that date without the consent of the parties or leave of the Tribunal, may be grounds for a request to adjourn the hearing.  The Parties acknowledge that this requirement does not apply to revisions to </w:t>
      </w:r>
      <w:r w:rsidRPr="00AC7DB6">
        <w:lastRenderedPageBreak/>
        <w:t>the proposal which address or resolve issues raised by the other parties.</w:t>
      </w:r>
    </w:p>
    <w:p w14:paraId="3BEF4BD8" w14:textId="77777777" w:rsidR="0083351E" w:rsidRPr="00AC7DB6" w:rsidRDefault="0083351E" w:rsidP="0083351E">
      <w:pPr>
        <w:pStyle w:val="ListParagraph"/>
        <w:rPr>
          <w:rFonts w:ascii="Arial" w:hAnsi="Arial" w:cs="Arial"/>
        </w:rPr>
      </w:pPr>
    </w:p>
    <w:p w14:paraId="663D6313" w14:textId="77777777" w:rsidR="0083351E" w:rsidRPr="00AC7DB6" w:rsidRDefault="0083351E" w:rsidP="0083351E">
      <w:pPr>
        <w:pStyle w:val="Default"/>
        <w:numPr>
          <w:ilvl w:val="0"/>
          <w:numId w:val="10"/>
        </w:numPr>
        <w:ind w:hanging="720"/>
        <w:jc w:val="both"/>
      </w:pPr>
      <w:r w:rsidRPr="00AC7DB6">
        <w:t xml:space="preserve">The parties shall prepare and file a preliminary </w:t>
      </w:r>
      <w:hyperlink r:id="rId12" w:history="1">
        <w:r w:rsidRPr="00AC7DB6">
          <w:rPr>
            <w:rStyle w:val="Hyperlink"/>
          </w:rPr>
          <w:t>hearing plan</w:t>
        </w:r>
      </w:hyperlink>
      <w:r w:rsidRPr="00AC7DB6">
        <w:t xml:space="preserve"> with the Tribunal on or before </w:t>
      </w:r>
      <w:r w:rsidRPr="00AC7DB6">
        <w:rPr>
          <w:b/>
          <w:bCs/>
        </w:rPr>
        <w:t>Friday, July 26, 2024</w:t>
      </w:r>
      <w:r w:rsidRPr="00AC7DB6">
        <w:rPr>
          <w:b/>
        </w:rPr>
        <w:t xml:space="preserve"> </w:t>
      </w:r>
      <w:r w:rsidRPr="00AC7DB6">
        <w:t xml:space="preserve">with a proposed schedule for the hearing that identifies, as a minimum, the parties participating in the hearing, the preliminary matters (if any to be addressed), the anticipated order of evidence, the date each witness is expected to attend, the anticipated length of time for evidence to be presented by each witness in chief, cross-examination and re-examination (if any) and the expected length of time for final submissions. The parties are expected to ensure that the hearing proceeds in an efficient manner and in accordance with the hearing plan. The Tribunal may, at its discretion, change or alter the hearing plan at any time in the course of the hearing. </w:t>
      </w:r>
    </w:p>
    <w:p w14:paraId="5C0EC64A" w14:textId="77777777" w:rsidR="0083351E" w:rsidRPr="00AC7DB6" w:rsidRDefault="0083351E" w:rsidP="0083351E">
      <w:pPr>
        <w:pStyle w:val="ListParagraph"/>
        <w:rPr>
          <w:rFonts w:ascii="Arial" w:hAnsi="Arial" w:cs="Arial"/>
        </w:rPr>
      </w:pPr>
    </w:p>
    <w:p w14:paraId="3DD9DE6C" w14:textId="77777777" w:rsidR="0083351E" w:rsidRPr="00AC7DB6" w:rsidRDefault="0083351E" w:rsidP="0083351E">
      <w:pPr>
        <w:pStyle w:val="Default"/>
        <w:numPr>
          <w:ilvl w:val="0"/>
          <w:numId w:val="10"/>
        </w:numPr>
        <w:ind w:hanging="720"/>
        <w:jc w:val="both"/>
      </w:pPr>
      <w:r w:rsidRPr="00AC7DB6">
        <w:t xml:space="preserve">All filing shall be electronic and in hard copy. Electronic copies may be filed by email, an electronic file sharing service for documents that exceed 10MB in </w:t>
      </w:r>
      <w:r w:rsidRPr="00AC7DB6">
        <w:lastRenderedPageBreak/>
        <w:t>size, or as otherwise directed by the Tribunal. The delivery of documents by email shall be governed by Rule 7.</w:t>
      </w:r>
    </w:p>
    <w:p w14:paraId="6A36B165" w14:textId="77777777" w:rsidR="0083351E" w:rsidRPr="00AC7DB6" w:rsidRDefault="0083351E" w:rsidP="0083351E">
      <w:pPr>
        <w:pStyle w:val="ListParagraph"/>
        <w:rPr>
          <w:rFonts w:ascii="Arial" w:hAnsi="Arial" w:cs="Arial"/>
        </w:rPr>
      </w:pPr>
    </w:p>
    <w:p w14:paraId="4F405991" w14:textId="77777777" w:rsidR="0083351E" w:rsidRPr="00AC7DB6" w:rsidRDefault="0083351E" w:rsidP="0083351E">
      <w:pPr>
        <w:pStyle w:val="Default"/>
        <w:numPr>
          <w:ilvl w:val="0"/>
          <w:numId w:val="10"/>
        </w:numPr>
        <w:ind w:hanging="720"/>
        <w:jc w:val="both"/>
      </w:pPr>
      <w:r w:rsidRPr="00AC7DB6">
        <w:t xml:space="preserve">No adjournments or delays will be granted before or during the hearing except for serious hardship or illness. The Tribunal’s Rule 17 applies to such requests. </w:t>
      </w:r>
    </w:p>
    <w:p w14:paraId="72B8DC66" w14:textId="77777777" w:rsidR="0083351E" w:rsidRPr="00AC7DB6" w:rsidRDefault="0083351E" w:rsidP="0083351E">
      <w:pPr>
        <w:pStyle w:val="Default"/>
        <w:jc w:val="both"/>
        <w:rPr>
          <w:rFonts w:eastAsia="Times New Roman"/>
          <w:lang w:val="en-US"/>
        </w:rPr>
      </w:pPr>
    </w:p>
    <w:p w14:paraId="38EC3542" w14:textId="77777777" w:rsidR="0083351E" w:rsidRPr="00AC7DB6" w:rsidRDefault="0083351E" w:rsidP="0083351E">
      <w:pPr>
        <w:pStyle w:val="Default"/>
        <w:numPr>
          <w:ilvl w:val="0"/>
          <w:numId w:val="10"/>
        </w:numPr>
        <w:ind w:hanging="720"/>
        <w:jc w:val="both"/>
      </w:pPr>
      <w:r w:rsidRPr="00AC7DB6">
        <w:rPr>
          <w:rFonts w:eastAsia="Times New Roman"/>
          <w:lang w:val="en-US"/>
        </w:rPr>
        <w:t xml:space="preserve">A summary of the various filing dates is contained in </w:t>
      </w:r>
      <w:r w:rsidRPr="00AC7DB6">
        <w:rPr>
          <w:rFonts w:eastAsia="Times New Roman"/>
          <w:b/>
          <w:lang w:val="en-US"/>
        </w:rPr>
        <w:t>Attachment 5</w:t>
      </w:r>
      <w:r w:rsidRPr="00AC7DB6">
        <w:rPr>
          <w:rFonts w:eastAsia="Times New Roman"/>
          <w:lang w:val="en-US"/>
        </w:rPr>
        <w:t>. </w:t>
      </w:r>
    </w:p>
    <w:p w14:paraId="58C3F6B9" w14:textId="77777777" w:rsidR="0083351E" w:rsidRPr="00AC7DB6" w:rsidRDefault="0083351E" w:rsidP="0083351E">
      <w:pPr>
        <w:pStyle w:val="Default"/>
        <w:ind w:left="720"/>
        <w:jc w:val="both"/>
      </w:pPr>
    </w:p>
    <w:p w14:paraId="70DCF790" w14:textId="77777777" w:rsidR="0083351E" w:rsidRPr="00AC7DB6" w:rsidRDefault="0083351E" w:rsidP="0083351E">
      <w:pPr>
        <w:pStyle w:val="Default"/>
        <w:jc w:val="both"/>
      </w:pPr>
      <w:r w:rsidRPr="00AC7DB6">
        <w:t xml:space="preserve">This Member is not seized. </w:t>
      </w:r>
    </w:p>
    <w:p w14:paraId="68123FC7" w14:textId="77777777" w:rsidR="0083351E" w:rsidRPr="00AC7DB6" w:rsidRDefault="0083351E" w:rsidP="0083351E">
      <w:pPr>
        <w:jc w:val="both"/>
        <w:rPr>
          <w:rFonts w:ascii="Arial" w:hAnsi="Arial" w:cs="Arial"/>
        </w:rPr>
      </w:pPr>
    </w:p>
    <w:p w14:paraId="1F25A7DC" w14:textId="77777777" w:rsidR="0083351E" w:rsidRPr="00AC7DB6" w:rsidRDefault="0083351E" w:rsidP="0083351E">
      <w:pPr>
        <w:jc w:val="both"/>
        <w:rPr>
          <w:rFonts w:ascii="Arial" w:hAnsi="Arial" w:cs="Arial"/>
        </w:rPr>
      </w:pPr>
      <w:r w:rsidRPr="00AC7DB6">
        <w:rPr>
          <w:rFonts w:ascii="Arial" w:hAnsi="Arial" w:cs="Arial"/>
        </w:rPr>
        <w:t>So orders the Tribunal.</w:t>
      </w:r>
    </w:p>
    <w:p w14:paraId="02A5725A" w14:textId="77777777" w:rsidR="0083351E" w:rsidRPr="00AC7DB6" w:rsidRDefault="0083351E" w:rsidP="0083351E">
      <w:pPr>
        <w:jc w:val="both"/>
        <w:rPr>
          <w:rFonts w:ascii="Arial" w:hAnsi="Arial" w:cs="Arial"/>
        </w:rPr>
      </w:pPr>
    </w:p>
    <w:p w14:paraId="2020887E" w14:textId="77777777" w:rsidR="0083351E" w:rsidRPr="00AC7DB6" w:rsidRDefault="0083351E" w:rsidP="0083351E">
      <w:pPr>
        <w:jc w:val="center"/>
        <w:rPr>
          <w:rFonts w:ascii="Arial" w:hAnsi="Arial" w:cs="Arial"/>
          <w:lang w:val="fr-FR"/>
        </w:rPr>
      </w:pPr>
      <w:r w:rsidRPr="00AC7DB6">
        <w:rPr>
          <w:rFonts w:ascii="Arial" w:hAnsi="Arial" w:cs="Arial"/>
          <w:lang w:val="fr-FR"/>
        </w:rPr>
        <w:br w:type="page"/>
      </w:r>
    </w:p>
    <w:p w14:paraId="1B20FA2F" w14:textId="77777777" w:rsidR="0083351E" w:rsidRPr="00AC7DB6" w:rsidRDefault="0083351E" w:rsidP="0083351E">
      <w:pPr>
        <w:jc w:val="center"/>
        <w:rPr>
          <w:rFonts w:ascii="Arial" w:hAnsi="Arial" w:cs="Arial"/>
          <w:b/>
          <w:lang w:val="fr-FR"/>
        </w:rPr>
      </w:pPr>
      <w:r w:rsidRPr="00AC7DB6">
        <w:rPr>
          <w:rFonts w:ascii="Arial" w:hAnsi="Arial" w:cs="Arial"/>
          <w:b/>
          <w:lang w:val="fr-FR"/>
        </w:rPr>
        <w:lastRenderedPageBreak/>
        <w:t>ATTACHMENT 1</w:t>
      </w:r>
    </w:p>
    <w:p w14:paraId="5B2A8E3A" w14:textId="77777777" w:rsidR="0083351E" w:rsidRPr="00AC7DB6" w:rsidRDefault="0083351E" w:rsidP="0083351E">
      <w:pPr>
        <w:pBdr>
          <w:bottom w:val="single" w:sz="4" w:space="1" w:color="auto"/>
        </w:pBdr>
        <w:jc w:val="center"/>
        <w:rPr>
          <w:rFonts w:ascii="Arial" w:hAnsi="Arial" w:cs="Arial"/>
          <w:lang w:val="fr-FR"/>
        </w:rPr>
      </w:pPr>
      <w:r w:rsidRPr="00AC7DB6">
        <w:rPr>
          <w:rFonts w:ascii="Arial" w:hAnsi="Arial" w:cs="Arial"/>
          <w:lang w:val="fr-FR"/>
        </w:rPr>
        <w:t>PARTIES &amp; PARTICIPANTS</w:t>
      </w:r>
    </w:p>
    <w:p w14:paraId="6192D44D" w14:textId="77777777" w:rsidR="0083351E" w:rsidRDefault="0083351E" w:rsidP="0083351E">
      <w:pPr>
        <w:pStyle w:val="Default"/>
        <w:jc w:val="both"/>
        <w:rPr>
          <w:b/>
          <w:u w:val="single"/>
        </w:rPr>
      </w:pPr>
    </w:p>
    <w:p w14:paraId="0A9F26E8" w14:textId="0DADDA0D" w:rsidR="0083351E" w:rsidRPr="00AC7DB6" w:rsidRDefault="0083351E" w:rsidP="0083351E">
      <w:pPr>
        <w:pStyle w:val="Default"/>
        <w:jc w:val="both"/>
        <w:rPr>
          <w:b/>
          <w:u w:val="single"/>
        </w:rPr>
      </w:pPr>
      <w:r w:rsidRPr="00AC7DB6">
        <w:rPr>
          <w:b/>
          <w:u w:val="single"/>
        </w:rPr>
        <w:t>PARTIES</w:t>
      </w:r>
    </w:p>
    <w:p w14:paraId="16A451F9" w14:textId="77777777" w:rsidR="0083351E" w:rsidRPr="00AC7DB6" w:rsidRDefault="0083351E" w:rsidP="0083351E">
      <w:pPr>
        <w:pStyle w:val="Default"/>
        <w:jc w:val="both"/>
        <w:rPr>
          <w:b/>
          <w:u w:val="single"/>
        </w:rPr>
      </w:pPr>
    </w:p>
    <w:p w14:paraId="38E98012" w14:textId="77777777" w:rsidR="0083351E" w:rsidRPr="00AC7DB6" w:rsidRDefault="0083351E" w:rsidP="0083351E">
      <w:pPr>
        <w:pStyle w:val="Default"/>
        <w:ind w:left="720" w:hanging="720"/>
        <w:jc w:val="both"/>
      </w:pPr>
      <w:r w:rsidRPr="00AC7DB6">
        <w:rPr>
          <w:b/>
        </w:rPr>
        <w:t>1.</w:t>
      </w:r>
      <w:r w:rsidRPr="00AC7DB6">
        <w:rPr>
          <w:b/>
        </w:rPr>
        <w:tab/>
      </w:r>
      <w:r w:rsidRPr="00AC7DB6">
        <w:rPr>
          <w:b/>
          <w:bCs/>
        </w:rPr>
        <w:t>Queenscorp (Royal York) Inc.</w:t>
      </w:r>
      <w:r w:rsidRPr="00AC7DB6">
        <w:rPr>
          <w:b/>
        </w:rPr>
        <w:tab/>
      </w:r>
    </w:p>
    <w:p w14:paraId="70E2F85F" w14:textId="77777777" w:rsidR="0083351E" w:rsidRPr="00AC7DB6" w:rsidRDefault="0083351E" w:rsidP="0083351E">
      <w:pPr>
        <w:pStyle w:val="Default"/>
        <w:ind w:firstLine="720"/>
        <w:jc w:val="both"/>
      </w:pPr>
      <w:r w:rsidRPr="00AC7DB6">
        <w:t>Ira T. Kagan and Sarah R. Kagan</w:t>
      </w:r>
    </w:p>
    <w:p w14:paraId="4E5F3971" w14:textId="77777777" w:rsidR="0083351E" w:rsidRPr="00AC7DB6" w:rsidRDefault="0083351E" w:rsidP="0083351E">
      <w:pPr>
        <w:pStyle w:val="Default"/>
        <w:jc w:val="both"/>
      </w:pPr>
      <w:r w:rsidRPr="00AC7DB6">
        <w:tab/>
        <w:t xml:space="preserve">Kagan Shastri </w:t>
      </w:r>
      <w:proofErr w:type="spellStart"/>
      <w:r w:rsidRPr="00AC7DB6">
        <w:t>DeMelo</w:t>
      </w:r>
      <w:proofErr w:type="spellEnd"/>
      <w:r w:rsidRPr="00AC7DB6">
        <w:t xml:space="preserve"> Winer Park LLP</w:t>
      </w:r>
    </w:p>
    <w:p w14:paraId="362B714E" w14:textId="77777777" w:rsidR="0083351E" w:rsidRPr="00AC7DB6" w:rsidRDefault="0083351E" w:rsidP="0083351E">
      <w:pPr>
        <w:pStyle w:val="Default"/>
        <w:jc w:val="both"/>
      </w:pPr>
      <w:r w:rsidRPr="00AC7DB6">
        <w:tab/>
        <w:t>188 Avenue Road</w:t>
      </w:r>
    </w:p>
    <w:p w14:paraId="3BA67B3A" w14:textId="77777777" w:rsidR="0083351E" w:rsidRPr="00AC7DB6" w:rsidRDefault="0083351E" w:rsidP="0083351E">
      <w:pPr>
        <w:pStyle w:val="Default"/>
        <w:ind w:firstLine="720"/>
        <w:jc w:val="both"/>
      </w:pPr>
      <w:r w:rsidRPr="00AC7DB6">
        <w:t>Toronto, ON M5R 2J1</w:t>
      </w:r>
      <w:r w:rsidRPr="00AC7DB6">
        <w:tab/>
      </w:r>
    </w:p>
    <w:p w14:paraId="7CD23B41" w14:textId="77777777" w:rsidR="0083351E" w:rsidRPr="00AC7DB6" w:rsidRDefault="0083351E" w:rsidP="0083351E">
      <w:pPr>
        <w:pStyle w:val="Default"/>
        <w:jc w:val="both"/>
      </w:pPr>
      <w:r w:rsidRPr="00AC7DB6">
        <w:tab/>
        <w:t>Tel: 416.368.2100  ext. 226/243</w:t>
      </w:r>
    </w:p>
    <w:p w14:paraId="28382EFE" w14:textId="77777777" w:rsidR="0083351E" w:rsidRPr="00AC7DB6" w:rsidRDefault="0083351E" w:rsidP="0083351E">
      <w:pPr>
        <w:pStyle w:val="Default"/>
        <w:jc w:val="both"/>
      </w:pPr>
      <w:r w:rsidRPr="00AC7DB6">
        <w:tab/>
        <w:t xml:space="preserve">Email: </w:t>
      </w:r>
      <w:hyperlink r:id="rId13" w:history="1">
        <w:r w:rsidRPr="00AC7DB6">
          <w:rPr>
            <w:rStyle w:val="Hyperlink"/>
          </w:rPr>
          <w:t>ikagan@ksllp.ca</w:t>
        </w:r>
      </w:hyperlink>
      <w:r w:rsidRPr="00AC7DB6">
        <w:t xml:space="preserve"> / </w:t>
      </w:r>
      <w:hyperlink r:id="rId14" w:history="1">
        <w:r w:rsidRPr="00AC7DB6">
          <w:rPr>
            <w:rStyle w:val="Hyperlink"/>
          </w:rPr>
          <w:t>skagan@ksllp.ca</w:t>
        </w:r>
      </w:hyperlink>
      <w:r w:rsidRPr="00AC7DB6">
        <w:rPr>
          <w:rStyle w:val="Hyperlink"/>
        </w:rPr>
        <w:t xml:space="preserve"> </w:t>
      </w:r>
    </w:p>
    <w:p w14:paraId="0E6F7BDA" w14:textId="77777777" w:rsidR="0083351E" w:rsidRPr="00AC7DB6" w:rsidRDefault="0083351E" w:rsidP="0083351E">
      <w:pPr>
        <w:pStyle w:val="Default"/>
        <w:jc w:val="both"/>
      </w:pPr>
    </w:p>
    <w:p w14:paraId="65EF08CC" w14:textId="77777777" w:rsidR="0083351E" w:rsidRPr="00AC7DB6" w:rsidRDefault="0083351E" w:rsidP="0083351E">
      <w:pPr>
        <w:pStyle w:val="Default"/>
        <w:jc w:val="both"/>
        <w:rPr>
          <w:b/>
        </w:rPr>
      </w:pPr>
      <w:r w:rsidRPr="00AC7DB6">
        <w:t>2.</w:t>
      </w:r>
      <w:r w:rsidRPr="00AC7DB6">
        <w:tab/>
      </w:r>
      <w:r w:rsidRPr="00AC7DB6">
        <w:rPr>
          <w:b/>
        </w:rPr>
        <w:t>City of Toronto</w:t>
      </w:r>
      <w:r w:rsidRPr="00AC7DB6">
        <w:rPr>
          <w:b/>
        </w:rPr>
        <w:tab/>
      </w:r>
    </w:p>
    <w:p w14:paraId="1E317991" w14:textId="77777777" w:rsidR="0083351E" w:rsidRPr="00AC7DB6" w:rsidRDefault="0083351E" w:rsidP="0083351E">
      <w:pPr>
        <w:pStyle w:val="Default"/>
        <w:ind w:left="720"/>
      </w:pPr>
      <w:r w:rsidRPr="00AC7DB6">
        <w:t xml:space="preserve">Michelle LaFortune / Michael Mahoney </w:t>
      </w:r>
      <w:r w:rsidRPr="00AC7DB6">
        <w:br/>
        <w:t xml:space="preserve">Legal Services </w:t>
      </w:r>
    </w:p>
    <w:p w14:paraId="6B116206" w14:textId="77777777" w:rsidR="0083351E" w:rsidRPr="00AC7DB6" w:rsidRDefault="0083351E" w:rsidP="0083351E">
      <w:pPr>
        <w:pStyle w:val="Default"/>
        <w:ind w:left="720"/>
      </w:pPr>
      <w:r w:rsidRPr="00AC7DB6">
        <w:t>55 John Street, 26</w:t>
      </w:r>
      <w:r w:rsidRPr="00AC7DB6">
        <w:rPr>
          <w:vertAlign w:val="superscript"/>
        </w:rPr>
        <w:t>th</w:t>
      </w:r>
      <w:r w:rsidRPr="00AC7DB6">
        <w:t xml:space="preserve"> Floor, Metro Hall</w:t>
      </w:r>
    </w:p>
    <w:p w14:paraId="14EA82C8" w14:textId="77777777" w:rsidR="0083351E" w:rsidRPr="00AC7DB6" w:rsidRDefault="0083351E" w:rsidP="0083351E">
      <w:pPr>
        <w:pStyle w:val="Default"/>
        <w:ind w:left="720"/>
      </w:pPr>
      <w:r w:rsidRPr="00AC7DB6">
        <w:t xml:space="preserve">Toronto, Ontario, M5V 3C6 </w:t>
      </w:r>
    </w:p>
    <w:p w14:paraId="03A7FD37" w14:textId="77777777" w:rsidR="0083351E" w:rsidRPr="00AC7DB6" w:rsidRDefault="0083351E" w:rsidP="0083351E">
      <w:pPr>
        <w:pStyle w:val="Default"/>
        <w:ind w:left="720"/>
      </w:pPr>
      <w:r w:rsidRPr="00AC7DB6">
        <w:t>Tel: (416) 392-7786</w:t>
      </w:r>
    </w:p>
    <w:p w14:paraId="5215C8B7" w14:textId="6D679625" w:rsidR="0083351E" w:rsidRPr="0083351E" w:rsidRDefault="0083351E" w:rsidP="0083351E">
      <w:pPr>
        <w:pStyle w:val="Default"/>
        <w:ind w:left="720"/>
        <w:rPr>
          <w:lang w:val="fr-FR"/>
        </w:rPr>
      </w:pPr>
      <w:proofErr w:type="gramStart"/>
      <w:r w:rsidRPr="00AC7DB6">
        <w:rPr>
          <w:lang w:val="fr-FR"/>
        </w:rPr>
        <w:t>Email:</w:t>
      </w:r>
      <w:proofErr w:type="gramEnd"/>
      <w:r w:rsidRPr="00AC7DB6">
        <w:rPr>
          <w:lang w:val="fr-FR"/>
        </w:rPr>
        <w:t xml:space="preserve"> </w:t>
      </w:r>
      <w:hyperlink r:id="rId15" w:history="1">
        <w:r w:rsidRPr="00AC7DB6">
          <w:rPr>
            <w:rStyle w:val="Hyperlink"/>
            <w:lang w:val="fr-FR"/>
          </w:rPr>
          <w:t>michelle.LaFortune@toronto.ca</w:t>
        </w:r>
      </w:hyperlink>
      <w:r w:rsidRPr="00AC7DB6">
        <w:rPr>
          <w:lang w:val="fr-FR"/>
        </w:rPr>
        <w:t xml:space="preserve">  / </w:t>
      </w:r>
      <w:hyperlink r:id="rId16" w:history="1">
        <w:r w:rsidRPr="00AC7DB6">
          <w:rPr>
            <w:rStyle w:val="Hyperlink"/>
            <w:lang w:val="fr-FR"/>
          </w:rPr>
          <w:t>Michael.Mahoney@toronto.ca</w:t>
        </w:r>
      </w:hyperlink>
      <w:r w:rsidRPr="00AC7DB6">
        <w:rPr>
          <w:lang w:val="fr-FR"/>
        </w:rPr>
        <w:t xml:space="preserve"> </w:t>
      </w:r>
      <w:r w:rsidRPr="00AC7DB6">
        <w:rPr>
          <w:bCs/>
          <w:lang w:val="fr-FR"/>
        </w:rPr>
        <w:t xml:space="preserve">   </w:t>
      </w:r>
    </w:p>
    <w:p w14:paraId="28C1FC1C" w14:textId="77777777" w:rsidR="0083351E" w:rsidRPr="00AC7DB6" w:rsidRDefault="0083351E" w:rsidP="0083351E">
      <w:pPr>
        <w:rPr>
          <w:rFonts w:ascii="Arial" w:hAnsi="Arial" w:cs="Arial"/>
          <w:lang w:val="fr-FR"/>
        </w:rPr>
      </w:pPr>
    </w:p>
    <w:p w14:paraId="34F179AA" w14:textId="77777777" w:rsidR="0083351E" w:rsidRPr="00AC7DB6" w:rsidRDefault="0083351E" w:rsidP="0083351E">
      <w:pPr>
        <w:rPr>
          <w:rFonts w:ascii="Arial" w:hAnsi="Arial" w:cs="Arial"/>
          <w:u w:val="single"/>
          <w:lang w:val="fr-FR"/>
        </w:rPr>
      </w:pPr>
      <w:r w:rsidRPr="00AC7DB6">
        <w:rPr>
          <w:rFonts w:ascii="Arial" w:hAnsi="Arial" w:cs="Arial"/>
          <w:b/>
          <w:bCs/>
          <w:u w:val="single"/>
          <w:lang w:val="fr-FR"/>
        </w:rPr>
        <w:t>PARTICIPANTS</w:t>
      </w:r>
    </w:p>
    <w:p w14:paraId="2ED55124" w14:textId="77777777" w:rsidR="0083351E" w:rsidRPr="00AC7DB6" w:rsidRDefault="0083351E" w:rsidP="0083351E">
      <w:pPr>
        <w:rPr>
          <w:rFonts w:ascii="Arial" w:hAnsi="Arial" w:cs="Arial"/>
          <w:b/>
          <w:bCs/>
          <w:lang w:val="fr-FR"/>
        </w:rPr>
      </w:pPr>
    </w:p>
    <w:p w14:paraId="48969883" w14:textId="77777777" w:rsidR="0083351E" w:rsidRPr="00AC7DB6" w:rsidRDefault="0083351E" w:rsidP="0083351E">
      <w:pPr>
        <w:rPr>
          <w:rFonts w:ascii="Arial" w:hAnsi="Arial" w:cs="Arial"/>
          <w:b/>
          <w:bCs/>
        </w:rPr>
      </w:pPr>
      <w:r w:rsidRPr="00AC7DB6">
        <w:rPr>
          <w:rFonts w:ascii="Arial" w:hAnsi="Arial" w:cs="Arial"/>
        </w:rPr>
        <w:t>1.</w:t>
      </w:r>
      <w:r w:rsidRPr="00AC7DB6">
        <w:rPr>
          <w:rFonts w:ascii="Arial" w:hAnsi="Arial" w:cs="Arial"/>
          <w:b/>
          <w:bCs/>
        </w:rPr>
        <w:tab/>
        <w:t>Jeff Russo</w:t>
      </w:r>
    </w:p>
    <w:p w14:paraId="5465A98A" w14:textId="77777777" w:rsidR="0083351E" w:rsidRPr="00AC7DB6" w:rsidRDefault="0083351E" w:rsidP="0083351E">
      <w:pPr>
        <w:rPr>
          <w:rFonts w:ascii="Arial" w:hAnsi="Arial" w:cs="Arial"/>
        </w:rPr>
      </w:pPr>
      <w:r w:rsidRPr="00AC7DB6">
        <w:rPr>
          <w:rFonts w:ascii="Arial" w:hAnsi="Arial" w:cs="Arial"/>
          <w:b/>
          <w:bCs/>
        </w:rPr>
        <w:tab/>
      </w:r>
      <w:r w:rsidRPr="00AC7DB6">
        <w:rPr>
          <w:rFonts w:ascii="Arial" w:hAnsi="Arial" w:cs="Arial"/>
        </w:rPr>
        <w:t>36 Morgan Ave</w:t>
      </w:r>
    </w:p>
    <w:p w14:paraId="5B25E5B4" w14:textId="77777777" w:rsidR="0083351E" w:rsidRPr="00AC7DB6" w:rsidRDefault="0083351E" w:rsidP="0083351E">
      <w:pPr>
        <w:rPr>
          <w:rFonts w:ascii="Arial" w:hAnsi="Arial" w:cs="Arial"/>
        </w:rPr>
      </w:pPr>
      <w:r w:rsidRPr="00AC7DB6">
        <w:rPr>
          <w:rFonts w:ascii="Arial" w:hAnsi="Arial" w:cs="Arial"/>
        </w:rPr>
        <w:tab/>
        <w:t>Etobicoke, Ontario, M8Y 2Z8</w:t>
      </w:r>
    </w:p>
    <w:p w14:paraId="57EA0AAC" w14:textId="77777777" w:rsidR="0083351E" w:rsidRPr="00AC7DB6" w:rsidRDefault="0083351E" w:rsidP="0083351E">
      <w:pPr>
        <w:rPr>
          <w:rFonts w:ascii="Arial" w:hAnsi="Arial" w:cs="Arial"/>
        </w:rPr>
      </w:pPr>
      <w:r w:rsidRPr="00AC7DB6">
        <w:rPr>
          <w:rFonts w:ascii="Arial" w:hAnsi="Arial" w:cs="Arial"/>
        </w:rPr>
        <w:tab/>
        <w:t>Tel: (416) 252- 7800</w:t>
      </w:r>
    </w:p>
    <w:p w14:paraId="48A851FC" w14:textId="77777777" w:rsidR="0083351E" w:rsidRPr="00AC7DB6" w:rsidRDefault="0083351E" w:rsidP="0083351E">
      <w:pPr>
        <w:rPr>
          <w:rFonts w:ascii="Arial" w:hAnsi="Arial" w:cs="Arial"/>
        </w:rPr>
      </w:pPr>
      <w:r w:rsidRPr="00AC7DB6">
        <w:rPr>
          <w:rFonts w:ascii="Arial" w:hAnsi="Arial" w:cs="Arial"/>
        </w:rPr>
        <w:tab/>
        <w:t xml:space="preserve">Email: </w:t>
      </w:r>
      <w:hyperlink r:id="rId17" w:history="1">
        <w:r w:rsidRPr="00AC7DB6">
          <w:rPr>
            <w:rStyle w:val="Hyperlink"/>
            <w:rFonts w:ascii="Arial" w:hAnsi="Arial" w:cs="Arial"/>
          </w:rPr>
          <w:t>jeffr@profitnessprogram.com</w:t>
        </w:r>
      </w:hyperlink>
      <w:r w:rsidRPr="00AC7DB6">
        <w:rPr>
          <w:rFonts w:ascii="Arial" w:hAnsi="Arial" w:cs="Arial"/>
        </w:rPr>
        <w:t xml:space="preserve"> </w:t>
      </w:r>
    </w:p>
    <w:p w14:paraId="7C5E00CB" w14:textId="77777777" w:rsidR="0083351E" w:rsidRPr="00AC7DB6" w:rsidRDefault="0083351E" w:rsidP="0083351E">
      <w:pPr>
        <w:jc w:val="center"/>
        <w:rPr>
          <w:rFonts w:ascii="Arial" w:hAnsi="Arial" w:cs="Arial"/>
          <w:b/>
        </w:rPr>
      </w:pPr>
      <w:r w:rsidRPr="00AC7DB6">
        <w:rPr>
          <w:rFonts w:ascii="Arial" w:hAnsi="Arial" w:cs="Arial"/>
        </w:rPr>
        <w:br w:type="page"/>
      </w:r>
      <w:r w:rsidRPr="00AC7DB6">
        <w:rPr>
          <w:rFonts w:ascii="Arial" w:hAnsi="Arial" w:cs="Arial"/>
          <w:b/>
        </w:rPr>
        <w:lastRenderedPageBreak/>
        <w:t>ATTACHMENT 2</w:t>
      </w:r>
    </w:p>
    <w:p w14:paraId="3D515A31" w14:textId="77777777" w:rsidR="0083351E" w:rsidRPr="00AC7DB6" w:rsidRDefault="0083351E" w:rsidP="0083351E">
      <w:pPr>
        <w:pStyle w:val="Default"/>
        <w:jc w:val="both"/>
      </w:pPr>
    </w:p>
    <w:p w14:paraId="74FDD9BF" w14:textId="39F7F916" w:rsidR="0083351E" w:rsidRDefault="0083351E" w:rsidP="0083351E">
      <w:pPr>
        <w:jc w:val="center"/>
        <w:rPr>
          <w:rFonts w:ascii="Arial" w:hAnsi="Arial" w:cs="Arial"/>
          <w:b/>
          <w:bCs/>
          <w:i/>
          <w:iCs/>
          <w:u w:val="single"/>
        </w:rPr>
      </w:pPr>
      <w:r w:rsidRPr="00AC7DB6">
        <w:rPr>
          <w:rFonts w:ascii="Arial" w:hAnsi="Arial" w:cs="Arial"/>
          <w:b/>
          <w:bCs/>
          <w:i/>
          <w:iCs/>
          <w:u w:val="single"/>
        </w:rPr>
        <w:t>Meaning of Terms used in the Procedural Order</w:t>
      </w:r>
    </w:p>
    <w:p w14:paraId="791B8D57" w14:textId="77777777" w:rsidR="0083351E" w:rsidRPr="00AC7DB6" w:rsidRDefault="0083351E" w:rsidP="0083351E">
      <w:pPr>
        <w:jc w:val="center"/>
        <w:rPr>
          <w:rFonts w:ascii="Arial" w:hAnsi="Arial" w:cs="Arial"/>
          <w:b/>
          <w:bCs/>
          <w:i/>
          <w:iCs/>
          <w:u w:val="single"/>
        </w:rPr>
      </w:pPr>
    </w:p>
    <w:p w14:paraId="49976D52" w14:textId="77777777" w:rsidR="0083351E" w:rsidRPr="00AC7DB6" w:rsidRDefault="0083351E" w:rsidP="0083351E">
      <w:pPr>
        <w:rPr>
          <w:rFonts w:ascii="Arial" w:hAnsi="Arial" w:cs="Arial"/>
          <w:i/>
          <w:iCs/>
        </w:rPr>
      </w:pPr>
      <w:r w:rsidRPr="00AC7DB6">
        <w:rPr>
          <w:rFonts w:ascii="Arial" w:hAnsi="Arial" w:cs="Arial"/>
          <w:b/>
          <w:bCs/>
          <w:i/>
          <w:iCs/>
        </w:rPr>
        <w:t>Party</w:t>
      </w:r>
      <w:r w:rsidRPr="00AC7DB6">
        <w:rPr>
          <w:rFonts w:ascii="Arial" w:hAnsi="Arial" w:cs="Arial"/>
          <w:i/>
          <w:iCs/>
        </w:rPr>
        <w:t xml:space="preserve"> is an individual or corporation permitted by the Tribunal to participate fully in the hearing by receiving copies of written evidence, presenting witnesses, cross-examining the witnesses of the other parties, and making submissions on all of the evidence. If an </w:t>
      </w:r>
      <w:r w:rsidRPr="00AC7DB6">
        <w:rPr>
          <w:rFonts w:ascii="Arial" w:hAnsi="Arial" w:cs="Arial"/>
          <w:b/>
          <w:bCs/>
          <w:i/>
          <w:iCs/>
        </w:rPr>
        <w:t>unincorporated group</w:t>
      </w:r>
      <w:r w:rsidRPr="00AC7DB6">
        <w:rPr>
          <w:rFonts w:ascii="Arial" w:hAnsi="Arial" w:cs="Arial"/>
          <w:i/>
          <w:iCs/>
        </w:rPr>
        <w:t xml:space="preserve"> wishes to become a party, it must appoint one person to speak for it, and that person must accept the other responsibilities of a party as set out in the Order. Parties do not have to be represented by a </w:t>
      </w:r>
      <w:proofErr w:type="gramStart"/>
      <w:r w:rsidRPr="00AC7DB6">
        <w:rPr>
          <w:rFonts w:ascii="Arial" w:hAnsi="Arial" w:cs="Arial"/>
          <w:i/>
          <w:iCs/>
        </w:rPr>
        <w:t>lawyer, and</w:t>
      </w:r>
      <w:proofErr w:type="gramEnd"/>
      <w:r w:rsidRPr="00AC7DB6">
        <w:rPr>
          <w:rFonts w:ascii="Arial" w:hAnsi="Arial" w:cs="Arial"/>
          <w:i/>
          <w:iCs/>
        </w:rPr>
        <w:t xml:space="preserve"> may have an agent speak for them. The agent must have written </w:t>
      </w:r>
      <w:proofErr w:type="spellStart"/>
      <w:r w:rsidRPr="00AC7DB6">
        <w:rPr>
          <w:rFonts w:ascii="Arial" w:hAnsi="Arial" w:cs="Arial"/>
          <w:i/>
          <w:iCs/>
        </w:rPr>
        <w:t>authorisation</w:t>
      </w:r>
      <w:proofErr w:type="spellEnd"/>
      <w:r w:rsidRPr="00AC7DB6">
        <w:rPr>
          <w:rFonts w:ascii="Arial" w:hAnsi="Arial" w:cs="Arial"/>
          <w:i/>
          <w:iCs/>
        </w:rPr>
        <w:t xml:space="preserve"> from the party.</w:t>
      </w:r>
    </w:p>
    <w:p w14:paraId="5149C339" w14:textId="310A4655" w:rsidR="0083351E" w:rsidRDefault="0083351E" w:rsidP="0083351E">
      <w:pPr>
        <w:rPr>
          <w:rFonts w:ascii="Arial" w:hAnsi="Arial" w:cs="Arial"/>
          <w:i/>
          <w:iCs/>
        </w:rPr>
      </w:pPr>
      <w:r w:rsidRPr="00AC7DB6">
        <w:rPr>
          <w:rFonts w:ascii="Arial" w:hAnsi="Arial" w:cs="Arial"/>
          <w:b/>
          <w:bCs/>
          <w:i/>
          <w:iCs/>
        </w:rPr>
        <w:t>NOTE</w:t>
      </w:r>
      <w:r w:rsidRPr="00AC7DB6">
        <w:rPr>
          <w:rFonts w:ascii="Arial" w:hAnsi="Arial" w:cs="Arial"/>
          <w:i/>
          <w:iCs/>
        </w:rPr>
        <w:t xml:space="preserve"> that a person who wishes to become a party before or at the hearing, and who did not request this at the case management conference (“CMC”), must ask the Tribunal to permit this.</w:t>
      </w:r>
    </w:p>
    <w:p w14:paraId="7238EAF1" w14:textId="77777777" w:rsidR="0083351E" w:rsidRPr="00AC7DB6" w:rsidRDefault="0083351E" w:rsidP="0083351E">
      <w:pPr>
        <w:rPr>
          <w:rFonts w:ascii="Arial" w:hAnsi="Arial" w:cs="Arial"/>
          <w:i/>
          <w:iCs/>
        </w:rPr>
      </w:pPr>
    </w:p>
    <w:p w14:paraId="15D332C8" w14:textId="0C9A0502" w:rsidR="0083351E" w:rsidRDefault="0083351E" w:rsidP="0083351E">
      <w:pPr>
        <w:rPr>
          <w:rFonts w:ascii="Arial" w:hAnsi="Arial" w:cs="Arial"/>
          <w:i/>
          <w:iCs/>
        </w:rPr>
      </w:pPr>
      <w:r w:rsidRPr="00AC7DB6">
        <w:rPr>
          <w:rFonts w:ascii="Arial" w:hAnsi="Arial" w:cs="Arial"/>
          <w:i/>
          <w:iCs/>
        </w:rPr>
        <w:t xml:space="preserve">A </w:t>
      </w:r>
      <w:r w:rsidRPr="00AC7DB6">
        <w:rPr>
          <w:rFonts w:ascii="Arial" w:hAnsi="Arial" w:cs="Arial"/>
          <w:b/>
          <w:bCs/>
          <w:i/>
          <w:iCs/>
        </w:rPr>
        <w:t>participant</w:t>
      </w:r>
      <w:r w:rsidRPr="00AC7DB6">
        <w:rPr>
          <w:rFonts w:ascii="Arial" w:hAnsi="Arial" w:cs="Arial"/>
          <w:i/>
          <w:iCs/>
        </w:rPr>
        <w:t xml:space="preserve"> is an individual or corporation, whether represented by a lawyer or not, who may make a written submission to the Tribunal. A participant cannot make an </w:t>
      </w:r>
      <w:r w:rsidRPr="00AC7DB6">
        <w:rPr>
          <w:rFonts w:ascii="Arial" w:hAnsi="Arial" w:cs="Arial"/>
          <w:i/>
          <w:iCs/>
        </w:rPr>
        <w:lastRenderedPageBreak/>
        <w:t>oral submission to the Tribunal or present oral evidence (testify in-person) at the hearing (only a party may do so). Section 17 of the Ontario Land Tribunal Act states that a person who is not a party to a proceeding may only make a submission to the Tribunal in writing. The Tribunal may direct a participant to attend a hearing to answer questions from the Tribunal on the content of their written submission, should that be found necessary by the Tribunal. A participant may also be asked questions by the parties should the Tribunal direct a participant to attend a hearing to answer questions on the content of their written submission.</w:t>
      </w:r>
    </w:p>
    <w:p w14:paraId="0BBECF1C" w14:textId="77777777" w:rsidR="0083351E" w:rsidRPr="00AC7DB6" w:rsidRDefault="0083351E" w:rsidP="0083351E">
      <w:pPr>
        <w:rPr>
          <w:rFonts w:ascii="Arial" w:hAnsi="Arial" w:cs="Arial"/>
          <w:i/>
          <w:iCs/>
        </w:rPr>
      </w:pPr>
    </w:p>
    <w:p w14:paraId="624FEAA9" w14:textId="321C0D2F" w:rsidR="0083351E" w:rsidRDefault="0083351E" w:rsidP="0083351E">
      <w:pPr>
        <w:rPr>
          <w:rFonts w:ascii="Arial" w:hAnsi="Arial" w:cs="Arial"/>
          <w:i/>
          <w:iCs/>
        </w:rPr>
      </w:pPr>
      <w:r w:rsidRPr="00AC7DB6">
        <w:rPr>
          <w:rFonts w:ascii="Arial" w:hAnsi="Arial" w:cs="Arial"/>
          <w:i/>
          <w:iCs/>
        </w:rPr>
        <w:t xml:space="preserve">A participant must be identified and be accorded participant status by the Tribunal at the CMC. A participant will not receive notice of conference calls on procedural issues that may be scheduled prior to the hearing, nor receive notice of mediation. A participant cannot ask for costs, or review of a decision, as a participant does not have the rights of a party to make such requests of the Tribunal. </w:t>
      </w:r>
    </w:p>
    <w:p w14:paraId="79329DC3" w14:textId="77777777" w:rsidR="0083351E" w:rsidRPr="00AC7DB6" w:rsidRDefault="0083351E" w:rsidP="0083351E">
      <w:pPr>
        <w:rPr>
          <w:rFonts w:ascii="Arial" w:hAnsi="Arial" w:cs="Arial"/>
          <w:i/>
          <w:iCs/>
        </w:rPr>
      </w:pPr>
    </w:p>
    <w:p w14:paraId="2EEA4497" w14:textId="25DB2BF1" w:rsidR="0083351E" w:rsidRDefault="0083351E" w:rsidP="0083351E">
      <w:pPr>
        <w:rPr>
          <w:rFonts w:ascii="Arial" w:hAnsi="Arial" w:cs="Arial"/>
          <w:i/>
          <w:iCs/>
        </w:rPr>
      </w:pPr>
      <w:r w:rsidRPr="00AC7DB6">
        <w:rPr>
          <w:rFonts w:ascii="Arial" w:hAnsi="Arial" w:cs="Arial"/>
          <w:b/>
          <w:bCs/>
          <w:i/>
          <w:iCs/>
        </w:rPr>
        <w:lastRenderedPageBreak/>
        <w:t>Written evidence</w:t>
      </w:r>
      <w:r w:rsidRPr="00AC7DB6">
        <w:rPr>
          <w:rFonts w:ascii="Arial" w:hAnsi="Arial" w:cs="Arial"/>
          <w:i/>
          <w:iCs/>
        </w:rPr>
        <w:t xml:space="preserve"> includes all written material, reports, studies, documents, </w:t>
      </w:r>
      <w:proofErr w:type="gramStart"/>
      <w:r w:rsidRPr="00AC7DB6">
        <w:rPr>
          <w:rFonts w:ascii="Arial" w:hAnsi="Arial" w:cs="Arial"/>
          <w:i/>
          <w:iCs/>
        </w:rPr>
        <w:t>letters</w:t>
      </w:r>
      <w:proofErr w:type="gramEnd"/>
      <w:r w:rsidRPr="00AC7DB6">
        <w:rPr>
          <w:rFonts w:ascii="Arial" w:hAnsi="Arial" w:cs="Arial"/>
          <w:i/>
          <w:iCs/>
        </w:rPr>
        <w:t xml:space="preserve"> and witness statements which a party or participant intends to present as evidence at the hearing.  These must have pages numbered consecutively throughout the entire document, even if there are tabs or dividers in the material.  </w:t>
      </w:r>
    </w:p>
    <w:p w14:paraId="643177D1" w14:textId="77777777" w:rsidR="0083351E" w:rsidRPr="00AC7DB6" w:rsidRDefault="0083351E" w:rsidP="0083351E">
      <w:pPr>
        <w:rPr>
          <w:rFonts w:ascii="Arial" w:hAnsi="Arial" w:cs="Arial"/>
          <w:i/>
          <w:iCs/>
        </w:rPr>
      </w:pPr>
    </w:p>
    <w:p w14:paraId="6C561D9C" w14:textId="58CE80C4" w:rsidR="0083351E" w:rsidRDefault="0083351E" w:rsidP="0083351E">
      <w:pPr>
        <w:rPr>
          <w:rFonts w:ascii="Arial" w:hAnsi="Arial" w:cs="Arial"/>
          <w:i/>
          <w:iCs/>
        </w:rPr>
      </w:pPr>
      <w:r w:rsidRPr="00AC7DB6">
        <w:rPr>
          <w:rFonts w:ascii="Arial" w:hAnsi="Arial" w:cs="Arial"/>
          <w:b/>
          <w:bCs/>
          <w:i/>
          <w:iCs/>
        </w:rPr>
        <w:t>Visual evidence</w:t>
      </w:r>
      <w:r w:rsidRPr="00AC7DB6">
        <w:rPr>
          <w:rFonts w:ascii="Arial" w:hAnsi="Arial" w:cs="Arial"/>
          <w:i/>
          <w:iCs/>
        </w:rPr>
        <w:t xml:space="preserve"> includes photographs, maps, videos, models, and overlays which a party or participant intends to present as evidence at the hearing.</w:t>
      </w:r>
    </w:p>
    <w:p w14:paraId="052EB201" w14:textId="77777777" w:rsidR="0083351E" w:rsidRPr="00AC7DB6" w:rsidRDefault="0083351E" w:rsidP="0083351E">
      <w:pPr>
        <w:rPr>
          <w:rFonts w:ascii="Arial" w:hAnsi="Arial" w:cs="Arial"/>
          <w:i/>
          <w:iCs/>
        </w:rPr>
      </w:pPr>
    </w:p>
    <w:p w14:paraId="3EBAD1D3" w14:textId="6B6F78D2" w:rsidR="0083351E" w:rsidRDefault="0083351E" w:rsidP="0083351E">
      <w:pPr>
        <w:rPr>
          <w:rFonts w:ascii="Arial" w:hAnsi="Arial" w:cs="Arial"/>
          <w:i/>
          <w:iCs/>
        </w:rPr>
      </w:pPr>
      <w:bookmarkStart w:id="4" w:name="_Hlk73777774"/>
      <w:r w:rsidRPr="00AC7DB6">
        <w:rPr>
          <w:rFonts w:ascii="Arial" w:hAnsi="Arial" w:cs="Arial"/>
          <w:i/>
          <w:iCs/>
        </w:rPr>
        <w:t xml:space="preserve">A </w:t>
      </w:r>
      <w:r w:rsidRPr="00AC7DB6">
        <w:rPr>
          <w:rFonts w:ascii="Arial" w:hAnsi="Arial" w:cs="Arial"/>
          <w:b/>
          <w:bCs/>
          <w:i/>
          <w:iCs/>
        </w:rPr>
        <w:t>witness statement</w:t>
      </w:r>
      <w:r w:rsidRPr="00AC7DB6">
        <w:rPr>
          <w:rFonts w:ascii="Arial" w:hAnsi="Arial" w:cs="Arial"/>
          <w:i/>
          <w:iCs/>
        </w:rPr>
        <w:t xml:space="preserve"> is a short written outline of the person’s background, </w:t>
      </w:r>
      <w:proofErr w:type="gramStart"/>
      <w:r w:rsidRPr="00AC7DB6">
        <w:rPr>
          <w:rFonts w:ascii="Arial" w:hAnsi="Arial" w:cs="Arial"/>
          <w:i/>
          <w:iCs/>
        </w:rPr>
        <w:t>experience</w:t>
      </w:r>
      <w:proofErr w:type="gramEnd"/>
      <w:r w:rsidRPr="00AC7DB6">
        <w:rPr>
          <w:rFonts w:ascii="Arial" w:hAnsi="Arial" w:cs="Arial"/>
          <w:i/>
          <w:iCs/>
        </w:rPr>
        <w:t xml:space="preserve"> and interest in the matter; a list of the issues which he or she will discuss and the witness’ opinions on those issues; and a list of reports that the witness will rely on at the hearing.  </w:t>
      </w:r>
    </w:p>
    <w:p w14:paraId="2E7B13CA" w14:textId="77777777" w:rsidR="0083351E" w:rsidRPr="00AC7DB6" w:rsidRDefault="0083351E" w:rsidP="0083351E">
      <w:pPr>
        <w:rPr>
          <w:rFonts w:ascii="Arial" w:hAnsi="Arial" w:cs="Arial"/>
          <w:i/>
          <w:iCs/>
        </w:rPr>
      </w:pPr>
    </w:p>
    <w:bookmarkEnd w:id="4"/>
    <w:p w14:paraId="201051B6" w14:textId="5C20CC01" w:rsidR="0083351E" w:rsidRDefault="0083351E" w:rsidP="0083351E">
      <w:pPr>
        <w:rPr>
          <w:rFonts w:ascii="Arial" w:hAnsi="Arial" w:cs="Arial"/>
          <w:i/>
          <w:iCs/>
        </w:rPr>
      </w:pPr>
      <w:r w:rsidRPr="00AC7DB6">
        <w:rPr>
          <w:rFonts w:ascii="Arial" w:hAnsi="Arial" w:cs="Arial"/>
          <w:i/>
          <w:iCs/>
        </w:rPr>
        <w:t xml:space="preserve">An </w:t>
      </w:r>
      <w:r w:rsidRPr="00AC7DB6">
        <w:rPr>
          <w:rFonts w:ascii="Arial" w:hAnsi="Arial" w:cs="Arial"/>
          <w:b/>
          <w:bCs/>
          <w:i/>
          <w:iCs/>
        </w:rPr>
        <w:t>expert witness statement</w:t>
      </w:r>
      <w:r w:rsidRPr="00AC7DB6">
        <w:rPr>
          <w:rFonts w:ascii="Arial" w:hAnsi="Arial" w:cs="Arial"/>
          <w:i/>
          <w:iCs/>
        </w:rPr>
        <w:t xml:space="preserve"> should include his or her (1) name and address, (2) qualifications, (3) a list of the issues he or she will address, (4) the witness’ opinions on those issues and the complete reasons for the opinions and (5) a list of reports that the witness will rely </w:t>
      </w:r>
      <w:r w:rsidRPr="00AC7DB6">
        <w:rPr>
          <w:rFonts w:ascii="Arial" w:hAnsi="Arial" w:cs="Arial"/>
          <w:i/>
          <w:iCs/>
        </w:rPr>
        <w:lastRenderedPageBreak/>
        <w:t xml:space="preserve">on at the hearing. An expert witness statement must be accompanied by an acknowledgement of expert’s duty. </w:t>
      </w:r>
    </w:p>
    <w:p w14:paraId="713F18E7" w14:textId="77777777" w:rsidR="0083351E" w:rsidRPr="00AC7DB6" w:rsidRDefault="0083351E" w:rsidP="0083351E">
      <w:pPr>
        <w:rPr>
          <w:rFonts w:ascii="Arial" w:hAnsi="Arial" w:cs="Arial"/>
          <w:i/>
          <w:iCs/>
        </w:rPr>
      </w:pPr>
    </w:p>
    <w:p w14:paraId="2D1B8697" w14:textId="575B7846" w:rsidR="0083351E" w:rsidRPr="00AC7DB6" w:rsidRDefault="0083351E" w:rsidP="0083351E">
      <w:pPr>
        <w:rPr>
          <w:rFonts w:ascii="Arial" w:hAnsi="Arial" w:cs="Arial"/>
          <w:i/>
          <w:iCs/>
        </w:rPr>
      </w:pPr>
      <w:r w:rsidRPr="00AC7DB6">
        <w:rPr>
          <w:rFonts w:ascii="Arial" w:hAnsi="Arial" w:cs="Arial"/>
          <w:i/>
          <w:iCs/>
        </w:rPr>
        <w:t xml:space="preserve">A </w:t>
      </w:r>
      <w:r w:rsidRPr="00AC7DB6">
        <w:rPr>
          <w:rFonts w:ascii="Arial" w:hAnsi="Arial" w:cs="Arial"/>
          <w:b/>
          <w:bCs/>
          <w:i/>
          <w:iCs/>
        </w:rPr>
        <w:t>participant statement</w:t>
      </w:r>
      <w:r w:rsidRPr="00AC7DB6">
        <w:rPr>
          <w:rFonts w:ascii="Arial" w:hAnsi="Arial" w:cs="Arial"/>
          <w:i/>
          <w:iCs/>
        </w:rPr>
        <w:t xml:space="preserve"> is a short written outline of the person’s or group’s background, experience and interest in the matter; a statement of the participant’s position on the appeal; a list of the issues which the participant wishes to address and the submissions of the participant on those issues;</w:t>
      </w:r>
      <w:r>
        <w:rPr>
          <w:rFonts w:ascii="Arial" w:hAnsi="Arial" w:cs="Arial"/>
          <w:i/>
          <w:iCs/>
        </w:rPr>
        <w:t xml:space="preserve"> </w:t>
      </w:r>
      <w:r w:rsidRPr="00AC7DB6">
        <w:rPr>
          <w:rFonts w:ascii="Arial" w:hAnsi="Arial" w:cs="Arial"/>
          <w:i/>
          <w:iCs/>
        </w:rPr>
        <w:t>and a list of reports or materials, if any, which the participant wishes to refer to in their statement.</w:t>
      </w:r>
    </w:p>
    <w:p w14:paraId="14070FAC" w14:textId="77777777" w:rsidR="0083351E" w:rsidRPr="00AC7DB6" w:rsidRDefault="0083351E" w:rsidP="0083351E">
      <w:pPr>
        <w:rPr>
          <w:rFonts w:ascii="Arial" w:hAnsi="Arial" w:cs="Arial"/>
          <w:i/>
          <w:iCs/>
        </w:rPr>
      </w:pPr>
    </w:p>
    <w:p w14:paraId="6DF0F187" w14:textId="6B220479" w:rsidR="0083351E" w:rsidRDefault="0083351E" w:rsidP="0083351E">
      <w:pPr>
        <w:keepNext/>
        <w:keepLines/>
        <w:rPr>
          <w:rFonts w:ascii="Arial" w:hAnsi="Arial" w:cs="Arial"/>
          <w:b/>
          <w:bCs/>
          <w:i/>
          <w:iCs/>
          <w:u w:val="single"/>
        </w:rPr>
      </w:pPr>
      <w:r w:rsidRPr="00AC7DB6">
        <w:rPr>
          <w:rFonts w:ascii="Arial" w:hAnsi="Arial" w:cs="Arial"/>
          <w:b/>
          <w:bCs/>
          <w:i/>
          <w:iCs/>
          <w:u w:val="single"/>
        </w:rPr>
        <w:lastRenderedPageBreak/>
        <w:t>Additional Information</w:t>
      </w:r>
    </w:p>
    <w:p w14:paraId="13127724" w14:textId="77777777" w:rsidR="0083351E" w:rsidRPr="00AC7DB6" w:rsidRDefault="0083351E" w:rsidP="0083351E">
      <w:pPr>
        <w:keepNext/>
        <w:keepLines/>
        <w:rPr>
          <w:rFonts w:ascii="Arial" w:hAnsi="Arial" w:cs="Arial"/>
          <w:b/>
          <w:bCs/>
          <w:i/>
          <w:iCs/>
          <w:u w:val="single"/>
        </w:rPr>
      </w:pPr>
    </w:p>
    <w:p w14:paraId="4F6EC326" w14:textId="46716A2F" w:rsidR="0083351E" w:rsidRPr="00AC7DB6" w:rsidRDefault="0083351E" w:rsidP="0083351E">
      <w:pPr>
        <w:keepNext/>
        <w:keepLines/>
        <w:rPr>
          <w:rFonts w:ascii="Arial" w:hAnsi="Arial" w:cs="Arial"/>
          <w:i/>
          <w:iCs/>
        </w:rPr>
      </w:pPr>
      <w:r w:rsidRPr="00AC7DB6">
        <w:rPr>
          <w:rFonts w:ascii="Arial" w:hAnsi="Arial" w:cs="Arial"/>
          <w:i/>
          <w:iCs/>
        </w:rPr>
        <w:t xml:space="preserve">A </w:t>
      </w:r>
      <w:r w:rsidRPr="00AC7DB6">
        <w:rPr>
          <w:rFonts w:ascii="Arial" w:hAnsi="Arial" w:cs="Arial"/>
          <w:b/>
          <w:bCs/>
          <w:i/>
          <w:iCs/>
        </w:rPr>
        <w:t>Summons</w:t>
      </w:r>
      <w:r w:rsidRPr="00AC7DB6">
        <w:rPr>
          <w:rFonts w:ascii="Arial" w:hAnsi="Arial" w:cs="Arial"/>
          <w:i/>
          <w:iCs/>
        </w:rPr>
        <w:t xml:space="preserve"> may compel the appearance of a person before the Tribunal who has not agree to appear as a witness. A party must ask a Tribunal Member or the senior staff of the Tribunal to issue a summons through a request. (See </w:t>
      </w:r>
      <w:hyperlink r:id="rId18" w:history="1">
        <w:r w:rsidRPr="00AC7DB6">
          <w:rPr>
            <w:rStyle w:val="Hyperlink"/>
            <w:rFonts w:ascii="Arial" w:hAnsi="Arial" w:cs="Arial"/>
          </w:rPr>
          <w:t>Rule 13</w:t>
        </w:r>
      </w:hyperlink>
      <w:r w:rsidRPr="00AC7DB6">
        <w:rPr>
          <w:rFonts w:ascii="Arial" w:hAnsi="Arial" w:cs="Arial"/>
          <w:i/>
          <w:iCs/>
        </w:rPr>
        <w:t xml:space="preserve"> on the summons procedure.)  The request should indicate how the witness’ evidence is relevant to the hearing.  If the Tribunal is not satisfied from the information provided in the request that the evidence is relevant, </w:t>
      </w:r>
      <w:proofErr w:type="gramStart"/>
      <w:r w:rsidRPr="00AC7DB6">
        <w:rPr>
          <w:rFonts w:ascii="Arial" w:hAnsi="Arial" w:cs="Arial"/>
          <w:i/>
          <w:iCs/>
        </w:rPr>
        <w:t>necessary</w:t>
      </w:r>
      <w:proofErr w:type="gramEnd"/>
      <w:r w:rsidRPr="00AC7DB6">
        <w:rPr>
          <w:rFonts w:ascii="Arial" w:hAnsi="Arial" w:cs="Arial"/>
          <w:i/>
          <w:iCs/>
        </w:rPr>
        <w:t xml:space="preserve"> or admissible, the party requesting the summons may provide a further request with more detail or bring a motion in accordance with the Rules. </w:t>
      </w:r>
    </w:p>
    <w:p w14:paraId="0381E85A" w14:textId="77777777" w:rsidR="0083351E" w:rsidRDefault="0083351E" w:rsidP="0083351E">
      <w:pPr>
        <w:rPr>
          <w:rFonts w:ascii="Arial" w:hAnsi="Arial" w:cs="Arial"/>
          <w:b/>
          <w:bCs/>
          <w:i/>
          <w:iCs/>
        </w:rPr>
      </w:pPr>
    </w:p>
    <w:p w14:paraId="6741736D" w14:textId="2B82D8D5" w:rsidR="0083351E" w:rsidRDefault="0083351E" w:rsidP="0083351E">
      <w:pPr>
        <w:rPr>
          <w:rFonts w:ascii="Arial" w:hAnsi="Arial" w:cs="Arial"/>
          <w:i/>
          <w:iCs/>
        </w:rPr>
      </w:pPr>
      <w:r w:rsidRPr="00AC7DB6">
        <w:rPr>
          <w:rFonts w:ascii="Arial" w:hAnsi="Arial" w:cs="Arial"/>
          <w:b/>
          <w:bCs/>
          <w:i/>
          <w:iCs/>
        </w:rPr>
        <w:t>The order of examination of witnesses</w:t>
      </w:r>
      <w:r w:rsidRPr="00AC7DB6">
        <w:rPr>
          <w:rFonts w:ascii="Arial" w:hAnsi="Arial" w:cs="Arial"/>
          <w:i/>
          <w:iCs/>
        </w:rPr>
        <w:t xml:space="preserve"> is usually direct examination, cross-examination, and re-examination in the following way:</w:t>
      </w:r>
    </w:p>
    <w:p w14:paraId="55C537AC" w14:textId="77777777" w:rsidR="0083351E" w:rsidRPr="00AC7DB6" w:rsidRDefault="0083351E" w:rsidP="0083351E">
      <w:pPr>
        <w:rPr>
          <w:rFonts w:ascii="Arial" w:hAnsi="Arial" w:cs="Arial"/>
          <w:i/>
          <w:iCs/>
        </w:rPr>
      </w:pPr>
    </w:p>
    <w:p w14:paraId="54F608A5" w14:textId="77777777" w:rsidR="0083351E" w:rsidRPr="00AC7DB6" w:rsidRDefault="0083351E" w:rsidP="0083351E">
      <w:pPr>
        <w:numPr>
          <w:ilvl w:val="3"/>
          <w:numId w:val="11"/>
        </w:numPr>
        <w:tabs>
          <w:tab w:val="clear" w:pos="2880"/>
          <w:tab w:val="num" w:pos="720"/>
        </w:tabs>
        <w:ind w:left="720"/>
        <w:rPr>
          <w:rFonts w:ascii="Arial" w:hAnsi="Arial" w:cs="Arial"/>
          <w:i/>
          <w:iCs/>
        </w:rPr>
      </w:pPr>
      <w:r w:rsidRPr="00AC7DB6">
        <w:rPr>
          <w:rFonts w:ascii="Arial" w:hAnsi="Arial" w:cs="Arial"/>
          <w:i/>
          <w:iCs/>
        </w:rPr>
        <w:t>direct examination by the party presenting the witness;</w:t>
      </w:r>
    </w:p>
    <w:p w14:paraId="7DB678EE" w14:textId="77777777" w:rsidR="0083351E" w:rsidRPr="00AC7DB6" w:rsidRDefault="0083351E" w:rsidP="0083351E">
      <w:pPr>
        <w:numPr>
          <w:ilvl w:val="3"/>
          <w:numId w:val="11"/>
        </w:numPr>
        <w:tabs>
          <w:tab w:val="clear" w:pos="2880"/>
          <w:tab w:val="num" w:pos="720"/>
        </w:tabs>
        <w:ind w:left="720"/>
        <w:rPr>
          <w:rFonts w:ascii="Arial" w:hAnsi="Arial" w:cs="Arial"/>
          <w:i/>
          <w:iCs/>
        </w:rPr>
      </w:pPr>
      <w:r w:rsidRPr="00AC7DB6">
        <w:rPr>
          <w:rFonts w:ascii="Arial" w:hAnsi="Arial" w:cs="Arial"/>
          <w:i/>
          <w:iCs/>
        </w:rPr>
        <w:lastRenderedPageBreak/>
        <w:t>direct examination by any party of similar interest, in the manner determined by the Tribunal;</w:t>
      </w:r>
    </w:p>
    <w:p w14:paraId="5C4A3E3E" w14:textId="77777777" w:rsidR="0083351E" w:rsidRPr="00AC7DB6" w:rsidRDefault="0083351E" w:rsidP="0083351E">
      <w:pPr>
        <w:numPr>
          <w:ilvl w:val="3"/>
          <w:numId w:val="11"/>
        </w:numPr>
        <w:tabs>
          <w:tab w:val="clear" w:pos="2880"/>
          <w:tab w:val="num" w:pos="720"/>
        </w:tabs>
        <w:ind w:left="720"/>
        <w:rPr>
          <w:rFonts w:ascii="Arial" w:hAnsi="Arial" w:cs="Arial"/>
          <w:i/>
          <w:iCs/>
        </w:rPr>
      </w:pPr>
      <w:r w:rsidRPr="00AC7DB6">
        <w:rPr>
          <w:rFonts w:ascii="Arial" w:hAnsi="Arial" w:cs="Arial"/>
          <w:i/>
          <w:iCs/>
        </w:rPr>
        <w:t xml:space="preserve">cross-examination by parties of opposite interest; </w:t>
      </w:r>
    </w:p>
    <w:p w14:paraId="2742AD10" w14:textId="77777777" w:rsidR="0083351E" w:rsidRPr="00AC7DB6" w:rsidRDefault="0083351E" w:rsidP="0083351E">
      <w:pPr>
        <w:numPr>
          <w:ilvl w:val="3"/>
          <w:numId w:val="11"/>
        </w:numPr>
        <w:tabs>
          <w:tab w:val="clear" w:pos="2880"/>
          <w:tab w:val="num" w:pos="720"/>
        </w:tabs>
        <w:ind w:left="720"/>
        <w:rPr>
          <w:rFonts w:ascii="Arial" w:hAnsi="Arial" w:cs="Arial"/>
          <w:i/>
          <w:iCs/>
        </w:rPr>
      </w:pPr>
      <w:r w:rsidRPr="00AC7DB6">
        <w:rPr>
          <w:rFonts w:ascii="Arial" w:hAnsi="Arial" w:cs="Arial"/>
          <w:i/>
          <w:iCs/>
        </w:rPr>
        <w:t xml:space="preserve">re-examination by the party presenting the witness; or </w:t>
      </w:r>
    </w:p>
    <w:p w14:paraId="43F5FECD" w14:textId="77777777" w:rsidR="0083351E" w:rsidRPr="00AC7DB6" w:rsidRDefault="0083351E" w:rsidP="0083351E">
      <w:pPr>
        <w:numPr>
          <w:ilvl w:val="3"/>
          <w:numId w:val="11"/>
        </w:numPr>
        <w:tabs>
          <w:tab w:val="clear" w:pos="2880"/>
          <w:tab w:val="num" w:pos="720"/>
        </w:tabs>
        <w:ind w:left="720"/>
        <w:rPr>
          <w:rFonts w:ascii="Arial" w:hAnsi="Arial" w:cs="Arial"/>
          <w:i/>
          <w:iCs/>
        </w:rPr>
      </w:pPr>
      <w:r w:rsidRPr="00AC7DB6">
        <w:rPr>
          <w:rFonts w:ascii="Arial" w:hAnsi="Arial" w:cs="Arial"/>
          <w:i/>
          <w:iCs/>
        </w:rPr>
        <w:t>another order of examination mutually agreed among the parties or directed by the Tribunal.</w:t>
      </w:r>
    </w:p>
    <w:p w14:paraId="4F3CDCF5" w14:textId="77777777" w:rsidR="0083351E" w:rsidRPr="00AC7DB6" w:rsidRDefault="0083351E" w:rsidP="0083351E">
      <w:pPr>
        <w:rPr>
          <w:rFonts w:ascii="Arial" w:hAnsi="Arial" w:cs="Arial"/>
        </w:rPr>
      </w:pPr>
    </w:p>
    <w:p w14:paraId="6CF57EB7" w14:textId="77777777" w:rsidR="0083351E" w:rsidRPr="00AC7DB6" w:rsidRDefault="0083351E" w:rsidP="0083351E">
      <w:pPr>
        <w:pStyle w:val="Default"/>
        <w:jc w:val="both"/>
        <w:rPr>
          <w:b/>
        </w:rPr>
      </w:pPr>
      <w:r w:rsidRPr="00AC7DB6">
        <w:rPr>
          <w:b/>
        </w:rPr>
        <w:br w:type="page"/>
      </w:r>
    </w:p>
    <w:p w14:paraId="210B18E9" w14:textId="77777777" w:rsidR="0083351E" w:rsidRPr="00AC7DB6" w:rsidRDefault="0083351E" w:rsidP="0083351E">
      <w:pPr>
        <w:jc w:val="center"/>
        <w:rPr>
          <w:rFonts w:ascii="Arial" w:hAnsi="Arial" w:cs="Arial"/>
          <w:b/>
        </w:rPr>
      </w:pPr>
      <w:r w:rsidRPr="00AC7DB6">
        <w:rPr>
          <w:rFonts w:ascii="Arial" w:hAnsi="Arial" w:cs="Arial"/>
          <w:b/>
        </w:rPr>
        <w:lastRenderedPageBreak/>
        <w:t>ATTACHMENT 3</w:t>
      </w:r>
    </w:p>
    <w:p w14:paraId="41C761CF" w14:textId="77777777" w:rsidR="0083351E" w:rsidRPr="00AC7DB6" w:rsidRDefault="0083351E" w:rsidP="0083351E">
      <w:pPr>
        <w:pBdr>
          <w:bottom w:val="single" w:sz="4" w:space="1" w:color="auto"/>
        </w:pBdr>
        <w:jc w:val="center"/>
        <w:rPr>
          <w:rFonts w:ascii="Arial" w:hAnsi="Arial" w:cs="Arial"/>
        </w:rPr>
      </w:pPr>
      <w:r w:rsidRPr="00AC7DB6">
        <w:rPr>
          <w:rFonts w:ascii="Arial" w:hAnsi="Arial" w:cs="Arial"/>
        </w:rPr>
        <w:t>ISSUES LIST</w:t>
      </w:r>
      <w:r w:rsidRPr="00AC7DB6">
        <w:rPr>
          <w:rStyle w:val="FootnoteReference"/>
          <w:rFonts w:ascii="Arial" w:hAnsi="Arial" w:cs="Arial"/>
        </w:rPr>
        <w:footnoteReference w:id="1"/>
      </w:r>
    </w:p>
    <w:p w14:paraId="190020C3" w14:textId="77777777" w:rsidR="0083351E" w:rsidRPr="00AC7DB6" w:rsidRDefault="0083351E" w:rsidP="0083351E">
      <w:pPr>
        <w:pStyle w:val="ListParagraph"/>
        <w:jc w:val="center"/>
        <w:rPr>
          <w:rFonts w:ascii="Arial" w:hAnsi="Arial" w:cs="Arial"/>
          <w:b/>
        </w:rPr>
      </w:pPr>
    </w:p>
    <w:p w14:paraId="34F59528" w14:textId="77777777" w:rsidR="0083351E" w:rsidRPr="00AC7DB6" w:rsidRDefault="0083351E" w:rsidP="0083351E">
      <w:pPr>
        <w:pStyle w:val="ListParagraph"/>
        <w:jc w:val="center"/>
        <w:rPr>
          <w:rFonts w:ascii="Arial" w:hAnsi="Arial" w:cs="Arial"/>
          <w:b/>
        </w:rPr>
      </w:pPr>
    </w:p>
    <w:p w14:paraId="4C6801D6" w14:textId="09F5A897" w:rsidR="0083351E" w:rsidRPr="00AC7DB6" w:rsidRDefault="0083351E" w:rsidP="0083351E">
      <w:pPr>
        <w:pStyle w:val="ListParagraph"/>
        <w:jc w:val="center"/>
        <w:rPr>
          <w:rFonts w:ascii="Arial" w:hAnsi="Arial" w:cs="Arial"/>
          <w:b/>
          <w:u w:val="single"/>
        </w:rPr>
      </w:pPr>
      <w:r w:rsidRPr="00AC7DB6">
        <w:rPr>
          <w:rFonts w:ascii="Arial" w:hAnsi="Arial" w:cs="Arial"/>
          <w:b/>
        </w:rPr>
        <w:t>CITY OF TORONTO LIST OF ISSUES</w:t>
      </w:r>
    </w:p>
    <w:p w14:paraId="4D1B5492" w14:textId="77777777" w:rsidR="0083351E" w:rsidRPr="00AC7DB6" w:rsidRDefault="0083351E" w:rsidP="0083351E">
      <w:pPr>
        <w:spacing w:before="100" w:beforeAutospacing="1" w:after="100" w:afterAutospacing="1"/>
        <w:jc w:val="both"/>
        <w:rPr>
          <w:rFonts w:ascii="Arial" w:hAnsi="Arial" w:cs="Arial"/>
          <w:u w:val="single"/>
        </w:rPr>
      </w:pPr>
      <w:r w:rsidRPr="00AC7DB6">
        <w:rPr>
          <w:rFonts w:ascii="Arial" w:hAnsi="Arial" w:cs="Arial"/>
          <w:u w:val="single"/>
        </w:rPr>
        <w:t>Planning Act</w:t>
      </w:r>
    </w:p>
    <w:p w14:paraId="2C88391C" w14:textId="77777777" w:rsidR="0083351E" w:rsidRPr="00AC7DB6" w:rsidRDefault="0083351E" w:rsidP="0083351E">
      <w:pPr>
        <w:pStyle w:val="ListParagraph"/>
        <w:numPr>
          <w:ilvl w:val="0"/>
          <w:numId w:val="13"/>
        </w:numPr>
        <w:rPr>
          <w:rFonts w:ascii="Arial" w:hAnsi="Arial" w:cs="Arial"/>
        </w:rPr>
      </w:pPr>
      <w:r w:rsidRPr="00AC7DB6">
        <w:rPr>
          <w:rFonts w:ascii="Arial" w:hAnsi="Arial" w:cs="Arial"/>
        </w:rPr>
        <w:t>Does the proposed development have appropriate regard to the matters of Provincial interest in Section 2 of the Planning Act, including but not limited to subsections 2 (d), (f), (j) (q) and (r)?</w:t>
      </w:r>
    </w:p>
    <w:p w14:paraId="0103B95F" w14:textId="77777777" w:rsidR="0083351E" w:rsidRPr="00AC7DB6" w:rsidRDefault="0083351E" w:rsidP="0083351E">
      <w:pPr>
        <w:jc w:val="both"/>
        <w:rPr>
          <w:rFonts w:ascii="Arial" w:hAnsi="Arial" w:cs="Arial"/>
          <w:u w:val="single"/>
        </w:rPr>
      </w:pPr>
    </w:p>
    <w:p w14:paraId="06EB2EF5" w14:textId="77777777" w:rsidR="0083351E" w:rsidRPr="00AC7DB6" w:rsidRDefault="0083351E" w:rsidP="0083351E">
      <w:pPr>
        <w:jc w:val="both"/>
        <w:rPr>
          <w:rFonts w:ascii="Arial" w:hAnsi="Arial" w:cs="Arial"/>
          <w:u w:val="single"/>
        </w:rPr>
      </w:pPr>
      <w:r w:rsidRPr="00AC7DB6">
        <w:rPr>
          <w:rFonts w:ascii="Arial" w:hAnsi="Arial" w:cs="Arial"/>
          <w:u w:val="single"/>
        </w:rPr>
        <w:lastRenderedPageBreak/>
        <w:t>Provincial Policy Statement</w:t>
      </w:r>
    </w:p>
    <w:p w14:paraId="07751E63" w14:textId="77777777" w:rsidR="0083351E" w:rsidRPr="00AC7DB6" w:rsidRDefault="0083351E" w:rsidP="0083351E">
      <w:pPr>
        <w:pStyle w:val="ListParagraph"/>
        <w:rPr>
          <w:rFonts w:ascii="Arial" w:hAnsi="Arial" w:cs="Arial"/>
        </w:rPr>
      </w:pPr>
    </w:p>
    <w:p w14:paraId="331B6F7B" w14:textId="77777777" w:rsidR="0083351E" w:rsidRPr="00AC7DB6" w:rsidRDefault="0083351E" w:rsidP="0083351E">
      <w:pPr>
        <w:pStyle w:val="ListParagraph"/>
        <w:numPr>
          <w:ilvl w:val="0"/>
          <w:numId w:val="13"/>
        </w:numPr>
        <w:rPr>
          <w:rFonts w:ascii="Arial" w:hAnsi="Arial" w:cs="Arial"/>
        </w:rPr>
      </w:pPr>
      <w:r w:rsidRPr="00AC7DB6">
        <w:rPr>
          <w:rFonts w:ascii="Arial" w:hAnsi="Arial" w:cs="Arial"/>
        </w:rPr>
        <w:t>Is the proposed development consistent with the Provincial Policy Statement, 2020, including but not limited to policy 1.1.1, 1.5.1(a), 1.3.1(d), 1.3.2.2, 1.3.2.3, 1.6.6.1 and 4.6?</w:t>
      </w:r>
    </w:p>
    <w:p w14:paraId="3E9083A9" w14:textId="77777777" w:rsidR="0083351E" w:rsidRPr="00AC7DB6" w:rsidRDefault="0083351E" w:rsidP="0083351E">
      <w:pPr>
        <w:rPr>
          <w:rFonts w:ascii="Arial" w:hAnsi="Arial" w:cs="Arial"/>
        </w:rPr>
      </w:pPr>
    </w:p>
    <w:p w14:paraId="4917AE8B" w14:textId="305159EF" w:rsidR="0083351E" w:rsidRDefault="0083351E" w:rsidP="0083351E">
      <w:pPr>
        <w:jc w:val="both"/>
        <w:rPr>
          <w:rFonts w:ascii="Arial" w:hAnsi="Arial" w:cs="Arial"/>
          <w:u w:val="single"/>
        </w:rPr>
      </w:pPr>
      <w:r w:rsidRPr="00AC7DB6">
        <w:rPr>
          <w:rFonts w:ascii="Arial" w:hAnsi="Arial" w:cs="Arial"/>
          <w:u w:val="single"/>
        </w:rPr>
        <w:t>Growth Plan</w:t>
      </w:r>
    </w:p>
    <w:p w14:paraId="3BF3FEB1" w14:textId="77777777" w:rsidR="0083351E" w:rsidRPr="00AC7DB6" w:rsidRDefault="0083351E" w:rsidP="0083351E">
      <w:pPr>
        <w:jc w:val="both"/>
        <w:rPr>
          <w:rFonts w:ascii="Arial" w:hAnsi="Arial" w:cs="Arial"/>
        </w:rPr>
      </w:pPr>
    </w:p>
    <w:p w14:paraId="2C8FD8DF" w14:textId="77777777" w:rsidR="0083351E" w:rsidRPr="00AC7DB6" w:rsidRDefault="0083351E" w:rsidP="0083351E">
      <w:pPr>
        <w:pStyle w:val="ListParagraph"/>
        <w:numPr>
          <w:ilvl w:val="0"/>
          <w:numId w:val="13"/>
        </w:numPr>
        <w:rPr>
          <w:rFonts w:ascii="Arial" w:hAnsi="Arial" w:cs="Arial"/>
        </w:rPr>
      </w:pPr>
      <w:r w:rsidRPr="00AC7DB6">
        <w:rPr>
          <w:rFonts w:ascii="Arial" w:hAnsi="Arial" w:cs="Arial"/>
        </w:rPr>
        <w:t>Does the proposed development conform with and not conflict with the Growth Plan for the Greater Golden Horseshoe, 2020, including but not limited to policy 2.2.1.4 (c)&amp;(d), 2.2.5.7 (a) and 2.2.5.8?</w:t>
      </w:r>
    </w:p>
    <w:p w14:paraId="257FBCB4" w14:textId="77777777" w:rsidR="0083351E" w:rsidRPr="00AC7DB6" w:rsidRDefault="0083351E" w:rsidP="0083351E">
      <w:pPr>
        <w:ind w:left="360"/>
        <w:rPr>
          <w:rFonts w:ascii="Arial" w:hAnsi="Arial" w:cs="Arial"/>
        </w:rPr>
      </w:pPr>
    </w:p>
    <w:p w14:paraId="30770921" w14:textId="1A7E901D" w:rsidR="0083351E" w:rsidRDefault="0083351E" w:rsidP="0083351E">
      <w:pPr>
        <w:jc w:val="both"/>
        <w:rPr>
          <w:rFonts w:ascii="Arial" w:hAnsi="Arial" w:cs="Arial"/>
          <w:u w:val="single"/>
        </w:rPr>
      </w:pPr>
      <w:r w:rsidRPr="00AC7DB6">
        <w:rPr>
          <w:rFonts w:ascii="Arial" w:hAnsi="Arial" w:cs="Arial"/>
          <w:u w:val="single"/>
        </w:rPr>
        <w:t>City Of Toronto Official Plan</w:t>
      </w:r>
    </w:p>
    <w:p w14:paraId="046B6AC7" w14:textId="77777777" w:rsidR="0083351E" w:rsidRPr="00AC7DB6" w:rsidRDefault="0083351E" w:rsidP="0083351E">
      <w:pPr>
        <w:jc w:val="both"/>
        <w:rPr>
          <w:rFonts w:ascii="Arial" w:hAnsi="Arial" w:cs="Arial"/>
          <w:u w:val="single"/>
        </w:rPr>
      </w:pPr>
    </w:p>
    <w:p w14:paraId="61A5F241" w14:textId="27EBF749" w:rsidR="0083351E" w:rsidRDefault="0083351E" w:rsidP="0083351E">
      <w:pPr>
        <w:pStyle w:val="ListParagraph"/>
        <w:numPr>
          <w:ilvl w:val="0"/>
          <w:numId w:val="13"/>
        </w:numPr>
        <w:rPr>
          <w:rFonts w:ascii="Arial" w:hAnsi="Arial" w:cs="Arial"/>
        </w:rPr>
      </w:pPr>
      <w:bookmarkStart w:id="5" w:name="_Hlk158809515"/>
      <w:r w:rsidRPr="00AC7DB6">
        <w:rPr>
          <w:rFonts w:ascii="Arial" w:hAnsi="Arial" w:cs="Arial"/>
        </w:rPr>
        <w:t>Does the proposed development conform with the policies of the City of Toronto Official Plan, including but not limited to:</w:t>
      </w:r>
    </w:p>
    <w:p w14:paraId="227A7EB1" w14:textId="77777777" w:rsidR="0083351E" w:rsidRPr="00AC7DB6" w:rsidRDefault="0083351E" w:rsidP="0083351E">
      <w:pPr>
        <w:pStyle w:val="ListParagraph"/>
        <w:rPr>
          <w:rFonts w:ascii="Arial" w:hAnsi="Arial" w:cs="Arial"/>
        </w:rPr>
      </w:pPr>
    </w:p>
    <w:p w14:paraId="364B9B74"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 xml:space="preserve">2.2.4 Employment Areas: Supporting Business and Employment Growth policies of the Official Plan; </w:t>
      </w:r>
    </w:p>
    <w:p w14:paraId="0D9783F1"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lastRenderedPageBreak/>
        <w:t>3.1.1 The Public Realm policies of the Official Plan;</w:t>
      </w:r>
    </w:p>
    <w:p w14:paraId="08AD5D04"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 xml:space="preserve">3.1.3 The Built Form policies of the Official Plan; </w:t>
      </w:r>
    </w:p>
    <w:p w14:paraId="7DD61939"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3.1.4 The Built Form – Building Types) policies of the Official Plan;</w:t>
      </w:r>
    </w:p>
    <w:p w14:paraId="19929772" w14:textId="77777777" w:rsidR="0083351E" w:rsidRPr="00AC7DB6" w:rsidRDefault="0083351E" w:rsidP="0083351E">
      <w:pPr>
        <w:pStyle w:val="ListParagraph"/>
        <w:numPr>
          <w:ilvl w:val="1"/>
          <w:numId w:val="13"/>
        </w:numPr>
        <w:rPr>
          <w:rFonts w:ascii="Arial" w:hAnsi="Arial" w:cs="Arial"/>
        </w:rPr>
      </w:pPr>
      <w:bookmarkStart w:id="6" w:name="_Hlk158894070"/>
      <w:r w:rsidRPr="00AC7DB6">
        <w:rPr>
          <w:rFonts w:ascii="Arial" w:hAnsi="Arial" w:cs="Arial"/>
        </w:rPr>
        <w:t>3.2.1 The Housing policies of th</w:t>
      </w:r>
      <w:bookmarkEnd w:id="6"/>
      <w:r w:rsidRPr="00AC7DB6">
        <w:rPr>
          <w:rFonts w:ascii="Arial" w:hAnsi="Arial" w:cs="Arial"/>
        </w:rPr>
        <w:t>e Official Plan;</w:t>
      </w:r>
    </w:p>
    <w:p w14:paraId="27C8AE15"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 xml:space="preserve">3.2.3 Parks and Open Spaces policies of the Official Plan; </w:t>
      </w:r>
    </w:p>
    <w:p w14:paraId="58CB21E9"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4.5 Mixed Use Areas policies of the Official Plan;</w:t>
      </w:r>
    </w:p>
    <w:p w14:paraId="03E0D006"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4.6 Employment Areas policies of the Official Plan.</w:t>
      </w:r>
    </w:p>
    <w:bookmarkEnd w:id="5"/>
    <w:p w14:paraId="62992AA1" w14:textId="77777777" w:rsidR="0083351E" w:rsidRPr="00AC7DB6" w:rsidRDefault="0083351E" w:rsidP="0083351E">
      <w:pPr>
        <w:rPr>
          <w:rFonts w:ascii="Arial" w:hAnsi="Arial" w:cs="Arial"/>
        </w:rPr>
      </w:pPr>
    </w:p>
    <w:p w14:paraId="29054206" w14:textId="77777777" w:rsidR="0083351E" w:rsidRPr="00AC7DB6" w:rsidRDefault="0083351E" w:rsidP="0083351E">
      <w:pPr>
        <w:pStyle w:val="ListParagraph"/>
        <w:numPr>
          <w:ilvl w:val="0"/>
          <w:numId w:val="13"/>
        </w:numPr>
        <w:rPr>
          <w:rFonts w:ascii="Arial" w:hAnsi="Arial" w:cs="Arial"/>
        </w:rPr>
      </w:pPr>
      <w:r w:rsidRPr="00AC7DB6">
        <w:rPr>
          <w:rFonts w:ascii="Arial" w:hAnsi="Arial" w:cs="Arial"/>
        </w:rPr>
        <w:t>Does the proposed development fulfill the mixed-use development requirements specified in Site and Area Specific Policy 807, in regard to:</w:t>
      </w:r>
    </w:p>
    <w:p w14:paraId="49C2AA5C"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The land use permissions?</w:t>
      </w:r>
    </w:p>
    <w:p w14:paraId="4C0E5E84"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The land use compatibility requirements?</w:t>
      </w:r>
    </w:p>
    <w:p w14:paraId="5E4CD8A6"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The affordable housing requirements?</w:t>
      </w:r>
    </w:p>
    <w:p w14:paraId="45204B52" w14:textId="77777777" w:rsidR="0083351E" w:rsidRPr="00AC7DB6" w:rsidRDefault="0083351E" w:rsidP="0083351E">
      <w:pPr>
        <w:pStyle w:val="ListParagraph"/>
        <w:numPr>
          <w:ilvl w:val="1"/>
          <w:numId w:val="13"/>
        </w:numPr>
        <w:rPr>
          <w:rFonts w:ascii="Arial" w:hAnsi="Arial" w:cs="Arial"/>
        </w:rPr>
      </w:pPr>
      <w:r w:rsidRPr="00AC7DB6">
        <w:rPr>
          <w:rFonts w:ascii="Arial" w:hAnsi="Arial" w:cs="Arial"/>
        </w:rPr>
        <w:t>The public park requirement?</w:t>
      </w:r>
    </w:p>
    <w:p w14:paraId="02F65BAA" w14:textId="77777777" w:rsidR="0083351E" w:rsidRPr="00AC7DB6" w:rsidRDefault="0083351E" w:rsidP="0083351E">
      <w:pPr>
        <w:rPr>
          <w:rFonts w:ascii="Arial" w:hAnsi="Arial" w:cs="Arial"/>
          <w:color w:val="000000"/>
        </w:rPr>
      </w:pPr>
    </w:p>
    <w:p w14:paraId="40273830" w14:textId="77777777" w:rsidR="0083351E" w:rsidRPr="00AC7DB6" w:rsidRDefault="0083351E" w:rsidP="0083351E">
      <w:pPr>
        <w:pStyle w:val="ListParagraph"/>
        <w:numPr>
          <w:ilvl w:val="0"/>
          <w:numId w:val="13"/>
        </w:numPr>
        <w:rPr>
          <w:rFonts w:ascii="Arial" w:hAnsi="Arial" w:cs="Arial"/>
        </w:rPr>
      </w:pPr>
      <w:r w:rsidRPr="00AC7DB6">
        <w:rPr>
          <w:rFonts w:ascii="Arial" w:hAnsi="Arial" w:cs="Arial"/>
        </w:rPr>
        <w:lastRenderedPageBreak/>
        <w:t>Has the Applicant provided a Compatibility/Mitigation Study related to the proposed use(s) on portion of the subject site designated Core Employment Areas, as required by Site and Area Specific Policy 807?</w:t>
      </w:r>
    </w:p>
    <w:p w14:paraId="3BA36275" w14:textId="77777777" w:rsidR="0083351E" w:rsidRPr="00AC7DB6" w:rsidRDefault="0083351E" w:rsidP="0083351E">
      <w:pPr>
        <w:rPr>
          <w:rFonts w:ascii="Arial" w:hAnsi="Arial" w:cs="Arial"/>
        </w:rPr>
      </w:pPr>
    </w:p>
    <w:p w14:paraId="0604E4E5" w14:textId="77777777" w:rsidR="0083351E" w:rsidRPr="00AC7DB6" w:rsidRDefault="0083351E" w:rsidP="0083351E">
      <w:pPr>
        <w:jc w:val="both"/>
        <w:rPr>
          <w:rFonts w:ascii="Arial" w:hAnsi="Arial" w:cs="Arial"/>
          <w:u w:val="single"/>
        </w:rPr>
      </w:pPr>
      <w:r w:rsidRPr="00AC7DB6">
        <w:rPr>
          <w:rFonts w:ascii="Arial" w:hAnsi="Arial" w:cs="Arial"/>
          <w:u w:val="single"/>
        </w:rPr>
        <w:t>Guidelines</w:t>
      </w:r>
    </w:p>
    <w:p w14:paraId="04CDD620" w14:textId="77777777" w:rsidR="0083351E" w:rsidRPr="00AC7DB6" w:rsidRDefault="0083351E" w:rsidP="0083351E">
      <w:pPr>
        <w:pStyle w:val="ListParagraph"/>
        <w:rPr>
          <w:rFonts w:ascii="Arial" w:hAnsi="Arial" w:cs="Arial"/>
        </w:rPr>
      </w:pPr>
    </w:p>
    <w:p w14:paraId="679C2E30" w14:textId="77777777" w:rsidR="0083351E" w:rsidRPr="00AC7DB6" w:rsidRDefault="0083351E" w:rsidP="0083351E">
      <w:pPr>
        <w:pStyle w:val="ListParagraph"/>
        <w:numPr>
          <w:ilvl w:val="0"/>
          <w:numId w:val="13"/>
        </w:numPr>
        <w:rPr>
          <w:rFonts w:ascii="Arial" w:hAnsi="Arial" w:cs="Arial"/>
          <w:color w:val="000000"/>
        </w:rPr>
      </w:pPr>
      <w:r w:rsidRPr="00AC7DB6">
        <w:rPr>
          <w:rFonts w:ascii="Arial" w:hAnsi="Arial" w:cs="Arial"/>
          <w:color w:val="000000"/>
        </w:rPr>
        <w:t>Does the proposed development meet the general intent and purpose of the Council approved City of Toronto Design Guidelines, including but not limited to Tall Building Design Guidelines and Mid-Rise Buildings Performance Standards and Addendum?</w:t>
      </w:r>
    </w:p>
    <w:p w14:paraId="6DA4D9DA" w14:textId="77777777" w:rsidR="0083351E" w:rsidRPr="00AC7DB6" w:rsidRDefault="0083351E" w:rsidP="0083351E">
      <w:pPr>
        <w:pStyle w:val="Default"/>
        <w:ind w:left="720"/>
      </w:pPr>
    </w:p>
    <w:p w14:paraId="6846680B" w14:textId="77777777" w:rsidR="0083351E" w:rsidRPr="00AC7DB6" w:rsidRDefault="0083351E" w:rsidP="0083351E">
      <w:pPr>
        <w:pStyle w:val="Default"/>
        <w:numPr>
          <w:ilvl w:val="0"/>
          <w:numId w:val="13"/>
        </w:numPr>
      </w:pPr>
      <w:r w:rsidRPr="00AC7DB6">
        <w:t xml:space="preserve">Does the proposed development meet the intent and purpose of the Growing Up: Planning for Children in New Vertical Communities (2020)? </w:t>
      </w:r>
    </w:p>
    <w:p w14:paraId="701264E8" w14:textId="77777777" w:rsidR="0083351E" w:rsidRPr="00AC7DB6" w:rsidRDefault="0083351E" w:rsidP="0083351E">
      <w:pPr>
        <w:jc w:val="both"/>
        <w:rPr>
          <w:rFonts w:ascii="Arial" w:hAnsi="Arial" w:cs="Arial"/>
          <w:u w:val="single"/>
        </w:rPr>
      </w:pPr>
    </w:p>
    <w:p w14:paraId="0CB5FC3D" w14:textId="500DD45A" w:rsidR="0083351E" w:rsidRDefault="0083351E" w:rsidP="0083351E">
      <w:pPr>
        <w:jc w:val="both"/>
        <w:rPr>
          <w:rFonts w:ascii="Arial" w:hAnsi="Arial" w:cs="Arial"/>
          <w:u w:val="single"/>
        </w:rPr>
      </w:pPr>
      <w:r w:rsidRPr="00AC7DB6">
        <w:rPr>
          <w:rFonts w:ascii="Arial" w:hAnsi="Arial" w:cs="Arial"/>
          <w:u w:val="single"/>
        </w:rPr>
        <w:t>Site-Specific Issues</w:t>
      </w:r>
    </w:p>
    <w:p w14:paraId="3D9852F8" w14:textId="77777777" w:rsidR="0083351E" w:rsidRPr="00AC7DB6" w:rsidRDefault="0083351E" w:rsidP="0083351E">
      <w:pPr>
        <w:jc w:val="both"/>
        <w:rPr>
          <w:rFonts w:ascii="Arial" w:hAnsi="Arial" w:cs="Arial"/>
          <w:u w:val="single"/>
        </w:rPr>
      </w:pPr>
    </w:p>
    <w:p w14:paraId="3C9A6FA0" w14:textId="17B3B882" w:rsidR="0083351E" w:rsidRPr="0083351E" w:rsidRDefault="0083351E" w:rsidP="0083351E">
      <w:pPr>
        <w:pStyle w:val="ListParagraph"/>
        <w:numPr>
          <w:ilvl w:val="0"/>
          <w:numId w:val="13"/>
        </w:numPr>
        <w:jc w:val="both"/>
        <w:rPr>
          <w:rFonts w:ascii="Arial" w:hAnsi="Arial" w:cs="Arial"/>
          <w:u w:val="single"/>
        </w:rPr>
      </w:pPr>
      <w:r w:rsidRPr="00AC7DB6">
        <w:rPr>
          <w:rFonts w:ascii="Arial" w:hAnsi="Arial" w:cs="Arial"/>
        </w:rPr>
        <w:t xml:space="preserve">Is the site organization and built form of the proposed development appropriate, including: </w:t>
      </w:r>
    </w:p>
    <w:p w14:paraId="64BA007B" w14:textId="77777777" w:rsidR="0083351E" w:rsidRPr="00AC7DB6" w:rsidRDefault="0083351E" w:rsidP="0083351E">
      <w:pPr>
        <w:pStyle w:val="ListParagraph"/>
        <w:jc w:val="both"/>
        <w:rPr>
          <w:rFonts w:ascii="Arial" w:hAnsi="Arial" w:cs="Arial"/>
          <w:u w:val="single"/>
        </w:rPr>
      </w:pPr>
    </w:p>
    <w:p w14:paraId="0BB92133" w14:textId="77777777" w:rsidR="0083351E" w:rsidRPr="00AC7DB6" w:rsidRDefault="0083351E" w:rsidP="0083351E">
      <w:pPr>
        <w:pStyle w:val="ListParagraph"/>
        <w:numPr>
          <w:ilvl w:val="1"/>
          <w:numId w:val="13"/>
        </w:numPr>
        <w:jc w:val="both"/>
        <w:rPr>
          <w:rFonts w:ascii="Arial" w:hAnsi="Arial" w:cs="Arial"/>
          <w:u w:val="single"/>
        </w:rPr>
      </w:pPr>
      <w:r w:rsidRPr="00AC7DB6">
        <w:rPr>
          <w:rFonts w:ascii="Arial" w:hAnsi="Arial" w:cs="Arial"/>
          <w:color w:val="000000"/>
        </w:rPr>
        <w:lastRenderedPageBreak/>
        <w:t>Is the proposed mid-rise building massing located along Royal York Road appropriate?</w:t>
      </w:r>
    </w:p>
    <w:p w14:paraId="583B4D5C" w14:textId="77777777" w:rsidR="0083351E" w:rsidRPr="00AC7DB6" w:rsidRDefault="0083351E" w:rsidP="0083351E">
      <w:pPr>
        <w:pStyle w:val="ListParagraph"/>
        <w:numPr>
          <w:ilvl w:val="1"/>
          <w:numId w:val="13"/>
        </w:numPr>
        <w:jc w:val="both"/>
        <w:rPr>
          <w:rFonts w:ascii="Arial" w:hAnsi="Arial" w:cs="Arial"/>
          <w:u w:val="single"/>
        </w:rPr>
      </w:pPr>
      <w:r w:rsidRPr="00AC7DB6">
        <w:rPr>
          <w:rFonts w:ascii="Arial" w:hAnsi="Arial" w:cs="Arial"/>
          <w:color w:val="000000"/>
        </w:rPr>
        <w:t xml:space="preserve">Is the height, </w:t>
      </w:r>
      <w:proofErr w:type="gramStart"/>
      <w:r w:rsidRPr="00AC7DB6">
        <w:rPr>
          <w:rFonts w:ascii="Arial" w:hAnsi="Arial" w:cs="Arial"/>
          <w:color w:val="000000"/>
        </w:rPr>
        <w:t>massing</w:t>
      </w:r>
      <w:proofErr w:type="gramEnd"/>
      <w:r w:rsidRPr="00AC7DB6">
        <w:rPr>
          <w:rFonts w:ascii="Arial" w:hAnsi="Arial" w:cs="Arial"/>
          <w:color w:val="000000"/>
        </w:rPr>
        <w:t xml:space="preserve"> and setbacks of the proposed tower base buildings appropriate?</w:t>
      </w:r>
    </w:p>
    <w:p w14:paraId="7613A639" w14:textId="77777777" w:rsidR="0083351E" w:rsidRPr="00AC7DB6" w:rsidRDefault="0083351E" w:rsidP="0083351E">
      <w:pPr>
        <w:pStyle w:val="ListParagraph"/>
        <w:numPr>
          <w:ilvl w:val="1"/>
          <w:numId w:val="13"/>
        </w:numPr>
        <w:jc w:val="both"/>
        <w:rPr>
          <w:rFonts w:ascii="Arial" w:hAnsi="Arial" w:cs="Arial"/>
          <w:u w:val="single"/>
        </w:rPr>
      </w:pPr>
      <w:r w:rsidRPr="00AC7DB6">
        <w:rPr>
          <w:rFonts w:ascii="Arial" w:hAnsi="Arial" w:cs="Arial"/>
          <w:color w:val="000000"/>
        </w:rPr>
        <w:t>Are the proposed tower stepbacks appropriate?</w:t>
      </w:r>
    </w:p>
    <w:p w14:paraId="6ADCD6CF" w14:textId="77777777" w:rsidR="0083351E" w:rsidRPr="00AC7DB6" w:rsidRDefault="0083351E" w:rsidP="0083351E">
      <w:pPr>
        <w:pStyle w:val="ListParagraph"/>
        <w:numPr>
          <w:ilvl w:val="1"/>
          <w:numId w:val="13"/>
        </w:numPr>
        <w:jc w:val="both"/>
        <w:rPr>
          <w:rFonts w:ascii="Arial" w:hAnsi="Arial" w:cs="Arial"/>
          <w:u w:val="single"/>
        </w:rPr>
      </w:pPr>
      <w:r w:rsidRPr="00AC7DB6">
        <w:rPr>
          <w:rFonts w:ascii="Arial" w:hAnsi="Arial" w:cs="Arial"/>
          <w:color w:val="000000"/>
        </w:rPr>
        <w:t xml:space="preserve">Is the proposed development appropriately organized and massed to limit shadow impacts and provide access to direct sunlight and daylight on the surrounding streets, proposed open spaces, proposed public park and outdoor amenity?  </w:t>
      </w:r>
    </w:p>
    <w:p w14:paraId="3529B803" w14:textId="77777777" w:rsidR="0083351E" w:rsidRPr="00AC7DB6" w:rsidRDefault="0083351E" w:rsidP="0083351E">
      <w:pPr>
        <w:pStyle w:val="ListParagraph"/>
        <w:numPr>
          <w:ilvl w:val="1"/>
          <w:numId w:val="13"/>
        </w:numPr>
        <w:jc w:val="both"/>
        <w:rPr>
          <w:rFonts w:ascii="Arial" w:hAnsi="Arial" w:cs="Arial"/>
          <w:u w:val="single"/>
        </w:rPr>
      </w:pPr>
      <w:r w:rsidRPr="00AC7DB6">
        <w:rPr>
          <w:rFonts w:ascii="Arial" w:hAnsi="Arial" w:cs="Arial"/>
          <w:color w:val="000000"/>
        </w:rPr>
        <w:t>Is the proposed public parkland dedication appropriate in terms of the location, quantity, quality, and interface with surrounding buildings and public realm?</w:t>
      </w:r>
    </w:p>
    <w:p w14:paraId="1C852BD3" w14:textId="77777777" w:rsidR="0083351E" w:rsidRPr="00AC7DB6" w:rsidRDefault="0083351E" w:rsidP="0083351E">
      <w:pPr>
        <w:pStyle w:val="Default"/>
        <w:numPr>
          <w:ilvl w:val="1"/>
          <w:numId w:val="13"/>
        </w:numPr>
      </w:pPr>
      <w:r w:rsidRPr="00AC7DB6">
        <w:t xml:space="preserve">Does the proposed development limit the impact of pedestrian level wind on the public realm and amenity areas? </w:t>
      </w:r>
    </w:p>
    <w:p w14:paraId="3BEF043C" w14:textId="77777777" w:rsidR="0083351E" w:rsidRPr="00AC7DB6" w:rsidRDefault="0083351E" w:rsidP="0083351E">
      <w:pPr>
        <w:pStyle w:val="Default"/>
        <w:ind w:left="1440"/>
      </w:pPr>
    </w:p>
    <w:p w14:paraId="5B824FAE" w14:textId="77777777" w:rsidR="0083351E" w:rsidRPr="00AC7DB6" w:rsidRDefault="0083351E" w:rsidP="0083351E">
      <w:pPr>
        <w:pStyle w:val="ListParagraph"/>
        <w:numPr>
          <w:ilvl w:val="0"/>
          <w:numId w:val="13"/>
        </w:numPr>
        <w:rPr>
          <w:rFonts w:ascii="Arial" w:hAnsi="Arial" w:cs="Arial"/>
          <w:color w:val="000000"/>
        </w:rPr>
      </w:pPr>
      <w:r w:rsidRPr="00AC7DB6">
        <w:rPr>
          <w:rFonts w:ascii="Arial" w:hAnsi="Arial" w:cs="Arial"/>
          <w:color w:val="000000"/>
        </w:rPr>
        <w:t>Does the proposed development plan for active transportation?</w:t>
      </w:r>
    </w:p>
    <w:p w14:paraId="3137B6E8" w14:textId="77777777" w:rsidR="0083351E" w:rsidRPr="00AC7DB6" w:rsidRDefault="0083351E" w:rsidP="0083351E">
      <w:pPr>
        <w:pStyle w:val="ListParagraph"/>
        <w:rPr>
          <w:rFonts w:ascii="Arial" w:hAnsi="Arial" w:cs="Arial"/>
          <w:color w:val="000000"/>
        </w:rPr>
      </w:pPr>
    </w:p>
    <w:p w14:paraId="41709CF3" w14:textId="77777777" w:rsidR="0083351E" w:rsidRPr="00AC7DB6" w:rsidRDefault="0083351E" w:rsidP="0083351E">
      <w:pPr>
        <w:pStyle w:val="ListParagraph"/>
        <w:numPr>
          <w:ilvl w:val="0"/>
          <w:numId w:val="13"/>
        </w:numPr>
        <w:rPr>
          <w:rFonts w:ascii="Arial" w:hAnsi="Arial" w:cs="Arial"/>
          <w:color w:val="000000" w:themeColor="text1"/>
        </w:rPr>
      </w:pPr>
      <w:r w:rsidRPr="00AC7DB6">
        <w:rPr>
          <w:rFonts w:ascii="Arial" w:hAnsi="Arial" w:cs="Arial"/>
          <w:color w:val="000000" w:themeColor="text1"/>
        </w:rPr>
        <w:lastRenderedPageBreak/>
        <w:t>Does the proposal consolidate and reduce vehicular loading and driveways to provide dedicated areas for pedestrians and open spaces?</w:t>
      </w:r>
    </w:p>
    <w:p w14:paraId="1841F8BC" w14:textId="77777777" w:rsidR="0083351E" w:rsidRPr="00AC7DB6" w:rsidRDefault="0083351E" w:rsidP="0083351E">
      <w:pPr>
        <w:pStyle w:val="ListParagraph"/>
        <w:rPr>
          <w:rFonts w:ascii="Arial" w:hAnsi="Arial" w:cs="Arial"/>
          <w:color w:val="000000"/>
        </w:rPr>
      </w:pPr>
    </w:p>
    <w:p w14:paraId="35F011B3" w14:textId="77777777" w:rsidR="0083351E" w:rsidRPr="00AC7DB6" w:rsidRDefault="0083351E" w:rsidP="0083351E">
      <w:pPr>
        <w:pStyle w:val="ListParagraph"/>
        <w:numPr>
          <w:ilvl w:val="0"/>
          <w:numId w:val="13"/>
        </w:numPr>
        <w:rPr>
          <w:rFonts w:ascii="Arial" w:hAnsi="Arial" w:cs="Arial"/>
          <w:color w:val="000000"/>
        </w:rPr>
      </w:pPr>
      <w:r w:rsidRPr="00AC7DB6">
        <w:rPr>
          <w:rFonts w:ascii="Arial" w:hAnsi="Arial" w:cs="Arial"/>
          <w:color w:val="000000"/>
        </w:rPr>
        <w:t>Has the applicant successfully acquired the publicly owned right-of-way (public laneway) that forms part of the development site?</w:t>
      </w:r>
    </w:p>
    <w:p w14:paraId="55E3CBDB" w14:textId="77777777" w:rsidR="0083351E" w:rsidRPr="00AC7DB6" w:rsidRDefault="0083351E" w:rsidP="0083351E">
      <w:pPr>
        <w:pStyle w:val="ListParagraph"/>
        <w:rPr>
          <w:rFonts w:ascii="Arial" w:hAnsi="Arial" w:cs="Arial"/>
          <w:color w:val="000000"/>
        </w:rPr>
      </w:pPr>
    </w:p>
    <w:p w14:paraId="1F106382" w14:textId="77777777" w:rsidR="0083351E" w:rsidRPr="00AC7DB6" w:rsidRDefault="0083351E" w:rsidP="0083351E">
      <w:pPr>
        <w:pStyle w:val="ListParagraph"/>
        <w:numPr>
          <w:ilvl w:val="0"/>
          <w:numId w:val="13"/>
        </w:numPr>
        <w:rPr>
          <w:rFonts w:ascii="Arial" w:hAnsi="Arial" w:cs="Arial"/>
          <w:color w:val="000000"/>
        </w:rPr>
      </w:pPr>
      <w:r w:rsidRPr="00AC7DB6">
        <w:rPr>
          <w:rFonts w:ascii="Arial" w:hAnsi="Arial" w:cs="Arial"/>
          <w:color w:val="000000"/>
        </w:rPr>
        <w:t>Does the proposed development appropriately screen the loading and service areas from the public realm?</w:t>
      </w:r>
    </w:p>
    <w:p w14:paraId="52C628A0" w14:textId="77777777" w:rsidR="0083351E" w:rsidRPr="00AC7DB6" w:rsidRDefault="0083351E" w:rsidP="0083351E">
      <w:pPr>
        <w:rPr>
          <w:rFonts w:ascii="Arial" w:hAnsi="Arial" w:cs="Arial"/>
          <w:color w:val="000000" w:themeColor="text1"/>
        </w:rPr>
      </w:pPr>
    </w:p>
    <w:p w14:paraId="17115706" w14:textId="77777777" w:rsidR="0083351E" w:rsidRPr="00AC7DB6" w:rsidRDefault="0083351E" w:rsidP="0083351E">
      <w:pPr>
        <w:pStyle w:val="Default"/>
        <w:numPr>
          <w:ilvl w:val="0"/>
          <w:numId w:val="13"/>
        </w:numPr>
        <w:adjustRightInd/>
        <w:rPr>
          <w:rFonts w:eastAsia="Times New Roman"/>
        </w:rPr>
      </w:pPr>
      <w:r w:rsidRPr="00AC7DB6">
        <w:rPr>
          <w:rFonts w:eastAsia="Times New Roman"/>
        </w:rPr>
        <w:t xml:space="preserve">Does the proposed development and zoning by-law amendment provide sufficient TDM measures, parking and loading for the development? </w:t>
      </w:r>
    </w:p>
    <w:p w14:paraId="0F442CF1" w14:textId="77777777" w:rsidR="0083351E" w:rsidRPr="00AC7DB6" w:rsidRDefault="0083351E" w:rsidP="0083351E">
      <w:pPr>
        <w:pStyle w:val="Default"/>
        <w:ind w:left="720"/>
        <w:rPr>
          <w:rFonts w:eastAsiaTheme="minorHAnsi"/>
        </w:rPr>
      </w:pPr>
    </w:p>
    <w:p w14:paraId="457CD006" w14:textId="77777777" w:rsidR="0083351E" w:rsidRPr="00AC7DB6" w:rsidRDefault="0083351E" w:rsidP="0083351E">
      <w:pPr>
        <w:pStyle w:val="Default"/>
        <w:numPr>
          <w:ilvl w:val="0"/>
          <w:numId w:val="13"/>
        </w:numPr>
      </w:pPr>
      <w:r w:rsidRPr="00AC7DB6">
        <w:t>Does the proposed development resolve issues related to transportation, including loading spaces requirements?</w:t>
      </w:r>
    </w:p>
    <w:p w14:paraId="6045520A" w14:textId="77777777" w:rsidR="0083351E" w:rsidRPr="00AC7DB6" w:rsidRDefault="0083351E" w:rsidP="0083351E">
      <w:pPr>
        <w:pStyle w:val="Default"/>
        <w:ind w:left="720"/>
      </w:pPr>
    </w:p>
    <w:p w14:paraId="5E693DFF" w14:textId="77777777" w:rsidR="0083351E" w:rsidRPr="00AC7DB6" w:rsidRDefault="0083351E" w:rsidP="0083351E">
      <w:pPr>
        <w:pStyle w:val="Default"/>
        <w:numPr>
          <w:ilvl w:val="0"/>
          <w:numId w:val="13"/>
        </w:numPr>
      </w:pPr>
      <w:r w:rsidRPr="00AC7DB6">
        <w:t xml:space="preserve">Are the water, wastewater, stormwater, and other essential infrastructure of the site and surrounding </w:t>
      </w:r>
      <w:r w:rsidRPr="00AC7DB6">
        <w:lastRenderedPageBreak/>
        <w:t xml:space="preserve">areas and other relevant areas, able to accommodate the proposed development? </w:t>
      </w:r>
    </w:p>
    <w:p w14:paraId="067C3CDA" w14:textId="77777777" w:rsidR="0083351E" w:rsidRPr="00AC7DB6" w:rsidRDefault="0083351E" w:rsidP="0083351E">
      <w:pPr>
        <w:pStyle w:val="ListParagraph"/>
        <w:rPr>
          <w:rFonts w:ascii="Arial" w:hAnsi="Arial" w:cs="Arial"/>
          <w:color w:val="000000"/>
        </w:rPr>
      </w:pPr>
    </w:p>
    <w:p w14:paraId="6737292C" w14:textId="4EB163CC" w:rsidR="0083351E" w:rsidRDefault="0083351E" w:rsidP="0083351E">
      <w:pPr>
        <w:ind w:left="360"/>
        <w:rPr>
          <w:rFonts w:ascii="Arial" w:hAnsi="Arial" w:cs="Arial"/>
          <w:u w:val="single"/>
        </w:rPr>
      </w:pPr>
      <w:r w:rsidRPr="00AC7DB6">
        <w:rPr>
          <w:rFonts w:ascii="Arial" w:hAnsi="Arial" w:cs="Arial"/>
          <w:u w:val="single"/>
        </w:rPr>
        <w:t>Public Interest and Good Planning</w:t>
      </w:r>
    </w:p>
    <w:p w14:paraId="064E5F48" w14:textId="77777777" w:rsidR="0083351E" w:rsidRPr="00AC7DB6" w:rsidRDefault="0083351E" w:rsidP="0083351E">
      <w:pPr>
        <w:ind w:left="360"/>
        <w:rPr>
          <w:rFonts w:ascii="Arial" w:hAnsi="Arial" w:cs="Arial"/>
          <w:u w:val="single"/>
        </w:rPr>
      </w:pPr>
    </w:p>
    <w:p w14:paraId="4A335CBE" w14:textId="77777777" w:rsidR="0083351E" w:rsidRPr="00AC7DB6" w:rsidRDefault="0083351E" w:rsidP="0083351E">
      <w:pPr>
        <w:pStyle w:val="ListParagraph"/>
        <w:numPr>
          <w:ilvl w:val="0"/>
          <w:numId w:val="13"/>
        </w:numPr>
        <w:rPr>
          <w:rFonts w:ascii="Arial" w:hAnsi="Arial" w:cs="Arial"/>
          <w:color w:val="000000"/>
        </w:rPr>
      </w:pPr>
      <w:r w:rsidRPr="00AC7DB6">
        <w:rPr>
          <w:rFonts w:ascii="Arial" w:hAnsi="Arial" w:cs="Arial"/>
        </w:rPr>
        <w:t>In light of the foregoing issues, do the proposed development and proposed Zoning By-law Amendment represent good planning and good urban design, and is approval of the proposal in the public interest?</w:t>
      </w:r>
    </w:p>
    <w:p w14:paraId="2F79C41C" w14:textId="77777777" w:rsidR="0083351E" w:rsidRPr="00AC7DB6" w:rsidRDefault="0083351E" w:rsidP="0083351E">
      <w:pPr>
        <w:ind w:left="360"/>
        <w:rPr>
          <w:rFonts w:ascii="Arial" w:hAnsi="Arial" w:cs="Arial"/>
          <w:color w:val="000000"/>
          <w:u w:val="single"/>
        </w:rPr>
      </w:pPr>
    </w:p>
    <w:p w14:paraId="6D652CE7" w14:textId="77777777" w:rsidR="0083351E" w:rsidRPr="00AC7DB6" w:rsidRDefault="0083351E" w:rsidP="0083351E">
      <w:pPr>
        <w:ind w:left="360"/>
        <w:rPr>
          <w:rFonts w:ascii="Arial" w:hAnsi="Arial" w:cs="Arial"/>
          <w:color w:val="000000"/>
        </w:rPr>
      </w:pPr>
      <w:r w:rsidRPr="00AC7DB6">
        <w:rPr>
          <w:rFonts w:ascii="Arial" w:hAnsi="Arial" w:cs="Arial"/>
          <w:color w:val="000000"/>
          <w:u w:val="single"/>
        </w:rPr>
        <w:t xml:space="preserve">Order if </w:t>
      </w:r>
      <w:proofErr w:type="gramStart"/>
      <w:r w:rsidRPr="00AC7DB6">
        <w:rPr>
          <w:rFonts w:ascii="Arial" w:hAnsi="Arial" w:cs="Arial"/>
          <w:color w:val="000000"/>
          <w:u w:val="single"/>
        </w:rPr>
        <w:t>Approved</w:t>
      </w:r>
      <w:proofErr w:type="gramEnd"/>
    </w:p>
    <w:p w14:paraId="5D7885BD" w14:textId="77777777" w:rsidR="0083351E" w:rsidRPr="00AC7DB6" w:rsidRDefault="0083351E" w:rsidP="0083351E">
      <w:pPr>
        <w:pStyle w:val="ListParagraph"/>
        <w:rPr>
          <w:rFonts w:ascii="Arial" w:hAnsi="Arial" w:cs="Arial"/>
          <w:color w:val="000000"/>
        </w:rPr>
      </w:pPr>
    </w:p>
    <w:p w14:paraId="73AF8C2F" w14:textId="77777777" w:rsidR="0083351E" w:rsidRPr="00AC7DB6" w:rsidRDefault="0083351E" w:rsidP="0083351E">
      <w:pPr>
        <w:pStyle w:val="ListParagraph"/>
        <w:numPr>
          <w:ilvl w:val="0"/>
          <w:numId w:val="13"/>
        </w:numPr>
        <w:rPr>
          <w:rFonts w:ascii="Arial" w:hAnsi="Arial" w:cs="Arial"/>
          <w:color w:val="000000"/>
        </w:rPr>
      </w:pPr>
      <w:r w:rsidRPr="00AC7DB6">
        <w:rPr>
          <w:rFonts w:ascii="Arial" w:hAnsi="Arial" w:cs="Arial"/>
          <w:color w:val="000000"/>
        </w:rPr>
        <w:t>In the event that the Ontario Land Tribunal allows the appeals in whole or in part, should the Tribunal withhold its Order(s) on the Zoning By-law Amendment until City Solicitor has confirmed that the following conditions have been satisfied:</w:t>
      </w:r>
    </w:p>
    <w:p w14:paraId="30A1CFD3" w14:textId="77777777" w:rsidR="0083351E" w:rsidRPr="00AC7DB6" w:rsidRDefault="0083351E" w:rsidP="0083351E">
      <w:pPr>
        <w:pStyle w:val="ListParagraph"/>
        <w:rPr>
          <w:rFonts w:ascii="Arial" w:hAnsi="Arial" w:cs="Arial"/>
          <w:color w:val="000000"/>
        </w:rPr>
      </w:pPr>
    </w:p>
    <w:p w14:paraId="4AAEA918" w14:textId="77777777" w:rsidR="0083351E" w:rsidRPr="00AC7DB6" w:rsidRDefault="0083351E" w:rsidP="0083351E">
      <w:pPr>
        <w:pStyle w:val="Default"/>
        <w:ind w:left="1440"/>
      </w:pPr>
      <w:r w:rsidRPr="00AC7DB6">
        <w:t xml:space="preserve">a. The final form and content of the draft Zoning By-law Amendment is to the satisfaction of the City Solicitor and the Chief Planner and Executive Director, City Planning. </w:t>
      </w:r>
    </w:p>
    <w:p w14:paraId="2999D696" w14:textId="77777777" w:rsidR="0083351E" w:rsidRPr="00AC7DB6" w:rsidRDefault="0083351E" w:rsidP="0083351E">
      <w:pPr>
        <w:pStyle w:val="Default"/>
        <w:ind w:left="1440"/>
      </w:pPr>
    </w:p>
    <w:p w14:paraId="0DC9FC4E" w14:textId="77777777" w:rsidR="0083351E" w:rsidRPr="00AC7DB6" w:rsidRDefault="0083351E" w:rsidP="0083351E">
      <w:pPr>
        <w:pStyle w:val="Default"/>
        <w:ind w:left="1440"/>
      </w:pPr>
      <w:r w:rsidRPr="00AC7DB6">
        <w:t xml:space="preserve">b. The owner has submitted a Functional Servicing Report to determine the stormwater runoff, sanitary flow and water supply demand resulting from this development and whether there is adequate capacity in the existing municipal infrastructure to accommodate the proposed development to the satisfaction of the Chief Engineer and Executive Director, Engineering and Construction Services. </w:t>
      </w:r>
    </w:p>
    <w:p w14:paraId="18E0FE93" w14:textId="77777777" w:rsidR="0083351E" w:rsidRPr="00AC7DB6" w:rsidRDefault="0083351E" w:rsidP="0083351E">
      <w:pPr>
        <w:pStyle w:val="Default"/>
      </w:pPr>
    </w:p>
    <w:p w14:paraId="0A9316C3" w14:textId="77777777" w:rsidR="0083351E" w:rsidRPr="00AC7DB6" w:rsidRDefault="0083351E" w:rsidP="0083351E">
      <w:pPr>
        <w:pStyle w:val="Default"/>
        <w:ind w:left="1440"/>
      </w:pPr>
      <w:r w:rsidRPr="00AC7DB6">
        <w:t xml:space="preserve">c. The owner has submitted revised architectural plans that includes the disclaimer as outlined in Section A 2.1 of the memorandum from Engineering and Construction Services, dated February 23, 2023, to the satisfaction of the Chief Engineer and Executive Director, Engineering and Construction Services. </w:t>
      </w:r>
    </w:p>
    <w:p w14:paraId="47DCE3A6" w14:textId="77777777" w:rsidR="0083351E" w:rsidRPr="00AC7DB6" w:rsidRDefault="0083351E" w:rsidP="0083351E">
      <w:pPr>
        <w:pStyle w:val="Default"/>
        <w:ind w:left="1080"/>
      </w:pPr>
    </w:p>
    <w:p w14:paraId="0016229D" w14:textId="77777777" w:rsidR="0083351E" w:rsidRPr="00AC7DB6" w:rsidRDefault="0083351E" w:rsidP="0083351E">
      <w:pPr>
        <w:pStyle w:val="Default"/>
        <w:ind w:left="1440"/>
      </w:pPr>
      <w:r w:rsidRPr="00AC7DB6">
        <w:t xml:space="preserve">d. The owner has submitted a revised Hydrogeological Assessment Report and Hydrological Review Summary Form to the satisfaction </w:t>
      </w:r>
      <w:r w:rsidRPr="00AC7DB6">
        <w:lastRenderedPageBreak/>
        <w:t>of the Chief Engineer and Executive Director, Engineering and Construction Services.</w:t>
      </w:r>
    </w:p>
    <w:p w14:paraId="6C3A8333" w14:textId="77777777" w:rsidR="0083351E" w:rsidRPr="00AC7DB6" w:rsidRDefault="0083351E" w:rsidP="0083351E">
      <w:pPr>
        <w:pStyle w:val="Default"/>
      </w:pPr>
    </w:p>
    <w:p w14:paraId="1BC83524" w14:textId="77777777" w:rsidR="0083351E" w:rsidRPr="00AC7DB6" w:rsidRDefault="0083351E" w:rsidP="0083351E">
      <w:pPr>
        <w:pStyle w:val="Default"/>
        <w:ind w:left="1440"/>
      </w:pPr>
      <w:r w:rsidRPr="00AC7DB6">
        <w:t xml:space="preserve">e. The owner has made satisfactory arrangements with Engineering and Construction Services and has entered into the appropriate agreements with the City for the design and construction of any improvements to the municipal infrastructure, should it be determined that upgrades are required to the infrastructure to support the proposed development, according to the accepted Functional Servicing Report and Traffic Impact Study to the satisfaction of the Chief Engineer and Executive Director, Engineering and Construction Services. </w:t>
      </w:r>
    </w:p>
    <w:p w14:paraId="6AAB5FB2" w14:textId="77777777" w:rsidR="0083351E" w:rsidRPr="00AC7DB6" w:rsidRDefault="0083351E" w:rsidP="0083351E">
      <w:pPr>
        <w:pStyle w:val="Default"/>
      </w:pPr>
    </w:p>
    <w:p w14:paraId="4B8323A7" w14:textId="77777777" w:rsidR="0083351E" w:rsidRPr="00AC7DB6" w:rsidRDefault="0083351E" w:rsidP="0083351E">
      <w:pPr>
        <w:pStyle w:val="Default"/>
        <w:ind w:left="1440"/>
      </w:pPr>
      <w:r w:rsidRPr="00AC7DB6">
        <w:t xml:space="preserve">f. The owner has provided space within the development for the installation of maintenance access holes and sampling ports on the private side, as close to the property line as possible, for both the storm and sanitary service connections, in accordance with the Sewers </w:t>
      </w:r>
      <w:r w:rsidRPr="00AC7DB6">
        <w:lastRenderedPageBreak/>
        <w:t xml:space="preserve">By-law, Chapter 681-10, and to the satisfaction of the Chief Engineer and Executive Director, Engineering and Construction Services. </w:t>
      </w:r>
    </w:p>
    <w:p w14:paraId="00FB9E68" w14:textId="77777777" w:rsidR="0083351E" w:rsidRPr="00AC7DB6" w:rsidRDefault="0083351E" w:rsidP="0083351E">
      <w:pPr>
        <w:pStyle w:val="Default"/>
        <w:ind w:left="1440"/>
      </w:pPr>
    </w:p>
    <w:p w14:paraId="4FF89C00" w14:textId="77777777" w:rsidR="0083351E" w:rsidRPr="00AC7DB6" w:rsidRDefault="0083351E" w:rsidP="0083351E">
      <w:pPr>
        <w:pStyle w:val="Default"/>
        <w:ind w:left="1440"/>
      </w:pPr>
      <w:r w:rsidRPr="00AC7DB6">
        <w:t>g. The owner has submitted a revised Pedestrian Level Wind Study to the satisfaction of the Chief Planner and Executive Director, City Planning.</w:t>
      </w:r>
    </w:p>
    <w:p w14:paraId="0F8589E4" w14:textId="77777777" w:rsidR="0083351E" w:rsidRPr="00AC7DB6" w:rsidRDefault="0083351E" w:rsidP="0083351E">
      <w:pPr>
        <w:pStyle w:val="Default"/>
        <w:ind w:left="1440"/>
      </w:pPr>
    </w:p>
    <w:p w14:paraId="11079F43" w14:textId="77777777" w:rsidR="0083351E" w:rsidRPr="00AC7DB6" w:rsidRDefault="0083351E" w:rsidP="0083351E">
      <w:pPr>
        <w:pStyle w:val="Default"/>
        <w:ind w:left="1440"/>
      </w:pPr>
      <w:r w:rsidRPr="00AC7DB6">
        <w:t>h. The submitted Land Use Compatibility/Mitigation Study (Air Quality and Noise), dated December 19, 2022, prepared by RWDI Consultants, has been peer reviewed by a third-party consultant retained by the City at the owner's expense to confirm the proposed Core Employment Areas and General Employment Areas uses are compatible with the proposed residential uses, as required by Site and Area Specific Policy 807, and the owner agrees to implement any necessary air quality, noise or land use compatibility control measures and recommendations identified through the peer review, with the control measures to be se</w:t>
      </w:r>
      <w:r w:rsidRPr="00AC7DB6">
        <w:lastRenderedPageBreak/>
        <w:t xml:space="preserve">cured through the Site Plan Control process, to the satisfaction of the Chief Planner and Executive Director, City Planning. </w:t>
      </w:r>
    </w:p>
    <w:p w14:paraId="6C757FFD" w14:textId="77777777" w:rsidR="0083351E" w:rsidRPr="00AC7DB6" w:rsidRDefault="0083351E" w:rsidP="0083351E">
      <w:pPr>
        <w:pStyle w:val="Default"/>
      </w:pPr>
    </w:p>
    <w:p w14:paraId="72BC0504" w14:textId="77777777" w:rsidR="0083351E" w:rsidRPr="00AC7DB6" w:rsidRDefault="0083351E" w:rsidP="0083351E">
      <w:pPr>
        <w:pStyle w:val="Default"/>
        <w:ind w:left="1440"/>
      </w:pPr>
      <w:proofErr w:type="spellStart"/>
      <w:r w:rsidRPr="00AC7DB6">
        <w:t>i</w:t>
      </w:r>
      <w:proofErr w:type="spellEnd"/>
      <w:r w:rsidRPr="00AC7DB6">
        <w:t xml:space="preserve">. The submitted Noise and Vibration Impact Study, dated December 19, 2022, prepared by GHD Consultants, has been peer reviewed by a third-party consultant retained by the City at the owner's expense and the owner agrees to implement the noise and vibration control measures and recommendations identified through the peer review, with the control measures to be secured through the Site Plan Control process, to the satisfaction of the Chief Planner and Executive Director, City Planning. </w:t>
      </w:r>
    </w:p>
    <w:p w14:paraId="32197140" w14:textId="77777777" w:rsidR="0083351E" w:rsidRPr="00AC7DB6" w:rsidRDefault="0083351E" w:rsidP="0083351E">
      <w:pPr>
        <w:pStyle w:val="Default"/>
        <w:ind w:left="1440"/>
      </w:pPr>
    </w:p>
    <w:p w14:paraId="151A7566" w14:textId="77777777" w:rsidR="0083351E" w:rsidRPr="00AC7DB6" w:rsidRDefault="0083351E" w:rsidP="0083351E">
      <w:pPr>
        <w:pStyle w:val="Default"/>
        <w:ind w:left="1440"/>
      </w:pPr>
      <w:r w:rsidRPr="00AC7DB6">
        <w:t xml:space="preserve">j. The owner has entered into one or more agreements, including a restriction pursuant to Section 118 of the Land Titles Act registered on title to the lands, to the satisfaction of the City Solicitor and the Chief Planner and Executive Director, City Planning to secure how </w:t>
      </w:r>
      <w:r w:rsidRPr="00AC7DB6">
        <w:lastRenderedPageBreak/>
        <w:t>the affordable housing requirements would be provided in the development.</w:t>
      </w:r>
    </w:p>
    <w:p w14:paraId="33169908" w14:textId="77777777" w:rsidR="0083351E" w:rsidRPr="00AC7DB6" w:rsidRDefault="0083351E" w:rsidP="0083351E">
      <w:pPr>
        <w:pStyle w:val="Default"/>
        <w:ind w:left="1440"/>
      </w:pPr>
    </w:p>
    <w:p w14:paraId="04F98C9F" w14:textId="77777777" w:rsidR="0083351E" w:rsidRPr="00AC7DB6" w:rsidRDefault="0083351E" w:rsidP="0083351E">
      <w:pPr>
        <w:pStyle w:val="Default"/>
        <w:ind w:left="1440"/>
      </w:pPr>
      <w:r w:rsidRPr="00AC7DB6">
        <w:t xml:space="preserve">k. The owner has secured an acceptable Tenant Relocation and Assistance Plan for tenants of the existing rental dwelling units proposed to be demolished, addressing financial compensation and other assistance to lessen hardship, and the Tenant Relocation and Assistance Plan shall be to the satisfaction of the Chief Planner and Executive Director, City Planning and implemented prior to the issuance of Notice of Approval Conditions for Site Plan Control approval. </w:t>
      </w:r>
    </w:p>
    <w:p w14:paraId="74945287" w14:textId="77777777" w:rsidR="0083351E" w:rsidRPr="00AC7DB6" w:rsidRDefault="0083351E" w:rsidP="0083351E">
      <w:pPr>
        <w:pStyle w:val="Default"/>
        <w:ind w:left="1440"/>
      </w:pPr>
    </w:p>
    <w:p w14:paraId="792EE9AB" w14:textId="77777777" w:rsidR="0083351E" w:rsidRPr="00AC7DB6" w:rsidRDefault="0083351E" w:rsidP="0083351E">
      <w:pPr>
        <w:pStyle w:val="Default"/>
        <w:ind w:left="1440"/>
      </w:pPr>
      <w:r w:rsidRPr="00AC7DB6">
        <w:t xml:space="preserve">l. The owner has provided an undertaking to the City, to the satisfaction of the City Solicitor and the Chief Planner and Executive Director, City Planning, to secure the Tenant Relocation and Assistance Plan as required in Condition k. above. </w:t>
      </w:r>
    </w:p>
    <w:p w14:paraId="17C7433A" w14:textId="77777777" w:rsidR="0083351E" w:rsidRPr="00AC7DB6" w:rsidRDefault="0083351E" w:rsidP="0083351E">
      <w:pPr>
        <w:pStyle w:val="Default"/>
      </w:pPr>
    </w:p>
    <w:p w14:paraId="526AD685" w14:textId="77777777" w:rsidR="0083351E" w:rsidRPr="00AC7DB6" w:rsidRDefault="0083351E" w:rsidP="0083351E">
      <w:pPr>
        <w:pStyle w:val="Default"/>
        <w:ind w:left="1440"/>
      </w:pPr>
      <w:r w:rsidRPr="00AC7DB6">
        <w:lastRenderedPageBreak/>
        <w:t xml:space="preserve">m. The owner has revised the site plan and architectural drawings to provide adequate space for a bus shelter and bus operations located at Royal York Road south of Sinclair Street to replace the existing stop located along the frontage of the site to the satisfaction of the Chief Planner and Executive Director, City Planning, the General Manager, Transportation Services and the Chief Executive Officer, Toronto Transit Commission. </w:t>
      </w:r>
    </w:p>
    <w:p w14:paraId="67B48CF9" w14:textId="77777777" w:rsidR="0083351E" w:rsidRPr="00AC7DB6" w:rsidRDefault="0083351E" w:rsidP="0083351E">
      <w:pPr>
        <w:pStyle w:val="Default"/>
        <w:ind w:left="1440"/>
      </w:pPr>
    </w:p>
    <w:p w14:paraId="14911270" w14:textId="77777777" w:rsidR="0083351E" w:rsidRPr="00AC7DB6" w:rsidRDefault="0083351E" w:rsidP="0083351E">
      <w:pPr>
        <w:pStyle w:val="Default"/>
        <w:ind w:left="1440"/>
      </w:pPr>
      <w:r w:rsidRPr="00AC7DB6">
        <w:t>n. The owner has revised the site plan and architectural drawings to provide an adequate Wheel-Trans drop-off area and provided a Vehicular Maneuvering Diagram to the satisfaction of the Chief Planner and Executive Director, City Planning, the General Manager, Transportation Services and the Chief Executive Officer, Toronto Transit Commission.</w:t>
      </w:r>
    </w:p>
    <w:p w14:paraId="1C7D0E55" w14:textId="77777777" w:rsidR="0083351E" w:rsidRPr="00AC7DB6" w:rsidRDefault="0083351E" w:rsidP="0083351E">
      <w:pPr>
        <w:pStyle w:val="Default"/>
        <w:ind w:left="1440"/>
      </w:pPr>
    </w:p>
    <w:p w14:paraId="049B9CD6" w14:textId="77777777" w:rsidR="0083351E" w:rsidRPr="00AC7DB6" w:rsidRDefault="0083351E" w:rsidP="0083351E">
      <w:pPr>
        <w:pStyle w:val="Default"/>
        <w:ind w:left="1440"/>
      </w:pPr>
      <w:r w:rsidRPr="00AC7DB6">
        <w:t xml:space="preserve">o. The owner has submitted a revised Energy Strategy Report to the satisfaction of the </w:t>
      </w:r>
      <w:r w:rsidRPr="00AC7DB6">
        <w:lastRenderedPageBreak/>
        <w:t xml:space="preserve">Executive Director, Environment and Climate Division. </w:t>
      </w:r>
    </w:p>
    <w:p w14:paraId="60DC7BEE" w14:textId="77777777" w:rsidR="0083351E" w:rsidRPr="00AC7DB6" w:rsidRDefault="0083351E" w:rsidP="0083351E">
      <w:pPr>
        <w:pStyle w:val="Default"/>
        <w:ind w:left="1440"/>
      </w:pPr>
    </w:p>
    <w:p w14:paraId="058B5087" w14:textId="77777777" w:rsidR="0083351E" w:rsidRPr="00AC7DB6" w:rsidRDefault="0083351E" w:rsidP="0083351E">
      <w:pPr>
        <w:pStyle w:val="Default"/>
        <w:ind w:left="1440"/>
      </w:pPr>
      <w:r w:rsidRPr="00AC7DB6">
        <w:t xml:space="preserve">p. The owner will construct and maintain the development in accordance with Tier 1, Toronto Green Standard, and the owner will be encouraged to achieve Tier 2, Toronto Green Standard, or higher, where appropriate, consistent with the performance standards of Toronto Green Standards applicable at the time of the Site Plan Control application for each building. </w:t>
      </w:r>
    </w:p>
    <w:p w14:paraId="4C9CF035" w14:textId="77777777" w:rsidR="0083351E" w:rsidRPr="00AC7DB6" w:rsidRDefault="0083351E" w:rsidP="0083351E">
      <w:pPr>
        <w:pStyle w:val="Default"/>
        <w:ind w:left="1440"/>
      </w:pPr>
    </w:p>
    <w:p w14:paraId="3BB7FEB1" w14:textId="77777777" w:rsidR="0083351E" w:rsidRPr="00AC7DB6" w:rsidRDefault="0083351E" w:rsidP="0083351E">
      <w:pPr>
        <w:pStyle w:val="Default"/>
        <w:ind w:left="1440"/>
      </w:pPr>
      <w:r w:rsidRPr="00AC7DB6">
        <w:t xml:space="preserve">q. The owner has submitted a revised Arborist Report and Tree Preservation Plan to the satisfaction of the General Manager, Parks, Forestry and Recreation. </w:t>
      </w:r>
    </w:p>
    <w:p w14:paraId="1CB2932F" w14:textId="77777777" w:rsidR="0083351E" w:rsidRPr="00AC7DB6" w:rsidRDefault="0083351E" w:rsidP="0083351E">
      <w:pPr>
        <w:pStyle w:val="Default"/>
        <w:ind w:left="1440"/>
      </w:pPr>
    </w:p>
    <w:p w14:paraId="09C54579" w14:textId="77777777" w:rsidR="0083351E" w:rsidRPr="00AC7DB6" w:rsidRDefault="0083351E" w:rsidP="0083351E">
      <w:pPr>
        <w:pStyle w:val="Default"/>
        <w:ind w:left="1440"/>
      </w:pPr>
      <w:r w:rsidRPr="00AC7DB6">
        <w:t xml:space="preserve">r. The owner has provided an on-site parkland dedication in a size, location and configuration that is to the satisfaction of the General Manager, Parks, Forestry and Recreation. </w:t>
      </w:r>
    </w:p>
    <w:p w14:paraId="7006ECCD" w14:textId="77777777" w:rsidR="0083351E" w:rsidRPr="00AC7DB6" w:rsidRDefault="0083351E" w:rsidP="0083351E">
      <w:pPr>
        <w:pStyle w:val="Default"/>
        <w:ind w:left="1440"/>
      </w:pPr>
    </w:p>
    <w:p w14:paraId="54B75701" w14:textId="77777777" w:rsidR="0083351E" w:rsidRPr="00AC7DB6" w:rsidRDefault="0083351E" w:rsidP="0083351E">
      <w:pPr>
        <w:pStyle w:val="Default"/>
        <w:ind w:left="1440"/>
      </w:pPr>
      <w:r w:rsidRPr="00AC7DB6">
        <w:lastRenderedPageBreak/>
        <w:t>s. The owner has submitted a revised Transportation Impact Study to the satisfaction of the General Manager, Transportation Services and the Chief Engineer and Executive Director, Engineering and Construction Services and the Chief Planner and Executive Director, City Planning.</w:t>
      </w:r>
    </w:p>
    <w:p w14:paraId="189195CF" w14:textId="77777777" w:rsidR="0083351E" w:rsidRPr="00AC7DB6" w:rsidRDefault="0083351E" w:rsidP="0083351E">
      <w:pPr>
        <w:pStyle w:val="Default"/>
        <w:ind w:left="1440"/>
      </w:pPr>
    </w:p>
    <w:p w14:paraId="242CF4E0" w14:textId="77777777" w:rsidR="0083351E" w:rsidRPr="00AC7DB6" w:rsidRDefault="0083351E" w:rsidP="0083351E">
      <w:pPr>
        <w:pStyle w:val="Default"/>
        <w:ind w:left="1440"/>
      </w:pPr>
      <w:r w:rsidRPr="00AC7DB6">
        <w:t xml:space="preserve">t. The owner has submitted revised site plan and architectural drawings to illustrate the required public sidewalk widths and on-site passenger pick-up and drop-off facilities as outlined in Section A 1.1 of the memorandum from Engineering and Construction Services, dated October 30, 2023, to the satisfaction of the General Manger of Transportation Services and the Chief Engineer and Executive Director, Engineering and Construction Services. </w:t>
      </w:r>
    </w:p>
    <w:p w14:paraId="6BBB0492" w14:textId="77777777" w:rsidR="0083351E" w:rsidRPr="00AC7DB6" w:rsidRDefault="0083351E" w:rsidP="0083351E">
      <w:pPr>
        <w:pStyle w:val="Default"/>
        <w:ind w:left="1440"/>
      </w:pPr>
    </w:p>
    <w:p w14:paraId="00AB5505" w14:textId="77777777" w:rsidR="0083351E" w:rsidRPr="00AC7DB6" w:rsidRDefault="0083351E" w:rsidP="0083351E">
      <w:pPr>
        <w:pStyle w:val="Default"/>
        <w:ind w:left="1440"/>
      </w:pPr>
      <w:r w:rsidRPr="00AC7DB6">
        <w:t xml:space="preserve">u. The owner has applied to Transportation Services and obtained City Council's approval on the closure and purchase of the City-owned lands included as part of the development site </w:t>
      </w:r>
      <w:r w:rsidRPr="00AC7DB6">
        <w:lastRenderedPageBreak/>
        <w:t xml:space="preserve">and entered into and finalized any appropriate agreements with the City to purchase City-owned lands. </w:t>
      </w:r>
    </w:p>
    <w:p w14:paraId="47E95D95" w14:textId="77777777" w:rsidR="0083351E" w:rsidRPr="00AC7DB6" w:rsidRDefault="0083351E" w:rsidP="0083351E">
      <w:pPr>
        <w:pStyle w:val="Default"/>
        <w:ind w:left="1440"/>
      </w:pPr>
    </w:p>
    <w:p w14:paraId="5EB802E2" w14:textId="77777777" w:rsidR="0083351E" w:rsidRPr="00AC7DB6" w:rsidRDefault="0083351E" w:rsidP="0083351E">
      <w:pPr>
        <w:pStyle w:val="Default"/>
        <w:ind w:left="1440"/>
      </w:pPr>
      <w:r w:rsidRPr="00AC7DB6">
        <w:t xml:space="preserve">v. The owner has revised the site plan and architectural drawings to illustrate the required road widening of 0.4 metres along 514-516 Royal York Road and 3.44 metres along 520-522 Royal York Road to be conveyed through the Site Plan Control review process to the satisfaction of the General Manager, Transportation Services, and the City Solicitor. </w:t>
      </w:r>
    </w:p>
    <w:p w14:paraId="545370AA" w14:textId="77777777" w:rsidR="0083351E" w:rsidRPr="00AC7DB6" w:rsidRDefault="0083351E" w:rsidP="0083351E">
      <w:pPr>
        <w:pStyle w:val="Default"/>
        <w:ind w:left="1440"/>
      </w:pPr>
    </w:p>
    <w:p w14:paraId="20161E6C" w14:textId="77777777" w:rsidR="0083351E" w:rsidRDefault="0083351E" w:rsidP="0083351E">
      <w:pPr>
        <w:pStyle w:val="Default"/>
        <w:ind w:left="1440"/>
      </w:pPr>
      <w:r w:rsidRPr="00AC7DB6">
        <w:t>w. The owner has provided an on-site parkland dedication in a size, location and configuration that is to the satisfaction of the General Manager, Parks, Forestry and Recreation.</w:t>
      </w:r>
    </w:p>
    <w:p w14:paraId="0B99E7F5" w14:textId="77777777" w:rsidR="0083351E" w:rsidRPr="00AC7DB6" w:rsidRDefault="0083351E" w:rsidP="0083351E">
      <w:pPr>
        <w:jc w:val="center"/>
        <w:rPr>
          <w:rFonts w:ascii="Arial" w:hAnsi="Arial" w:cs="Arial"/>
          <w:b/>
        </w:rPr>
      </w:pPr>
      <w:r w:rsidRPr="00C94E15">
        <w:rPr>
          <w:rFonts w:ascii="Arial" w:hAnsi="Arial" w:cs="Arial"/>
        </w:rPr>
        <w:br w:type="page"/>
      </w:r>
      <w:r w:rsidRPr="00AC7DB6">
        <w:rPr>
          <w:rFonts w:ascii="Arial" w:hAnsi="Arial" w:cs="Arial"/>
          <w:b/>
        </w:rPr>
        <w:lastRenderedPageBreak/>
        <w:t>ATTACHMENT 4</w:t>
      </w:r>
    </w:p>
    <w:p w14:paraId="2A6469DD" w14:textId="77777777" w:rsidR="0083351E" w:rsidRPr="00AC7DB6" w:rsidRDefault="0083351E" w:rsidP="0083351E">
      <w:pPr>
        <w:pBdr>
          <w:bottom w:val="single" w:sz="4" w:space="1" w:color="auto"/>
        </w:pBdr>
        <w:jc w:val="center"/>
        <w:rPr>
          <w:rFonts w:ascii="Arial" w:hAnsi="Arial" w:cs="Arial"/>
        </w:rPr>
      </w:pPr>
      <w:r w:rsidRPr="00AC7DB6">
        <w:rPr>
          <w:rFonts w:ascii="Arial" w:hAnsi="Arial" w:cs="Arial"/>
        </w:rPr>
        <w:t>ORDER OF EVIDENCE</w:t>
      </w:r>
    </w:p>
    <w:p w14:paraId="693DFE2D" w14:textId="77777777" w:rsidR="0083351E" w:rsidRPr="00AC7DB6" w:rsidRDefault="0083351E" w:rsidP="0083351E">
      <w:pPr>
        <w:pStyle w:val="Default"/>
        <w:jc w:val="center"/>
      </w:pPr>
    </w:p>
    <w:p w14:paraId="0A4CFBB6" w14:textId="77777777" w:rsidR="0083351E" w:rsidRPr="00AC7DB6" w:rsidRDefault="0083351E" w:rsidP="0083351E">
      <w:pPr>
        <w:pStyle w:val="ListParagraph"/>
        <w:numPr>
          <w:ilvl w:val="0"/>
          <w:numId w:val="12"/>
        </w:numPr>
        <w:rPr>
          <w:rFonts w:ascii="Arial" w:hAnsi="Arial" w:cs="Arial"/>
        </w:rPr>
      </w:pPr>
      <w:r w:rsidRPr="00AC7DB6">
        <w:rPr>
          <w:rFonts w:ascii="Arial" w:hAnsi="Arial" w:cs="Arial"/>
        </w:rPr>
        <w:t xml:space="preserve">Queenscorp (Royal York) Inc. </w:t>
      </w:r>
    </w:p>
    <w:p w14:paraId="46613628" w14:textId="77777777" w:rsidR="0083351E" w:rsidRPr="00AC7DB6" w:rsidRDefault="0083351E" w:rsidP="0083351E">
      <w:pPr>
        <w:pStyle w:val="ListParagraph"/>
        <w:rPr>
          <w:rFonts w:ascii="Arial" w:hAnsi="Arial" w:cs="Arial"/>
        </w:rPr>
      </w:pPr>
    </w:p>
    <w:p w14:paraId="1A67697C" w14:textId="77777777" w:rsidR="0083351E" w:rsidRPr="00AC7DB6" w:rsidRDefault="0083351E" w:rsidP="0083351E">
      <w:pPr>
        <w:pStyle w:val="ListParagraph"/>
        <w:numPr>
          <w:ilvl w:val="0"/>
          <w:numId w:val="12"/>
        </w:numPr>
        <w:rPr>
          <w:rFonts w:ascii="Arial" w:hAnsi="Arial" w:cs="Arial"/>
        </w:rPr>
      </w:pPr>
      <w:r w:rsidRPr="00AC7DB6">
        <w:rPr>
          <w:rFonts w:ascii="Arial" w:hAnsi="Arial" w:cs="Arial"/>
        </w:rPr>
        <w:t>City of Toronto</w:t>
      </w:r>
    </w:p>
    <w:p w14:paraId="0C46826E" w14:textId="77777777" w:rsidR="0083351E" w:rsidRPr="00AC7DB6" w:rsidRDefault="0083351E" w:rsidP="0083351E">
      <w:pPr>
        <w:pStyle w:val="ListParagraph"/>
        <w:rPr>
          <w:rFonts w:ascii="Arial" w:hAnsi="Arial" w:cs="Arial"/>
        </w:rPr>
      </w:pPr>
    </w:p>
    <w:p w14:paraId="08067B46" w14:textId="77777777" w:rsidR="0083351E" w:rsidRPr="00AC7DB6" w:rsidRDefault="0083351E" w:rsidP="0083351E">
      <w:pPr>
        <w:pStyle w:val="ListParagraph"/>
        <w:numPr>
          <w:ilvl w:val="0"/>
          <w:numId w:val="12"/>
        </w:numPr>
        <w:rPr>
          <w:rFonts w:ascii="Arial" w:hAnsi="Arial" w:cs="Arial"/>
        </w:rPr>
      </w:pPr>
      <w:r w:rsidRPr="00AC7DB6">
        <w:rPr>
          <w:rFonts w:ascii="Arial" w:hAnsi="Arial" w:cs="Arial"/>
        </w:rPr>
        <w:t>Queenscorp (Royal York) Inc. in reply</w:t>
      </w:r>
    </w:p>
    <w:p w14:paraId="7BB3E094" w14:textId="77777777" w:rsidR="0083351E" w:rsidRPr="00AC7DB6" w:rsidRDefault="0083351E" w:rsidP="0083351E">
      <w:pPr>
        <w:jc w:val="center"/>
        <w:rPr>
          <w:rFonts w:ascii="Arial" w:hAnsi="Arial" w:cs="Arial"/>
          <w:b/>
        </w:rPr>
      </w:pPr>
      <w:r w:rsidRPr="00AC7DB6">
        <w:rPr>
          <w:rFonts w:ascii="Arial" w:hAnsi="Arial" w:cs="Arial"/>
        </w:rPr>
        <w:br w:type="page"/>
      </w:r>
      <w:r w:rsidRPr="00AC7DB6">
        <w:rPr>
          <w:rFonts w:ascii="Arial" w:hAnsi="Arial" w:cs="Arial"/>
          <w:b/>
        </w:rPr>
        <w:lastRenderedPageBreak/>
        <w:t>ATTACHMENT 5</w:t>
      </w:r>
    </w:p>
    <w:p w14:paraId="3EBB77CA" w14:textId="77777777" w:rsidR="0083351E" w:rsidRPr="00AC7DB6" w:rsidRDefault="0083351E" w:rsidP="0083351E">
      <w:pPr>
        <w:pStyle w:val="p1"/>
        <w:pBdr>
          <w:bottom w:val="single" w:sz="4" w:space="1" w:color="auto"/>
        </w:pBdr>
        <w:rPr>
          <w:rFonts w:ascii="Arial" w:hAnsi="Arial" w:cs="Arial"/>
        </w:rPr>
      </w:pPr>
      <w:r w:rsidRPr="00AC7DB6">
        <w:rPr>
          <w:rFonts w:ascii="Arial" w:hAnsi="Arial" w:cs="Arial"/>
        </w:rPr>
        <w:t>SUMMARY OF FILING DEADLINES</w:t>
      </w:r>
    </w:p>
    <w:p w14:paraId="38EF5B1F" w14:textId="77777777" w:rsidR="0083351E" w:rsidRPr="00AC7DB6" w:rsidRDefault="0083351E" w:rsidP="0083351E">
      <w:pPr>
        <w:rPr>
          <w:rFonts w:ascii="Arial" w:hAnsi="Arial" w:cs="Arial"/>
        </w:rPr>
      </w:pPr>
      <w:r w:rsidRPr="00AC7DB6">
        <w:rPr>
          <w:rFonts w:ascii="Arial" w:hAnsi="Arial" w:cs="Arial"/>
        </w:rPr>
        <w:t> </w:t>
      </w:r>
    </w:p>
    <w:tbl>
      <w:tblPr>
        <w:tblW w:w="9038" w:type="dxa"/>
        <w:tblInd w:w="217" w:type="dxa"/>
        <w:tblCellMar>
          <w:left w:w="0" w:type="dxa"/>
          <w:right w:w="0" w:type="dxa"/>
        </w:tblCellMar>
        <w:tblLook w:val="04A0" w:firstRow="1" w:lastRow="0" w:firstColumn="1" w:lastColumn="0" w:noHBand="0" w:noVBand="1"/>
      </w:tblPr>
      <w:tblGrid>
        <w:gridCol w:w="5090"/>
        <w:gridCol w:w="3948"/>
      </w:tblGrid>
      <w:tr w:rsidR="0083351E" w:rsidRPr="00AC7DB6" w14:paraId="7433FEA8" w14:textId="77777777" w:rsidTr="00323DB8">
        <w:trPr>
          <w:trHeight w:val="449"/>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51878CD4" w14:textId="77777777" w:rsidR="0083351E" w:rsidRPr="00AC7DB6" w:rsidRDefault="0083351E" w:rsidP="00323DB8">
            <w:pPr>
              <w:ind w:left="3"/>
              <w:jc w:val="center"/>
              <w:rPr>
                <w:rFonts w:ascii="Arial" w:hAnsi="Arial" w:cs="Arial"/>
              </w:rPr>
            </w:pPr>
            <w:r w:rsidRPr="00AC7DB6">
              <w:rPr>
                <w:rFonts w:ascii="Arial" w:hAnsi="Arial" w:cs="Arial"/>
                <w:b/>
                <w:bCs/>
              </w:rPr>
              <w:t>EVENT </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58326F51" w14:textId="77777777" w:rsidR="0083351E" w:rsidRPr="00AC7DB6" w:rsidRDefault="0083351E" w:rsidP="00323DB8">
            <w:pPr>
              <w:ind w:left="5"/>
              <w:jc w:val="center"/>
              <w:rPr>
                <w:rFonts w:ascii="Arial" w:hAnsi="Arial" w:cs="Arial"/>
              </w:rPr>
            </w:pPr>
            <w:r w:rsidRPr="00AC7DB6">
              <w:rPr>
                <w:rFonts w:ascii="Arial" w:hAnsi="Arial" w:cs="Arial"/>
                <w:b/>
                <w:bCs/>
              </w:rPr>
              <w:t>DATE </w:t>
            </w:r>
          </w:p>
          <w:p w14:paraId="21E54926" w14:textId="77777777" w:rsidR="0083351E" w:rsidRPr="00AC7DB6" w:rsidRDefault="0083351E" w:rsidP="00323DB8">
            <w:pPr>
              <w:ind w:left="51"/>
              <w:jc w:val="center"/>
              <w:rPr>
                <w:rFonts w:ascii="Arial" w:hAnsi="Arial" w:cs="Arial"/>
              </w:rPr>
            </w:pPr>
            <w:r w:rsidRPr="00AC7DB6">
              <w:rPr>
                <w:rFonts w:ascii="Arial" w:hAnsi="Arial" w:cs="Arial"/>
                <w:b/>
                <w:bCs/>
              </w:rPr>
              <w:t> </w:t>
            </w:r>
          </w:p>
        </w:tc>
      </w:tr>
      <w:tr w:rsidR="0083351E" w:rsidRPr="00AC7DB6" w14:paraId="24AC05E7" w14:textId="77777777" w:rsidTr="00323DB8">
        <w:trPr>
          <w:trHeight w:val="472"/>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09BD7AA8" w14:textId="77777777" w:rsidR="0083351E" w:rsidRPr="00AC7DB6" w:rsidRDefault="0083351E" w:rsidP="00323DB8">
            <w:pPr>
              <w:rPr>
                <w:rFonts w:ascii="Arial" w:hAnsi="Arial" w:cs="Arial"/>
              </w:rPr>
            </w:pPr>
            <w:r w:rsidRPr="00AC7DB6">
              <w:rPr>
                <w:rFonts w:ascii="Arial" w:hAnsi="Arial" w:cs="Arial"/>
              </w:rPr>
              <w:t xml:space="preserve">First Case Management Conference  </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451729D1" w14:textId="77777777" w:rsidR="0083351E" w:rsidRPr="00AC7DB6" w:rsidRDefault="0083351E" w:rsidP="00323DB8">
            <w:pPr>
              <w:ind w:left="51"/>
              <w:jc w:val="center"/>
              <w:rPr>
                <w:rFonts w:ascii="Arial" w:hAnsi="Arial" w:cs="Arial"/>
                <w:b/>
                <w:bCs/>
              </w:rPr>
            </w:pPr>
            <w:r w:rsidRPr="00AC7DB6">
              <w:rPr>
                <w:rFonts w:ascii="Arial" w:hAnsi="Arial" w:cs="Arial"/>
                <w:b/>
                <w:bCs/>
              </w:rPr>
              <w:t>Tuesday, October 3, 2023</w:t>
            </w:r>
          </w:p>
        </w:tc>
      </w:tr>
      <w:tr w:rsidR="0083351E" w:rsidRPr="00AC7DB6" w14:paraId="1DF54208" w14:textId="77777777" w:rsidTr="00323DB8">
        <w:trPr>
          <w:trHeight w:val="472"/>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766B33A0" w14:textId="77777777" w:rsidR="0083351E" w:rsidRPr="00AC7DB6" w:rsidRDefault="0083351E" w:rsidP="00323DB8">
            <w:pPr>
              <w:rPr>
                <w:rFonts w:ascii="Arial" w:hAnsi="Arial" w:cs="Arial"/>
              </w:rPr>
            </w:pPr>
            <w:r w:rsidRPr="00AC7DB6">
              <w:rPr>
                <w:rFonts w:ascii="Arial" w:hAnsi="Arial" w:cs="Arial"/>
              </w:rPr>
              <w:t>City’s Issues List Deadline</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09A8709F" w14:textId="77777777" w:rsidR="0083351E" w:rsidRPr="00AC7DB6" w:rsidRDefault="0083351E" w:rsidP="00323DB8">
            <w:pPr>
              <w:ind w:left="51"/>
              <w:jc w:val="center"/>
              <w:rPr>
                <w:rFonts w:ascii="Arial" w:hAnsi="Arial" w:cs="Arial"/>
                <w:b/>
                <w:bCs/>
              </w:rPr>
            </w:pPr>
            <w:r w:rsidRPr="00AC7DB6">
              <w:rPr>
                <w:rFonts w:ascii="Arial" w:hAnsi="Arial" w:cs="Arial"/>
                <w:b/>
                <w:bCs/>
              </w:rPr>
              <w:t>Friday, December 29, 2023</w:t>
            </w:r>
          </w:p>
        </w:tc>
      </w:tr>
      <w:tr w:rsidR="0083351E" w:rsidRPr="00AC7DB6" w14:paraId="3D5314FE" w14:textId="77777777" w:rsidTr="00323DB8">
        <w:trPr>
          <w:trHeight w:val="472"/>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64F2DE35" w14:textId="77777777" w:rsidR="0083351E" w:rsidRPr="00AC7DB6" w:rsidRDefault="0083351E" w:rsidP="00323DB8">
            <w:pPr>
              <w:rPr>
                <w:rFonts w:ascii="Arial" w:hAnsi="Arial" w:cs="Arial"/>
              </w:rPr>
            </w:pPr>
            <w:r w:rsidRPr="00AC7DB6">
              <w:rPr>
                <w:rFonts w:ascii="Arial" w:hAnsi="Arial" w:cs="Arial"/>
              </w:rPr>
              <w:t>Deadline for interested parties to decide status</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54438506" w14:textId="77777777" w:rsidR="0083351E" w:rsidRPr="00AC7DB6" w:rsidRDefault="0083351E" w:rsidP="00323DB8">
            <w:pPr>
              <w:ind w:left="51"/>
              <w:jc w:val="center"/>
              <w:rPr>
                <w:rFonts w:ascii="Arial" w:hAnsi="Arial" w:cs="Arial"/>
                <w:b/>
                <w:bCs/>
              </w:rPr>
            </w:pPr>
            <w:r w:rsidRPr="00AC7DB6">
              <w:rPr>
                <w:rFonts w:ascii="Arial" w:hAnsi="Arial" w:cs="Arial"/>
                <w:b/>
                <w:bCs/>
              </w:rPr>
              <w:t>Friday, December 29, 2023</w:t>
            </w:r>
          </w:p>
        </w:tc>
      </w:tr>
      <w:tr w:rsidR="0083351E" w:rsidRPr="00AC7DB6" w14:paraId="60041371" w14:textId="77777777" w:rsidTr="00323DB8">
        <w:trPr>
          <w:trHeight w:val="472"/>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375917A3" w14:textId="77777777" w:rsidR="0083351E" w:rsidRPr="00AC7DB6" w:rsidRDefault="0083351E" w:rsidP="00323DB8">
            <w:pPr>
              <w:rPr>
                <w:rFonts w:ascii="Arial" w:hAnsi="Arial" w:cs="Arial"/>
              </w:rPr>
            </w:pPr>
            <w:r w:rsidRPr="00AC7DB6">
              <w:rPr>
                <w:rFonts w:ascii="Arial" w:hAnsi="Arial" w:cs="Arial"/>
              </w:rPr>
              <w:t>Deadline for revised plans</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6FEC8701" w14:textId="77777777" w:rsidR="0083351E" w:rsidRPr="00AC7DB6" w:rsidRDefault="0083351E" w:rsidP="00323DB8">
            <w:pPr>
              <w:ind w:left="51"/>
              <w:jc w:val="center"/>
              <w:rPr>
                <w:rFonts w:ascii="Arial" w:hAnsi="Arial" w:cs="Arial"/>
                <w:b/>
                <w:bCs/>
              </w:rPr>
            </w:pPr>
            <w:r w:rsidRPr="00AC7DB6">
              <w:rPr>
                <w:rFonts w:ascii="Arial" w:hAnsi="Arial" w:cs="Arial"/>
                <w:b/>
                <w:bCs/>
              </w:rPr>
              <w:t>Friday, February 9, 2024</w:t>
            </w:r>
          </w:p>
        </w:tc>
      </w:tr>
      <w:tr w:rsidR="0083351E" w:rsidRPr="00AC7DB6" w14:paraId="63EEF3CF" w14:textId="77777777" w:rsidTr="00323DB8">
        <w:trPr>
          <w:trHeight w:val="472"/>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176ACD6A" w14:textId="77777777" w:rsidR="0083351E" w:rsidRPr="00AC7DB6" w:rsidRDefault="0083351E" w:rsidP="00323DB8">
            <w:pPr>
              <w:rPr>
                <w:rFonts w:ascii="Arial" w:hAnsi="Arial" w:cs="Arial"/>
              </w:rPr>
            </w:pPr>
            <w:r w:rsidRPr="00AC7DB6">
              <w:rPr>
                <w:rFonts w:ascii="Arial" w:hAnsi="Arial" w:cs="Arial"/>
              </w:rPr>
              <w:t>Procedural Order to be filed with Tribunal</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77571C8B" w14:textId="77777777" w:rsidR="0083351E" w:rsidRPr="00AC7DB6" w:rsidRDefault="0083351E" w:rsidP="00323DB8">
            <w:pPr>
              <w:ind w:left="51"/>
              <w:jc w:val="center"/>
              <w:rPr>
                <w:rFonts w:ascii="Arial" w:hAnsi="Arial" w:cs="Arial"/>
                <w:b/>
                <w:bCs/>
              </w:rPr>
            </w:pPr>
            <w:r w:rsidRPr="00AC7DB6">
              <w:rPr>
                <w:rFonts w:ascii="Arial" w:hAnsi="Arial" w:cs="Arial"/>
                <w:b/>
                <w:bCs/>
              </w:rPr>
              <w:t>Thursday, February 15, 2024</w:t>
            </w:r>
          </w:p>
        </w:tc>
      </w:tr>
      <w:tr w:rsidR="0083351E" w:rsidRPr="00AC7DB6" w14:paraId="30ED9E1D" w14:textId="77777777" w:rsidTr="00323DB8">
        <w:trPr>
          <w:trHeight w:val="472"/>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610C3B04" w14:textId="77777777" w:rsidR="0083351E" w:rsidRPr="00AC7DB6" w:rsidRDefault="0083351E" w:rsidP="00323DB8">
            <w:pPr>
              <w:rPr>
                <w:rFonts w:ascii="Arial" w:hAnsi="Arial" w:cs="Arial"/>
              </w:rPr>
            </w:pPr>
            <w:r w:rsidRPr="00AC7DB6">
              <w:rPr>
                <w:rFonts w:ascii="Arial" w:hAnsi="Arial" w:cs="Arial"/>
              </w:rPr>
              <w:t>Second Case Management Conference</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2D40FB18" w14:textId="77777777" w:rsidR="0083351E" w:rsidRPr="00AC7DB6" w:rsidRDefault="0083351E" w:rsidP="00323DB8">
            <w:pPr>
              <w:ind w:left="51"/>
              <w:jc w:val="center"/>
              <w:rPr>
                <w:rFonts w:ascii="Arial" w:hAnsi="Arial" w:cs="Arial"/>
                <w:b/>
                <w:bCs/>
              </w:rPr>
            </w:pPr>
            <w:r w:rsidRPr="00AC7DB6">
              <w:rPr>
                <w:rFonts w:ascii="Arial" w:hAnsi="Arial" w:cs="Arial"/>
                <w:b/>
                <w:bCs/>
              </w:rPr>
              <w:t>Monday, February 26, 2024</w:t>
            </w:r>
          </w:p>
        </w:tc>
      </w:tr>
      <w:tr w:rsidR="0083351E" w:rsidRPr="00AC7DB6" w14:paraId="5ECF0A78" w14:textId="77777777" w:rsidTr="00323DB8">
        <w:trPr>
          <w:trHeight w:val="224"/>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26D78292" w14:textId="77777777" w:rsidR="0083351E" w:rsidRPr="00AC7DB6" w:rsidRDefault="0083351E" w:rsidP="00323DB8">
            <w:pPr>
              <w:rPr>
                <w:rFonts w:ascii="Arial" w:hAnsi="Arial" w:cs="Arial"/>
              </w:rPr>
            </w:pPr>
            <w:r w:rsidRPr="00AC7DB6">
              <w:rPr>
                <w:rFonts w:ascii="Arial" w:hAnsi="Arial" w:cs="Arial"/>
              </w:rPr>
              <w:t>Parties to exchange their List of Witnesses </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34B8F22F" w14:textId="77777777" w:rsidR="0083351E" w:rsidRPr="00AC7DB6" w:rsidRDefault="0083351E" w:rsidP="00323DB8">
            <w:pPr>
              <w:ind w:left="51"/>
              <w:jc w:val="center"/>
              <w:rPr>
                <w:rFonts w:ascii="Arial" w:hAnsi="Arial" w:cs="Arial"/>
                <w:b/>
              </w:rPr>
            </w:pPr>
            <w:r w:rsidRPr="00AC7DB6">
              <w:rPr>
                <w:rFonts w:ascii="Arial" w:hAnsi="Arial" w:cs="Arial"/>
                <w:b/>
              </w:rPr>
              <w:t>Friday, March 8, 2024</w:t>
            </w:r>
          </w:p>
          <w:p w14:paraId="362FB211" w14:textId="77777777" w:rsidR="0083351E" w:rsidRPr="00AC7DB6" w:rsidRDefault="0083351E" w:rsidP="00323DB8">
            <w:pPr>
              <w:ind w:left="51"/>
              <w:jc w:val="center"/>
              <w:rPr>
                <w:rFonts w:ascii="Arial" w:hAnsi="Arial" w:cs="Arial"/>
              </w:rPr>
            </w:pPr>
            <w:r w:rsidRPr="00AC7DB6">
              <w:rPr>
                <w:rFonts w:ascii="Arial" w:hAnsi="Arial" w:cs="Arial"/>
              </w:rPr>
              <w:t> </w:t>
            </w:r>
          </w:p>
        </w:tc>
      </w:tr>
      <w:tr w:rsidR="0083351E" w:rsidRPr="00AC7DB6" w14:paraId="4ED3BCA8" w14:textId="77777777" w:rsidTr="00323DB8">
        <w:trPr>
          <w:trHeight w:val="224"/>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47D184B2" w14:textId="77777777" w:rsidR="0083351E" w:rsidRPr="00AC7DB6" w:rsidRDefault="0083351E" w:rsidP="00323DB8">
            <w:pPr>
              <w:rPr>
                <w:rFonts w:ascii="Arial" w:hAnsi="Arial" w:cs="Arial"/>
              </w:rPr>
            </w:pPr>
            <w:r w:rsidRPr="00AC7DB6">
              <w:rPr>
                <w:rFonts w:ascii="Arial" w:hAnsi="Arial" w:cs="Arial"/>
              </w:rPr>
              <w:t>Deadline to challenge expert witness qualifications</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4BDC781B" w14:textId="77777777" w:rsidR="0083351E" w:rsidRPr="00AC7DB6" w:rsidRDefault="0083351E" w:rsidP="00323DB8">
            <w:pPr>
              <w:ind w:left="51"/>
              <w:jc w:val="center"/>
              <w:rPr>
                <w:rFonts w:ascii="Arial" w:hAnsi="Arial" w:cs="Arial"/>
                <w:b/>
              </w:rPr>
            </w:pPr>
            <w:r w:rsidRPr="00AC7DB6">
              <w:rPr>
                <w:rFonts w:ascii="Arial" w:hAnsi="Arial" w:cs="Arial"/>
                <w:b/>
              </w:rPr>
              <w:t>Friday, March 22, 2024</w:t>
            </w:r>
          </w:p>
          <w:p w14:paraId="63F87CAC" w14:textId="77777777" w:rsidR="0083351E" w:rsidRPr="00AC7DB6" w:rsidRDefault="0083351E" w:rsidP="00323DB8">
            <w:pPr>
              <w:ind w:left="51"/>
              <w:jc w:val="center"/>
              <w:rPr>
                <w:rFonts w:ascii="Arial" w:hAnsi="Arial" w:cs="Arial"/>
                <w:b/>
              </w:rPr>
            </w:pPr>
          </w:p>
        </w:tc>
      </w:tr>
      <w:tr w:rsidR="0083351E" w:rsidRPr="00AC7DB6" w14:paraId="245E6B87" w14:textId="77777777" w:rsidTr="00323DB8">
        <w:trPr>
          <w:trHeight w:val="224"/>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2BF961A2" w14:textId="77777777" w:rsidR="0083351E" w:rsidRPr="00AC7DB6" w:rsidRDefault="0083351E" w:rsidP="00323DB8">
            <w:pPr>
              <w:rPr>
                <w:rFonts w:ascii="Arial" w:hAnsi="Arial" w:cs="Arial"/>
              </w:rPr>
            </w:pPr>
            <w:r w:rsidRPr="00AC7DB6">
              <w:rPr>
                <w:rFonts w:ascii="Arial" w:hAnsi="Arial" w:cs="Arial"/>
              </w:rPr>
              <w:t xml:space="preserve">Expert Witness Meeting(s) deadline </w:t>
            </w:r>
          </w:p>
          <w:p w14:paraId="19234D36" w14:textId="77777777"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7A55BD6C" w14:textId="77777777" w:rsidR="0083351E" w:rsidRPr="00AC7DB6" w:rsidRDefault="0083351E" w:rsidP="00323DB8">
            <w:pPr>
              <w:ind w:left="51"/>
              <w:jc w:val="center"/>
              <w:rPr>
                <w:rFonts w:ascii="Arial" w:hAnsi="Arial" w:cs="Arial"/>
                <w:b/>
              </w:rPr>
            </w:pPr>
            <w:r w:rsidRPr="00AC7DB6">
              <w:rPr>
                <w:rFonts w:ascii="Arial" w:hAnsi="Arial" w:cs="Arial"/>
                <w:b/>
              </w:rPr>
              <w:t>Friday, April 19, 2024</w:t>
            </w:r>
          </w:p>
          <w:p w14:paraId="4650C9E7" w14:textId="77777777" w:rsidR="0083351E" w:rsidRPr="00AC7DB6" w:rsidRDefault="0083351E" w:rsidP="00323DB8">
            <w:pPr>
              <w:ind w:left="51"/>
              <w:jc w:val="center"/>
              <w:rPr>
                <w:rFonts w:ascii="Arial" w:hAnsi="Arial" w:cs="Arial"/>
                <w:b/>
              </w:rPr>
            </w:pPr>
          </w:p>
        </w:tc>
      </w:tr>
      <w:tr w:rsidR="0083351E" w:rsidRPr="00AC7DB6" w14:paraId="6E758FDD" w14:textId="77777777" w:rsidTr="00323DB8">
        <w:trPr>
          <w:trHeight w:val="224"/>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554FCDE4" w14:textId="77777777" w:rsidR="0083351E" w:rsidRPr="00AC7DB6" w:rsidRDefault="0083351E" w:rsidP="00323DB8">
            <w:pPr>
              <w:rPr>
                <w:rFonts w:ascii="Arial" w:hAnsi="Arial" w:cs="Arial"/>
              </w:rPr>
            </w:pPr>
            <w:r w:rsidRPr="00AC7DB6">
              <w:rPr>
                <w:rFonts w:ascii="Arial" w:hAnsi="Arial" w:cs="Arial"/>
              </w:rPr>
              <w:t xml:space="preserve">Agreed Statement of Facts and Issues </w:t>
            </w:r>
            <w:proofErr w:type="gramStart"/>
            <w:r w:rsidRPr="00AC7DB6">
              <w:rPr>
                <w:rFonts w:ascii="Arial" w:hAnsi="Arial" w:cs="Arial"/>
              </w:rPr>
              <w:t>filed</w:t>
            </w:r>
            <w:proofErr w:type="gramEnd"/>
          </w:p>
          <w:p w14:paraId="719A9857" w14:textId="77777777"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52D32CC1" w14:textId="77777777" w:rsidR="0083351E" w:rsidRPr="00AC7DB6" w:rsidRDefault="0083351E" w:rsidP="00323DB8">
            <w:pPr>
              <w:ind w:left="51"/>
              <w:jc w:val="center"/>
              <w:rPr>
                <w:rFonts w:ascii="Arial" w:hAnsi="Arial" w:cs="Arial"/>
                <w:b/>
              </w:rPr>
            </w:pPr>
            <w:r w:rsidRPr="00AC7DB6">
              <w:rPr>
                <w:rFonts w:ascii="Arial" w:hAnsi="Arial" w:cs="Arial"/>
                <w:b/>
              </w:rPr>
              <w:t>Friday, May 3, 2024</w:t>
            </w:r>
          </w:p>
          <w:p w14:paraId="0A68B85D" w14:textId="77777777" w:rsidR="0083351E" w:rsidRPr="00AC7DB6" w:rsidRDefault="0083351E" w:rsidP="00323DB8">
            <w:pPr>
              <w:ind w:left="51"/>
              <w:jc w:val="center"/>
              <w:rPr>
                <w:rFonts w:ascii="Arial" w:hAnsi="Arial" w:cs="Arial"/>
                <w:b/>
              </w:rPr>
            </w:pPr>
          </w:p>
        </w:tc>
      </w:tr>
      <w:tr w:rsidR="0083351E" w:rsidRPr="00AC7DB6" w14:paraId="71C3A9C2" w14:textId="77777777" w:rsidTr="00323DB8">
        <w:trPr>
          <w:trHeight w:val="673"/>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2F1D0773" w14:textId="77777777" w:rsidR="0083351E" w:rsidRPr="00AC7DB6" w:rsidRDefault="0083351E" w:rsidP="00323DB8">
            <w:pPr>
              <w:rPr>
                <w:rFonts w:ascii="Arial" w:hAnsi="Arial" w:cs="Arial"/>
              </w:rPr>
            </w:pPr>
            <w:r w:rsidRPr="00AC7DB6">
              <w:rPr>
                <w:rFonts w:ascii="Arial" w:hAnsi="Arial" w:cs="Arial"/>
              </w:rPr>
              <w:t>Parties to exchange their Witness and Expert Witness Statements  &amp; Participants to provide their Participant Statements </w:t>
            </w:r>
          </w:p>
          <w:p w14:paraId="07B38B7E" w14:textId="07A9FC4A"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0DFB038B" w14:textId="77777777" w:rsidR="0083351E" w:rsidRPr="00AC7DB6" w:rsidRDefault="0083351E" w:rsidP="00323DB8">
            <w:pPr>
              <w:ind w:left="5"/>
              <w:jc w:val="center"/>
              <w:rPr>
                <w:rFonts w:ascii="Arial" w:hAnsi="Arial" w:cs="Arial"/>
                <w:b/>
              </w:rPr>
            </w:pPr>
            <w:r w:rsidRPr="00AC7DB6">
              <w:rPr>
                <w:rFonts w:ascii="Arial" w:hAnsi="Arial" w:cs="Arial"/>
                <w:b/>
              </w:rPr>
              <w:t>Friday, June 7, 2024</w:t>
            </w:r>
          </w:p>
        </w:tc>
      </w:tr>
      <w:tr w:rsidR="0083351E" w:rsidRPr="00AC7DB6" w14:paraId="4CD7AA7F" w14:textId="77777777" w:rsidTr="00323DB8">
        <w:trPr>
          <w:trHeight w:val="207"/>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7A547581" w14:textId="77777777" w:rsidR="0083351E" w:rsidRPr="00AC7DB6" w:rsidRDefault="0083351E" w:rsidP="00323DB8">
            <w:pPr>
              <w:rPr>
                <w:rFonts w:ascii="Arial" w:hAnsi="Arial" w:cs="Arial"/>
              </w:rPr>
            </w:pPr>
            <w:r w:rsidRPr="00AC7DB6">
              <w:rPr>
                <w:rFonts w:ascii="Arial" w:hAnsi="Arial" w:cs="Arial"/>
              </w:rPr>
              <w:t>Parties to exchange their Reply Witness Statements</w:t>
            </w: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152CC3C9" w14:textId="77777777" w:rsidR="0083351E" w:rsidRPr="00AC7DB6" w:rsidRDefault="0083351E" w:rsidP="00323DB8">
            <w:pPr>
              <w:ind w:left="51"/>
              <w:jc w:val="center"/>
              <w:rPr>
                <w:rFonts w:ascii="Arial" w:hAnsi="Arial" w:cs="Arial"/>
                <w:b/>
              </w:rPr>
            </w:pPr>
            <w:r w:rsidRPr="00AC7DB6">
              <w:rPr>
                <w:rFonts w:ascii="Arial" w:hAnsi="Arial" w:cs="Arial"/>
                <w:b/>
              </w:rPr>
              <w:t>Friday, July 5, 2024</w:t>
            </w:r>
          </w:p>
          <w:p w14:paraId="715FBB7A" w14:textId="77777777" w:rsidR="0083351E" w:rsidRPr="00AC7DB6" w:rsidRDefault="0083351E" w:rsidP="00323DB8">
            <w:pPr>
              <w:ind w:left="51"/>
              <w:jc w:val="center"/>
              <w:rPr>
                <w:rFonts w:ascii="Arial" w:hAnsi="Arial" w:cs="Arial"/>
                <w:b/>
              </w:rPr>
            </w:pPr>
          </w:p>
          <w:p w14:paraId="00A81FC6" w14:textId="77777777" w:rsidR="0083351E" w:rsidRPr="00AC7DB6" w:rsidRDefault="0083351E" w:rsidP="00323DB8">
            <w:pPr>
              <w:ind w:left="51"/>
              <w:jc w:val="center"/>
              <w:rPr>
                <w:rFonts w:ascii="Arial" w:hAnsi="Arial" w:cs="Arial"/>
              </w:rPr>
            </w:pPr>
          </w:p>
        </w:tc>
      </w:tr>
      <w:tr w:rsidR="0083351E" w:rsidRPr="00AC7DB6" w14:paraId="2AB1D835" w14:textId="77777777" w:rsidTr="00323DB8">
        <w:trPr>
          <w:trHeight w:val="207"/>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08B4B37E" w14:textId="77777777" w:rsidR="0083351E" w:rsidRPr="00AC7DB6" w:rsidRDefault="0083351E" w:rsidP="00323DB8">
            <w:pPr>
              <w:rPr>
                <w:rFonts w:ascii="Arial" w:hAnsi="Arial" w:cs="Arial"/>
              </w:rPr>
            </w:pPr>
            <w:r w:rsidRPr="00AC7DB6">
              <w:rPr>
                <w:rFonts w:ascii="Arial" w:hAnsi="Arial" w:cs="Arial"/>
              </w:rPr>
              <w:t>Parties to exchange their Visual Evidence</w:t>
            </w:r>
          </w:p>
          <w:p w14:paraId="17569030" w14:textId="77777777"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6EE649BE" w14:textId="77777777" w:rsidR="0083351E" w:rsidRPr="00AC7DB6" w:rsidRDefault="0083351E" w:rsidP="00323DB8">
            <w:pPr>
              <w:ind w:left="51"/>
              <w:jc w:val="center"/>
              <w:rPr>
                <w:rFonts w:ascii="Arial" w:hAnsi="Arial" w:cs="Arial"/>
                <w:b/>
              </w:rPr>
            </w:pPr>
            <w:r w:rsidRPr="00AC7DB6">
              <w:rPr>
                <w:rFonts w:ascii="Arial" w:hAnsi="Arial" w:cs="Arial"/>
                <w:b/>
              </w:rPr>
              <w:t>Tuesday, July 16, 2024</w:t>
            </w:r>
          </w:p>
          <w:p w14:paraId="13A7E2BB" w14:textId="77777777" w:rsidR="0083351E" w:rsidRPr="00AC7DB6" w:rsidRDefault="0083351E" w:rsidP="00323DB8">
            <w:pPr>
              <w:ind w:left="51"/>
              <w:jc w:val="center"/>
              <w:rPr>
                <w:rFonts w:ascii="Arial" w:hAnsi="Arial" w:cs="Arial"/>
                <w:b/>
              </w:rPr>
            </w:pPr>
          </w:p>
        </w:tc>
      </w:tr>
      <w:tr w:rsidR="0083351E" w:rsidRPr="00AC7DB6" w14:paraId="2966FE0A" w14:textId="77777777" w:rsidTr="00323DB8">
        <w:trPr>
          <w:trHeight w:val="207"/>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03C02C8B" w14:textId="77777777" w:rsidR="0083351E" w:rsidRPr="00AC7DB6" w:rsidRDefault="0083351E" w:rsidP="00323DB8">
            <w:pPr>
              <w:rPr>
                <w:rFonts w:ascii="Arial" w:hAnsi="Arial" w:cs="Arial"/>
              </w:rPr>
            </w:pPr>
            <w:r w:rsidRPr="00AC7DB6">
              <w:rPr>
                <w:rFonts w:ascii="Arial" w:hAnsi="Arial" w:cs="Arial"/>
              </w:rPr>
              <w:t xml:space="preserve">Parties to advise Tribunal if written evidence is no longer part of their </w:t>
            </w:r>
            <w:proofErr w:type="gramStart"/>
            <w:r w:rsidRPr="00AC7DB6">
              <w:rPr>
                <w:rFonts w:ascii="Arial" w:hAnsi="Arial" w:cs="Arial"/>
              </w:rPr>
              <w:t>record</w:t>
            </w:r>
            <w:proofErr w:type="gramEnd"/>
            <w:r w:rsidRPr="00AC7DB6">
              <w:rPr>
                <w:rFonts w:ascii="Arial" w:hAnsi="Arial" w:cs="Arial"/>
              </w:rPr>
              <w:t xml:space="preserve"> </w:t>
            </w:r>
          </w:p>
          <w:p w14:paraId="7E798850" w14:textId="77777777"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176F71A1" w14:textId="77777777" w:rsidR="0083351E" w:rsidRPr="00AC7DB6" w:rsidRDefault="0083351E" w:rsidP="00323DB8">
            <w:pPr>
              <w:ind w:left="51"/>
              <w:jc w:val="center"/>
              <w:rPr>
                <w:rFonts w:ascii="Arial" w:hAnsi="Arial" w:cs="Arial"/>
                <w:b/>
              </w:rPr>
            </w:pPr>
            <w:r w:rsidRPr="00AC7DB6">
              <w:rPr>
                <w:rFonts w:ascii="Arial" w:hAnsi="Arial" w:cs="Arial"/>
                <w:b/>
              </w:rPr>
              <w:t>Friday, July 26, 2024</w:t>
            </w:r>
          </w:p>
        </w:tc>
      </w:tr>
      <w:tr w:rsidR="0083351E" w:rsidRPr="00AC7DB6" w14:paraId="06F56F44" w14:textId="77777777" w:rsidTr="00323DB8">
        <w:trPr>
          <w:trHeight w:val="207"/>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6F2C8339" w14:textId="77777777" w:rsidR="0083351E" w:rsidRPr="00AC7DB6" w:rsidRDefault="0083351E" w:rsidP="00323DB8">
            <w:pPr>
              <w:rPr>
                <w:rFonts w:ascii="Arial" w:hAnsi="Arial" w:cs="Arial"/>
              </w:rPr>
            </w:pPr>
            <w:r w:rsidRPr="00AC7DB6">
              <w:rPr>
                <w:rFonts w:ascii="Arial" w:hAnsi="Arial" w:cs="Arial"/>
              </w:rPr>
              <w:t xml:space="preserve">Preliminary Hearing Plan </w:t>
            </w:r>
            <w:proofErr w:type="gramStart"/>
            <w:r w:rsidRPr="00AC7DB6">
              <w:rPr>
                <w:rFonts w:ascii="Arial" w:hAnsi="Arial" w:cs="Arial"/>
              </w:rPr>
              <w:t>filed</w:t>
            </w:r>
            <w:proofErr w:type="gramEnd"/>
          </w:p>
          <w:p w14:paraId="19B30763" w14:textId="77777777"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042F272D" w14:textId="77777777" w:rsidR="0083351E" w:rsidRPr="00AC7DB6" w:rsidRDefault="0083351E" w:rsidP="00323DB8">
            <w:pPr>
              <w:ind w:left="51"/>
              <w:jc w:val="center"/>
              <w:rPr>
                <w:rFonts w:ascii="Arial" w:hAnsi="Arial" w:cs="Arial"/>
                <w:b/>
              </w:rPr>
            </w:pPr>
            <w:r w:rsidRPr="00AC7DB6">
              <w:rPr>
                <w:rFonts w:ascii="Arial" w:hAnsi="Arial" w:cs="Arial"/>
                <w:b/>
              </w:rPr>
              <w:t>Tuesday, July 23, 2024</w:t>
            </w:r>
          </w:p>
          <w:p w14:paraId="1FFEA465" w14:textId="77777777" w:rsidR="0083351E" w:rsidRPr="00AC7DB6" w:rsidRDefault="0083351E" w:rsidP="00323DB8">
            <w:pPr>
              <w:ind w:left="51"/>
              <w:jc w:val="center"/>
              <w:rPr>
                <w:rFonts w:ascii="Arial" w:hAnsi="Arial" w:cs="Arial"/>
                <w:b/>
              </w:rPr>
            </w:pPr>
          </w:p>
        </w:tc>
      </w:tr>
      <w:tr w:rsidR="0083351E" w:rsidRPr="00AC7DB6" w14:paraId="57EA9873" w14:textId="77777777" w:rsidTr="00323DB8">
        <w:trPr>
          <w:trHeight w:val="207"/>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10BA3C81" w14:textId="77777777" w:rsidR="0083351E" w:rsidRPr="00AC7DB6" w:rsidRDefault="0083351E" w:rsidP="00323DB8">
            <w:pPr>
              <w:rPr>
                <w:rFonts w:ascii="Arial" w:hAnsi="Arial" w:cs="Arial"/>
              </w:rPr>
            </w:pPr>
            <w:r w:rsidRPr="00AC7DB6">
              <w:rPr>
                <w:rFonts w:ascii="Arial" w:hAnsi="Arial" w:cs="Arial"/>
              </w:rPr>
              <w:t xml:space="preserve">Joint Document Book </w:t>
            </w:r>
            <w:proofErr w:type="gramStart"/>
            <w:r w:rsidRPr="00AC7DB6">
              <w:rPr>
                <w:rFonts w:ascii="Arial" w:hAnsi="Arial" w:cs="Arial"/>
              </w:rPr>
              <w:t>filed</w:t>
            </w:r>
            <w:proofErr w:type="gramEnd"/>
            <w:r w:rsidRPr="00AC7DB6">
              <w:rPr>
                <w:rFonts w:ascii="Arial" w:hAnsi="Arial" w:cs="Arial"/>
              </w:rPr>
              <w:t xml:space="preserve"> </w:t>
            </w:r>
          </w:p>
          <w:p w14:paraId="53AFC833" w14:textId="77777777"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tcPr>
          <w:p w14:paraId="19A0343B" w14:textId="77777777" w:rsidR="0083351E" w:rsidRPr="00AC7DB6" w:rsidRDefault="0083351E" w:rsidP="00323DB8">
            <w:pPr>
              <w:ind w:left="51"/>
              <w:jc w:val="center"/>
              <w:rPr>
                <w:rFonts w:ascii="Arial" w:hAnsi="Arial" w:cs="Arial"/>
                <w:b/>
              </w:rPr>
            </w:pPr>
            <w:r w:rsidRPr="00AC7DB6">
              <w:rPr>
                <w:rFonts w:ascii="Arial" w:hAnsi="Arial" w:cs="Arial"/>
                <w:b/>
              </w:rPr>
              <w:t>Friday, July 26, 2024</w:t>
            </w:r>
          </w:p>
          <w:p w14:paraId="32007DE5" w14:textId="77777777" w:rsidR="0083351E" w:rsidRPr="00AC7DB6" w:rsidRDefault="0083351E" w:rsidP="00323DB8">
            <w:pPr>
              <w:ind w:left="51"/>
              <w:jc w:val="center"/>
              <w:rPr>
                <w:rFonts w:ascii="Arial" w:hAnsi="Arial" w:cs="Arial"/>
                <w:b/>
              </w:rPr>
            </w:pPr>
          </w:p>
        </w:tc>
      </w:tr>
      <w:tr w:rsidR="0083351E" w:rsidRPr="00AC7DB6" w14:paraId="14780401" w14:textId="77777777" w:rsidTr="00323DB8">
        <w:trPr>
          <w:trHeight w:val="449"/>
        </w:trPr>
        <w:tc>
          <w:tcPr>
            <w:tcW w:w="5090"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5DE760F2" w14:textId="77777777" w:rsidR="0083351E" w:rsidRPr="00AC7DB6" w:rsidRDefault="0083351E" w:rsidP="00323DB8">
            <w:pPr>
              <w:rPr>
                <w:rFonts w:ascii="Arial" w:hAnsi="Arial" w:cs="Arial"/>
              </w:rPr>
            </w:pPr>
            <w:r w:rsidRPr="00AC7DB6">
              <w:rPr>
                <w:rFonts w:ascii="Arial" w:hAnsi="Arial" w:cs="Arial"/>
              </w:rPr>
              <w:t>OLT Hearing Commences </w:t>
            </w:r>
          </w:p>
          <w:p w14:paraId="107F16B5" w14:textId="77777777" w:rsidR="0083351E" w:rsidRPr="00AC7DB6" w:rsidRDefault="0083351E" w:rsidP="00323DB8">
            <w:pPr>
              <w:rPr>
                <w:rFonts w:ascii="Arial" w:hAnsi="Arial" w:cs="Arial"/>
              </w:rPr>
            </w:pPr>
          </w:p>
        </w:tc>
        <w:tc>
          <w:tcPr>
            <w:tcW w:w="3948" w:type="dxa"/>
            <w:tcBorders>
              <w:top w:val="single" w:sz="2" w:space="0" w:color="000000"/>
              <w:left w:val="single" w:sz="2" w:space="0" w:color="000000"/>
              <w:bottom w:val="single" w:sz="2" w:space="0" w:color="000000"/>
              <w:right w:val="single" w:sz="2" w:space="0" w:color="000000"/>
            </w:tcBorders>
            <w:tcMar>
              <w:top w:w="0" w:type="dxa"/>
              <w:left w:w="75" w:type="dxa"/>
              <w:bottom w:w="0" w:type="dxa"/>
              <w:right w:w="75" w:type="dxa"/>
            </w:tcMar>
            <w:hideMark/>
          </w:tcPr>
          <w:p w14:paraId="7696DBB7" w14:textId="77777777" w:rsidR="0083351E" w:rsidRPr="00AC7DB6" w:rsidRDefault="0083351E" w:rsidP="00323DB8">
            <w:pPr>
              <w:ind w:left="3"/>
              <w:jc w:val="center"/>
              <w:rPr>
                <w:rFonts w:ascii="Arial" w:hAnsi="Arial" w:cs="Arial"/>
                <w:b/>
              </w:rPr>
            </w:pPr>
            <w:r w:rsidRPr="00AC7DB6">
              <w:rPr>
                <w:rFonts w:ascii="Arial" w:hAnsi="Arial" w:cs="Arial"/>
                <w:b/>
              </w:rPr>
              <w:t>Tuesday, August 6, 2024</w:t>
            </w:r>
          </w:p>
        </w:tc>
      </w:tr>
    </w:tbl>
    <w:p w14:paraId="5B3E4C0A" w14:textId="77777777" w:rsidR="0083351E" w:rsidRPr="00AC7DB6" w:rsidRDefault="0083351E" w:rsidP="0083351E">
      <w:pPr>
        <w:rPr>
          <w:rFonts w:ascii="Arial" w:hAnsi="Arial" w:cs="Arial"/>
        </w:rPr>
      </w:pPr>
      <w:r w:rsidRPr="00AC7DB6">
        <w:rPr>
          <w:rFonts w:ascii="Arial" w:hAnsi="Arial" w:cs="Arial"/>
        </w:rPr>
        <w:t> </w:t>
      </w:r>
    </w:p>
    <w:p w14:paraId="39D3E2C2" w14:textId="73DD696D" w:rsidR="00E6771F" w:rsidRPr="0083351E" w:rsidRDefault="0083351E" w:rsidP="0083351E">
      <w:pPr>
        <w:spacing w:after="4199"/>
        <w:rPr>
          <w:rFonts w:ascii="Arial" w:hAnsi="Arial" w:cs="Arial"/>
        </w:rPr>
      </w:pPr>
      <w:r w:rsidRPr="00AC7DB6">
        <w:rPr>
          <w:rFonts w:ascii="Arial" w:hAnsi="Arial" w:cs="Arial"/>
        </w:rPr>
        <w:lastRenderedPageBreak/>
        <w:t> </w:t>
      </w:r>
    </w:p>
    <w:sectPr w:rsidR="00E6771F" w:rsidRPr="0083351E" w:rsidSect="00013751">
      <w:headerReference w:type="defaul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F48C" w14:textId="77777777" w:rsidR="00D25F5C" w:rsidRDefault="00D25F5C" w:rsidP="00F72078">
      <w:r>
        <w:separator/>
      </w:r>
    </w:p>
  </w:endnote>
  <w:endnote w:type="continuationSeparator" w:id="0">
    <w:p w14:paraId="4895049B" w14:textId="77777777" w:rsidR="00D25F5C" w:rsidRDefault="00D25F5C"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8034" w14:textId="77777777" w:rsidR="00D25F5C" w:rsidRDefault="00D25F5C" w:rsidP="00F72078">
      <w:r>
        <w:separator/>
      </w:r>
    </w:p>
  </w:footnote>
  <w:footnote w:type="continuationSeparator" w:id="0">
    <w:p w14:paraId="3F3CFA17" w14:textId="77777777" w:rsidR="00D25F5C" w:rsidRDefault="00D25F5C" w:rsidP="00F72078">
      <w:r>
        <w:continuationSeparator/>
      </w:r>
    </w:p>
  </w:footnote>
  <w:footnote w:id="1">
    <w:p w14:paraId="5ED20B3D" w14:textId="77777777" w:rsidR="0083351E" w:rsidRPr="00AD474D" w:rsidRDefault="0083351E" w:rsidP="0083351E">
      <w:pPr>
        <w:pStyle w:val="Default"/>
        <w:rPr>
          <w:rFonts w:ascii="Book Antiqua" w:hAnsi="Book Antiqua"/>
          <w:b/>
          <w:sz w:val="20"/>
          <w:szCs w:val="20"/>
          <w:lang w:val="en-US"/>
        </w:rPr>
      </w:pPr>
    </w:p>
    <w:p w14:paraId="3B060D2F" w14:textId="77777777" w:rsidR="0083351E" w:rsidRPr="00AD474D" w:rsidRDefault="0083351E" w:rsidP="0083351E">
      <w:pPr>
        <w:pStyle w:val="Default"/>
        <w:ind w:firstLine="720"/>
        <w:rPr>
          <w:rFonts w:ascii="Book Antiqua" w:hAnsi="Book Antiqua"/>
          <w:b/>
          <w:sz w:val="20"/>
          <w:szCs w:val="20"/>
          <w:lang w:val="en-US"/>
        </w:rPr>
      </w:pPr>
      <w:r w:rsidRPr="00AD474D">
        <w:rPr>
          <w:rFonts w:ascii="Book Antiqua" w:hAnsi="Book Antiqua"/>
          <w:b/>
          <w:sz w:val="20"/>
          <w:szCs w:val="20"/>
          <w:u w:val="single"/>
          <w:lang w:val="en-US"/>
        </w:rPr>
        <w:t>Note:</w:t>
      </w:r>
      <w:r w:rsidRPr="00AD474D">
        <w:rPr>
          <w:rFonts w:ascii="Book Antiqua" w:hAnsi="Book Antiqua"/>
          <w:b/>
          <w:sz w:val="20"/>
          <w:szCs w:val="20"/>
          <w:lang w:val="en-US"/>
        </w:rPr>
        <w:t xml:space="preserve"> The identification of an issue does not mean that all parties agree that such </w:t>
      </w:r>
    </w:p>
    <w:p w14:paraId="72349EBC" w14:textId="77777777" w:rsidR="0083351E" w:rsidRPr="00AD474D" w:rsidRDefault="0083351E" w:rsidP="0083351E">
      <w:pPr>
        <w:pStyle w:val="Default"/>
        <w:ind w:left="720"/>
        <w:rPr>
          <w:rFonts w:ascii="Book Antiqua" w:hAnsi="Book Antiqua"/>
          <w:b/>
          <w:sz w:val="20"/>
          <w:szCs w:val="20"/>
          <w:lang w:val="en-US"/>
        </w:rPr>
      </w:pPr>
      <w:r w:rsidRPr="00AD474D">
        <w:rPr>
          <w:rFonts w:ascii="Book Antiqua" w:hAnsi="Book Antiqua"/>
          <w:b/>
          <w:sz w:val="20"/>
          <w:szCs w:val="20"/>
          <w:lang w:val="en-US"/>
        </w:rPr>
        <w:t>issue, or the manner in which the issue is expressed, is appropriate or relevant to the determination of the Tribunal at the hearing. The extent to which these issues are appropriate or relevant to the determination of the Tribunal at the hearing will be a matter of evidence and argument at the hearing.</w:t>
      </w:r>
    </w:p>
    <w:p w14:paraId="67BA8A41" w14:textId="77777777" w:rsidR="0083351E" w:rsidRPr="00AD474D" w:rsidRDefault="0083351E" w:rsidP="0083351E">
      <w:pPr>
        <w:pStyle w:val="FootnoteText"/>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284923"/>
      <w:docPartObj>
        <w:docPartGallery w:val="Page Numbers (Top of Page)"/>
        <w:docPartUnique/>
      </w:docPartObj>
    </w:sdtPr>
    <w:sdtEndPr>
      <w:rPr>
        <w:rFonts w:ascii="Arial" w:hAnsi="Arial" w:cs="Arial"/>
        <w:noProof/>
      </w:rPr>
    </w:sdtEndPr>
    <w:sdtContent>
      <w:p w14:paraId="6E4D4D5C" w14:textId="10980D7C" w:rsidR="00C01EF9" w:rsidRPr="00C01EF9" w:rsidRDefault="00C01EF9">
        <w:pPr>
          <w:pStyle w:val="Header"/>
          <w:jc w:val="center"/>
          <w:rPr>
            <w:rFonts w:ascii="Arial" w:hAnsi="Arial" w:cs="Arial"/>
          </w:rPr>
        </w:pPr>
        <w:r>
          <w:ptab w:relativeTo="margin" w:alignment="center" w:leader="none"/>
        </w:r>
        <w:r w:rsidRPr="00C01EF9">
          <w:rPr>
            <w:rFonts w:ascii="Arial" w:hAnsi="Arial" w:cs="Arial"/>
          </w:rPr>
          <w:fldChar w:fldCharType="begin"/>
        </w:r>
        <w:r w:rsidRPr="00C01EF9">
          <w:rPr>
            <w:rFonts w:ascii="Arial" w:hAnsi="Arial" w:cs="Arial"/>
          </w:rPr>
          <w:instrText xml:space="preserve"> PAGE   \* MERGEFORMAT </w:instrText>
        </w:r>
        <w:r w:rsidRPr="00C01EF9">
          <w:rPr>
            <w:rFonts w:ascii="Arial" w:hAnsi="Arial" w:cs="Arial"/>
          </w:rPr>
          <w:fldChar w:fldCharType="separate"/>
        </w:r>
        <w:r w:rsidRPr="00C01EF9">
          <w:rPr>
            <w:rFonts w:ascii="Arial" w:hAnsi="Arial" w:cs="Arial"/>
            <w:noProof/>
          </w:rPr>
          <w:t>2</w:t>
        </w:r>
        <w:r w:rsidRPr="00C01EF9">
          <w:rPr>
            <w:rFonts w:ascii="Arial" w:hAnsi="Arial" w:cs="Arial"/>
            <w:noProof/>
          </w:rPr>
          <w:fldChar w:fldCharType="end"/>
        </w:r>
        <w:r>
          <w:rPr>
            <w:rFonts w:ascii="Arial" w:hAnsi="Arial" w:cs="Arial"/>
            <w:noProof/>
          </w:rPr>
          <w:t xml:space="preserve"> </w:t>
        </w:r>
        <w:r>
          <w:rPr>
            <w:rFonts w:ascii="Arial" w:hAnsi="Arial" w:cs="Arial"/>
            <w:noProof/>
          </w:rPr>
          <w:ptab w:relativeTo="margin" w:alignment="right" w:leader="none"/>
        </w:r>
        <w:r>
          <w:rPr>
            <w:rFonts w:ascii="Arial" w:hAnsi="Arial" w:cs="Arial"/>
            <w:noProof/>
          </w:rPr>
          <w:t>OLT-23-000596</w:t>
        </w:r>
      </w:p>
    </w:sdtContent>
  </w:sdt>
  <w:p w14:paraId="5EBB1F2B"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3D92"/>
    <w:multiLevelType w:val="hybridMultilevel"/>
    <w:tmpl w:val="5EAA2EB4"/>
    <w:lvl w:ilvl="0" w:tplc="626C4118">
      <w:start w:val="1"/>
      <w:numFmt w:val="decimal"/>
      <w:pStyle w:val="DecisionBody"/>
      <w:lvlText w:val="[%1]"/>
      <w:lvlJc w:val="left"/>
      <w:pPr>
        <w:ind w:left="720" w:hanging="360"/>
      </w:pPr>
      <w:rPr>
        <w:rFonts w:hint="default"/>
        <w:b w:val="0"/>
        <w:bCs/>
        <w:i w:val="0"/>
        <w:iCs w:val="0"/>
        <w:sz w:val="24"/>
        <w:szCs w:val="24"/>
      </w:rPr>
    </w:lvl>
    <w:lvl w:ilvl="1" w:tplc="10090001">
      <w:start w:val="1"/>
      <w:numFmt w:val="bullet"/>
      <w:lvlText w:val=""/>
      <w:lvlJc w:val="left"/>
      <w:pPr>
        <w:ind w:left="72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C563C9C"/>
    <w:multiLevelType w:val="multilevel"/>
    <w:tmpl w:val="F956D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61A13"/>
    <w:multiLevelType w:val="hybridMultilevel"/>
    <w:tmpl w:val="EE56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DE7AB2"/>
    <w:multiLevelType w:val="hybridMultilevel"/>
    <w:tmpl w:val="AF969C84"/>
    <w:lvl w:ilvl="0" w:tplc="FC34F568">
      <w:start w:val="1"/>
      <w:numFmt w:val="decimal"/>
      <w:lvlText w:val="%1."/>
      <w:lvlJc w:val="left"/>
      <w:pPr>
        <w:ind w:left="720" w:hanging="360"/>
      </w:pPr>
      <w:rPr>
        <w:rFonts w:ascii="Book Antiqua" w:eastAsia="Calibri" w:hAnsi="Book Antiqua"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A29FF"/>
    <w:multiLevelType w:val="hybridMultilevel"/>
    <w:tmpl w:val="3C888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511F30"/>
    <w:multiLevelType w:val="hybridMultilevel"/>
    <w:tmpl w:val="5108353C"/>
    <w:lvl w:ilvl="0" w:tplc="10090001">
      <w:start w:val="1"/>
      <w:numFmt w:val="bullet"/>
      <w:lvlText w:val=""/>
      <w:lvlJc w:val="left"/>
      <w:pPr>
        <w:ind w:left="720" w:hanging="360"/>
      </w:pPr>
      <w:rPr>
        <w:rFonts w:ascii="Symbol" w:hAnsi="Symbol" w:hint="default"/>
        <w:b w:val="0"/>
        <w:bCs/>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454015B"/>
    <w:multiLevelType w:val="multilevel"/>
    <w:tmpl w:val="3F889B2C"/>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3277DD"/>
    <w:multiLevelType w:val="hybridMultilevel"/>
    <w:tmpl w:val="44B2E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589644C8"/>
    <w:multiLevelType w:val="hybridMultilevel"/>
    <w:tmpl w:val="2548AFB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5E426787"/>
    <w:multiLevelType w:val="hybridMultilevel"/>
    <w:tmpl w:val="47B20CAE"/>
    <w:lvl w:ilvl="0" w:tplc="F4B6A900">
      <w:start w:val="1"/>
      <w:numFmt w:val="decimal"/>
      <w:lvlText w:val="%1."/>
      <w:lvlJc w:val="left"/>
      <w:pPr>
        <w:ind w:left="1440" w:hanging="360"/>
      </w:pPr>
      <w:rPr>
        <w:b w:val="0"/>
        <w:bCs/>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62011D03"/>
    <w:multiLevelType w:val="hybridMultilevel"/>
    <w:tmpl w:val="121279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65267343">
    <w:abstractNumId w:val="0"/>
  </w:num>
  <w:num w:numId="2" w16cid:durableId="1860046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398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97695">
    <w:abstractNumId w:val="1"/>
  </w:num>
  <w:num w:numId="5" w16cid:durableId="1852259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9490020">
    <w:abstractNumId w:val="8"/>
  </w:num>
  <w:num w:numId="7" w16cid:durableId="744835517">
    <w:abstractNumId w:val="5"/>
  </w:num>
  <w:num w:numId="8" w16cid:durableId="1686322922">
    <w:abstractNumId w:val="9"/>
  </w:num>
  <w:num w:numId="9" w16cid:durableId="35889274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816826">
    <w:abstractNumId w:val="10"/>
  </w:num>
  <w:num w:numId="11" w16cid:durableId="1835417455">
    <w:abstractNumId w:val="4"/>
  </w:num>
  <w:num w:numId="12" w16cid:durableId="1202401080">
    <w:abstractNumId w:val="3"/>
  </w:num>
  <w:num w:numId="13" w16cid:durableId="944919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6F"/>
    <w:rsid w:val="00003482"/>
    <w:rsid w:val="000109C9"/>
    <w:rsid w:val="00011096"/>
    <w:rsid w:val="00011C40"/>
    <w:rsid w:val="00013751"/>
    <w:rsid w:val="000151D8"/>
    <w:rsid w:val="00016FBE"/>
    <w:rsid w:val="00017630"/>
    <w:rsid w:val="00017A37"/>
    <w:rsid w:val="00021A10"/>
    <w:rsid w:val="0002223E"/>
    <w:rsid w:val="000234B8"/>
    <w:rsid w:val="00024165"/>
    <w:rsid w:val="00024537"/>
    <w:rsid w:val="00024EBF"/>
    <w:rsid w:val="000255BC"/>
    <w:rsid w:val="00026C57"/>
    <w:rsid w:val="0002735E"/>
    <w:rsid w:val="00033321"/>
    <w:rsid w:val="00034CB9"/>
    <w:rsid w:val="0003571F"/>
    <w:rsid w:val="00036AB4"/>
    <w:rsid w:val="00040AAE"/>
    <w:rsid w:val="00042743"/>
    <w:rsid w:val="00046578"/>
    <w:rsid w:val="000469AB"/>
    <w:rsid w:val="00046F6F"/>
    <w:rsid w:val="00052B9B"/>
    <w:rsid w:val="000537D1"/>
    <w:rsid w:val="000539FD"/>
    <w:rsid w:val="00054621"/>
    <w:rsid w:val="00057191"/>
    <w:rsid w:val="00060193"/>
    <w:rsid w:val="000613DB"/>
    <w:rsid w:val="00061E6F"/>
    <w:rsid w:val="00064057"/>
    <w:rsid w:val="000655CF"/>
    <w:rsid w:val="00065B86"/>
    <w:rsid w:val="000702BA"/>
    <w:rsid w:val="000708DF"/>
    <w:rsid w:val="000714B0"/>
    <w:rsid w:val="00074765"/>
    <w:rsid w:val="00074782"/>
    <w:rsid w:val="00077C45"/>
    <w:rsid w:val="00077E05"/>
    <w:rsid w:val="0008695E"/>
    <w:rsid w:val="000910C5"/>
    <w:rsid w:val="00092889"/>
    <w:rsid w:val="0009347C"/>
    <w:rsid w:val="00097E3C"/>
    <w:rsid w:val="000A0119"/>
    <w:rsid w:val="000A03DA"/>
    <w:rsid w:val="000A178D"/>
    <w:rsid w:val="000A380C"/>
    <w:rsid w:val="000A3FEE"/>
    <w:rsid w:val="000A4F3A"/>
    <w:rsid w:val="000A6428"/>
    <w:rsid w:val="000B19E1"/>
    <w:rsid w:val="000B2869"/>
    <w:rsid w:val="000B5956"/>
    <w:rsid w:val="000B6480"/>
    <w:rsid w:val="000B7131"/>
    <w:rsid w:val="000C2E20"/>
    <w:rsid w:val="000C5F0A"/>
    <w:rsid w:val="000C77F9"/>
    <w:rsid w:val="000D0E78"/>
    <w:rsid w:val="000D14B1"/>
    <w:rsid w:val="000D5199"/>
    <w:rsid w:val="000D5272"/>
    <w:rsid w:val="000D5C2E"/>
    <w:rsid w:val="000D5C4E"/>
    <w:rsid w:val="000D643F"/>
    <w:rsid w:val="000D67B2"/>
    <w:rsid w:val="000E1242"/>
    <w:rsid w:val="000E1E61"/>
    <w:rsid w:val="000E2627"/>
    <w:rsid w:val="000E6ECA"/>
    <w:rsid w:val="000E76AF"/>
    <w:rsid w:val="000F1126"/>
    <w:rsid w:val="000F1ECB"/>
    <w:rsid w:val="000F31A5"/>
    <w:rsid w:val="000F5E44"/>
    <w:rsid w:val="000F695C"/>
    <w:rsid w:val="000F77D9"/>
    <w:rsid w:val="00100318"/>
    <w:rsid w:val="00102F40"/>
    <w:rsid w:val="001124BD"/>
    <w:rsid w:val="00117055"/>
    <w:rsid w:val="00117314"/>
    <w:rsid w:val="00120A8A"/>
    <w:rsid w:val="00121EBF"/>
    <w:rsid w:val="00122E9A"/>
    <w:rsid w:val="00122F0A"/>
    <w:rsid w:val="001233D0"/>
    <w:rsid w:val="00126EF0"/>
    <w:rsid w:val="0012783B"/>
    <w:rsid w:val="00131D0E"/>
    <w:rsid w:val="00132687"/>
    <w:rsid w:val="00132BFB"/>
    <w:rsid w:val="00132D94"/>
    <w:rsid w:val="00132EBE"/>
    <w:rsid w:val="00135373"/>
    <w:rsid w:val="001356BE"/>
    <w:rsid w:val="0014245F"/>
    <w:rsid w:val="001426AD"/>
    <w:rsid w:val="0014271A"/>
    <w:rsid w:val="001428CB"/>
    <w:rsid w:val="0014355C"/>
    <w:rsid w:val="00144B63"/>
    <w:rsid w:val="0014555A"/>
    <w:rsid w:val="0014623D"/>
    <w:rsid w:val="00147D1B"/>
    <w:rsid w:val="00151B2B"/>
    <w:rsid w:val="00154B23"/>
    <w:rsid w:val="00154FC6"/>
    <w:rsid w:val="0015557D"/>
    <w:rsid w:val="0016768B"/>
    <w:rsid w:val="00167F83"/>
    <w:rsid w:val="001703FF"/>
    <w:rsid w:val="00171929"/>
    <w:rsid w:val="0017238D"/>
    <w:rsid w:val="0017251F"/>
    <w:rsid w:val="00173C63"/>
    <w:rsid w:val="00174721"/>
    <w:rsid w:val="00174D09"/>
    <w:rsid w:val="001805E2"/>
    <w:rsid w:val="001824C0"/>
    <w:rsid w:val="001836FD"/>
    <w:rsid w:val="00185429"/>
    <w:rsid w:val="00186F39"/>
    <w:rsid w:val="00190C8F"/>
    <w:rsid w:val="00193FF8"/>
    <w:rsid w:val="001971E6"/>
    <w:rsid w:val="001A05E1"/>
    <w:rsid w:val="001A1BFC"/>
    <w:rsid w:val="001A3D92"/>
    <w:rsid w:val="001A4756"/>
    <w:rsid w:val="001A4ADE"/>
    <w:rsid w:val="001B0396"/>
    <w:rsid w:val="001B3C33"/>
    <w:rsid w:val="001B4323"/>
    <w:rsid w:val="001B57BD"/>
    <w:rsid w:val="001B5CD0"/>
    <w:rsid w:val="001B5E5E"/>
    <w:rsid w:val="001B68BF"/>
    <w:rsid w:val="001C32B5"/>
    <w:rsid w:val="001C37B4"/>
    <w:rsid w:val="001C6DCC"/>
    <w:rsid w:val="001D1CFD"/>
    <w:rsid w:val="001D2C0F"/>
    <w:rsid w:val="001D42C0"/>
    <w:rsid w:val="001D434E"/>
    <w:rsid w:val="001D4DF8"/>
    <w:rsid w:val="001D7A64"/>
    <w:rsid w:val="001E2A97"/>
    <w:rsid w:val="001E2CA2"/>
    <w:rsid w:val="001F0716"/>
    <w:rsid w:val="001F129E"/>
    <w:rsid w:val="001F4E57"/>
    <w:rsid w:val="001F5F62"/>
    <w:rsid w:val="001F691E"/>
    <w:rsid w:val="001F70A1"/>
    <w:rsid w:val="001F737B"/>
    <w:rsid w:val="0020002C"/>
    <w:rsid w:val="0020171D"/>
    <w:rsid w:val="00203212"/>
    <w:rsid w:val="00203E80"/>
    <w:rsid w:val="002052AC"/>
    <w:rsid w:val="00207253"/>
    <w:rsid w:val="0021058D"/>
    <w:rsid w:val="00211A3A"/>
    <w:rsid w:val="0021570D"/>
    <w:rsid w:val="00216247"/>
    <w:rsid w:val="00216594"/>
    <w:rsid w:val="00216FD8"/>
    <w:rsid w:val="0021712D"/>
    <w:rsid w:val="00217DC5"/>
    <w:rsid w:val="00220832"/>
    <w:rsid w:val="00221EE0"/>
    <w:rsid w:val="00224249"/>
    <w:rsid w:val="00224DD5"/>
    <w:rsid w:val="00225BE4"/>
    <w:rsid w:val="002352AC"/>
    <w:rsid w:val="0023685A"/>
    <w:rsid w:val="002404BF"/>
    <w:rsid w:val="00241EE9"/>
    <w:rsid w:val="00241F44"/>
    <w:rsid w:val="002467CE"/>
    <w:rsid w:val="00246976"/>
    <w:rsid w:val="0025152A"/>
    <w:rsid w:val="00253012"/>
    <w:rsid w:val="00253800"/>
    <w:rsid w:val="002618C0"/>
    <w:rsid w:val="00262080"/>
    <w:rsid w:val="0026600D"/>
    <w:rsid w:val="00267015"/>
    <w:rsid w:val="00270135"/>
    <w:rsid w:val="0027310C"/>
    <w:rsid w:val="0027549B"/>
    <w:rsid w:val="0027554F"/>
    <w:rsid w:val="00277114"/>
    <w:rsid w:val="002775EE"/>
    <w:rsid w:val="002818FE"/>
    <w:rsid w:val="0028262A"/>
    <w:rsid w:val="00284199"/>
    <w:rsid w:val="002852D0"/>
    <w:rsid w:val="00285613"/>
    <w:rsid w:val="00287691"/>
    <w:rsid w:val="00287C50"/>
    <w:rsid w:val="00295A33"/>
    <w:rsid w:val="00295E89"/>
    <w:rsid w:val="00296149"/>
    <w:rsid w:val="002A0621"/>
    <w:rsid w:val="002A0A31"/>
    <w:rsid w:val="002A0D4D"/>
    <w:rsid w:val="002A47AD"/>
    <w:rsid w:val="002A543B"/>
    <w:rsid w:val="002B09DE"/>
    <w:rsid w:val="002B2031"/>
    <w:rsid w:val="002B3507"/>
    <w:rsid w:val="002B3C69"/>
    <w:rsid w:val="002C008F"/>
    <w:rsid w:val="002C04D7"/>
    <w:rsid w:val="002C0C14"/>
    <w:rsid w:val="002C1EDF"/>
    <w:rsid w:val="002C23FD"/>
    <w:rsid w:val="002C303A"/>
    <w:rsid w:val="002C57D4"/>
    <w:rsid w:val="002D4671"/>
    <w:rsid w:val="002D5166"/>
    <w:rsid w:val="002E0F81"/>
    <w:rsid w:val="002E13E0"/>
    <w:rsid w:val="002E1AAB"/>
    <w:rsid w:val="002E1B4C"/>
    <w:rsid w:val="002E611C"/>
    <w:rsid w:val="002E6973"/>
    <w:rsid w:val="002E6CCA"/>
    <w:rsid w:val="002E6FF6"/>
    <w:rsid w:val="002F07D1"/>
    <w:rsid w:val="002F10BE"/>
    <w:rsid w:val="002F3EA6"/>
    <w:rsid w:val="002F5C97"/>
    <w:rsid w:val="00300AF2"/>
    <w:rsid w:val="00301B43"/>
    <w:rsid w:val="00302152"/>
    <w:rsid w:val="00302D7D"/>
    <w:rsid w:val="00305871"/>
    <w:rsid w:val="003062D3"/>
    <w:rsid w:val="00306320"/>
    <w:rsid w:val="0030658B"/>
    <w:rsid w:val="00307646"/>
    <w:rsid w:val="003161F5"/>
    <w:rsid w:val="00317462"/>
    <w:rsid w:val="00317F1F"/>
    <w:rsid w:val="003217EA"/>
    <w:rsid w:val="00321CAB"/>
    <w:rsid w:val="0032201B"/>
    <w:rsid w:val="0032629A"/>
    <w:rsid w:val="0032712F"/>
    <w:rsid w:val="003309AF"/>
    <w:rsid w:val="00331E5F"/>
    <w:rsid w:val="003349B2"/>
    <w:rsid w:val="0033536E"/>
    <w:rsid w:val="00335E6B"/>
    <w:rsid w:val="00336145"/>
    <w:rsid w:val="003418C1"/>
    <w:rsid w:val="00345084"/>
    <w:rsid w:val="00346F55"/>
    <w:rsid w:val="003520CA"/>
    <w:rsid w:val="003575D9"/>
    <w:rsid w:val="00361A41"/>
    <w:rsid w:val="0036413B"/>
    <w:rsid w:val="00364AF9"/>
    <w:rsid w:val="00365E05"/>
    <w:rsid w:val="003664FE"/>
    <w:rsid w:val="00367212"/>
    <w:rsid w:val="00370F45"/>
    <w:rsid w:val="00371B75"/>
    <w:rsid w:val="003731BD"/>
    <w:rsid w:val="00373525"/>
    <w:rsid w:val="00383628"/>
    <w:rsid w:val="00383AE5"/>
    <w:rsid w:val="00383BDA"/>
    <w:rsid w:val="00386C9D"/>
    <w:rsid w:val="003904CD"/>
    <w:rsid w:val="00390719"/>
    <w:rsid w:val="003919AE"/>
    <w:rsid w:val="00392169"/>
    <w:rsid w:val="00392555"/>
    <w:rsid w:val="00397F1A"/>
    <w:rsid w:val="003A18EF"/>
    <w:rsid w:val="003A2DB3"/>
    <w:rsid w:val="003A33E9"/>
    <w:rsid w:val="003A40EA"/>
    <w:rsid w:val="003A7D7C"/>
    <w:rsid w:val="003B0A5F"/>
    <w:rsid w:val="003B50D0"/>
    <w:rsid w:val="003B74BD"/>
    <w:rsid w:val="003C3ACD"/>
    <w:rsid w:val="003C50A7"/>
    <w:rsid w:val="003C5E84"/>
    <w:rsid w:val="003C6A14"/>
    <w:rsid w:val="003C728A"/>
    <w:rsid w:val="003C7AEF"/>
    <w:rsid w:val="003D0853"/>
    <w:rsid w:val="003D4A1F"/>
    <w:rsid w:val="003D4EFD"/>
    <w:rsid w:val="003D705F"/>
    <w:rsid w:val="003E090E"/>
    <w:rsid w:val="003E11DD"/>
    <w:rsid w:val="003E20B6"/>
    <w:rsid w:val="003E2518"/>
    <w:rsid w:val="003E530E"/>
    <w:rsid w:val="003E5CA5"/>
    <w:rsid w:val="003F1829"/>
    <w:rsid w:val="003F1BA2"/>
    <w:rsid w:val="003F2BAD"/>
    <w:rsid w:val="003F2C86"/>
    <w:rsid w:val="003F781D"/>
    <w:rsid w:val="00400386"/>
    <w:rsid w:val="0040103F"/>
    <w:rsid w:val="004024AF"/>
    <w:rsid w:val="0040497C"/>
    <w:rsid w:val="00404C1A"/>
    <w:rsid w:val="00405C58"/>
    <w:rsid w:val="00405EF9"/>
    <w:rsid w:val="004067C2"/>
    <w:rsid w:val="00407748"/>
    <w:rsid w:val="004077F4"/>
    <w:rsid w:val="0041182B"/>
    <w:rsid w:val="004154B2"/>
    <w:rsid w:val="00417C4A"/>
    <w:rsid w:val="004208C7"/>
    <w:rsid w:val="0042305C"/>
    <w:rsid w:val="0042713E"/>
    <w:rsid w:val="00432AD4"/>
    <w:rsid w:val="0043545B"/>
    <w:rsid w:val="00435493"/>
    <w:rsid w:val="00435CB4"/>
    <w:rsid w:val="00443C12"/>
    <w:rsid w:val="00444266"/>
    <w:rsid w:val="00444DA3"/>
    <w:rsid w:val="00446136"/>
    <w:rsid w:val="00446BB4"/>
    <w:rsid w:val="004477EC"/>
    <w:rsid w:val="00456543"/>
    <w:rsid w:val="00457298"/>
    <w:rsid w:val="00460909"/>
    <w:rsid w:val="00461581"/>
    <w:rsid w:val="00461C79"/>
    <w:rsid w:val="00467455"/>
    <w:rsid w:val="004727AB"/>
    <w:rsid w:val="004823EC"/>
    <w:rsid w:val="0048282E"/>
    <w:rsid w:val="004863FA"/>
    <w:rsid w:val="004864A5"/>
    <w:rsid w:val="0048671A"/>
    <w:rsid w:val="00487378"/>
    <w:rsid w:val="004949A8"/>
    <w:rsid w:val="004953F2"/>
    <w:rsid w:val="00496A27"/>
    <w:rsid w:val="004A0218"/>
    <w:rsid w:val="004A0DB5"/>
    <w:rsid w:val="004A2238"/>
    <w:rsid w:val="004A310A"/>
    <w:rsid w:val="004A392D"/>
    <w:rsid w:val="004A5F37"/>
    <w:rsid w:val="004B0EC5"/>
    <w:rsid w:val="004B23F2"/>
    <w:rsid w:val="004B347D"/>
    <w:rsid w:val="004B4E3F"/>
    <w:rsid w:val="004B5060"/>
    <w:rsid w:val="004B538A"/>
    <w:rsid w:val="004B5A8C"/>
    <w:rsid w:val="004B5AB2"/>
    <w:rsid w:val="004B61C5"/>
    <w:rsid w:val="004B69F7"/>
    <w:rsid w:val="004C1986"/>
    <w:rsid w:val="004C2650"/>
    <w:rsid w:val="004C3F6C"/>
    <w:rsid w:val="004C4E59"/>
    <w:rsid w:val="004C55F7"/>
    <w:rsid w:val="004C597F"/>
    <w:rsid w:val="004C5C5B"/>
    <w:rsid w:val="004C5DC5"/>
    <w:rsid w:val="004C71B2"/>
    <w:rsid w:val="004D60C1"/>
    <w:rsid w:val="004E0304"/>
    <w:rsid w:val="004E17AF"/>
    <w:rsid w:val="004E33D0"/>
    <w:rsid w:val="004E358E"/>
    <w:rsid w:val="004E3778"/>
    <w:rsid w:val="004E4C6D"/>
    <w:rsid w:val="004E5620"/>
    <w:rsid w:val="004E61CD"/>
    <w:rsid w:val="004E72F7"/>
    <w:rsid w:val="004F0939"/>
    <w:rsid w:val="004F140A"/>
    <w:rsid w:val="004F1B03"/>
    <w:rsid w:val="004F20C3"/>
    <w:rsid w:val="004F358D"/>
    <w:rsid w:val="004F3799"/>
    <w:rsid w:val="004F4013"/>
    <w:rsid w:val="005013CE"/>
    <w:rsid w:val="0050248B"/>
    <w:rsid w:val="005042B0"/>
    <w:rsid w:val="005062E4"/>
    <w:rsid w:val="005132A1"/>
    <w:rsid w:val="00513615"/>
    <w:rsid w:val="005156E0"/>
    <w:rsid w:val="00515B14"/>
    <w:rsid w:val="00520A9D"/>
    <w:rsid w:val="00523F1C"/>
    <w:rsid w:val="00524BE1"/>
    <w:rsid w:val="00530969"/>
    <w:rsid w:val="005332E5"/>
    <w:rsid w:val="00533AFF"/>
    <w:rsid w:val="00541A24"/>
    <w:rsid w:val="00542A34"/>
    <w:rsid w:val="00544017"/>
    <w:rsid w:val="005457C5"/>
    <w:rsid w:val="00545B28"/>
    <w:rsid w:val="00546A41"/>
    <w:rsid w:val="00547381"/>
    <w:rsid w:val="005518C1"/>
    <w:rsid w:val="005544A7"/>
    <w:rsid w:val="00556248"/>
    <w:rsid w:val="00556339"/>
    <w:rsid w:val="00557471"/>
    <w:rsid w:val="00557E4F"/>
    <w:rsid w:val="0056042F"/>
    <w:rsid w:val="0056186F"/>
    <w:rsid w:val="00562F3C"/>
    <w:rsid w:val="0056503B"/>
    <w:rsid w:val="00566AD1"/>
    <w:rsid w:val="005726FC"/>
    <w:rsid w:val="00572A47"/>
    <w:rsid w:val="00572EAB"/>
    <w:rsid w:val="005751D4"/>
    <w:rsid w:val="0057735C"/>
    <w:rsid w:val="00582ACE"/>
    <w:rsid w:val="00582B0E"/>
    <w:rsid w:val="00584585"/>
    <w:rsid w:val="005847AC"/>
    <w:rsid w:val="00585311"/>
    <w:rsid w:val="0058758F"/>
    <w:rsid w:val="00587EA0"/>
    <w:rsid w:val="00590D4A"/>
    <w:rsid w:val="00593C2B"/>
    <w:rsid w:val="00595E31"/>
    <w:rsid w:val="00596398"/>
    <w:rsid w:val="00596487"/>
    <w:rsid w:val="00596E98"/>
    <w:rsid w:val="005970A5"/>
    <w:rsid w:val="005A0B1E"/>
    <w:rsid w:val="005A1849"/>
    <w:rsid w:val="005A3100"/>
    <w:rsid w:val="005B07D5"/>
    <w:rsid w:val="005B123A"/>
    <w:rsid w:val="005B1A44"/>
    <w:rsid w:val="005B2EE8"/>
    <w:rsid w:val="005B3378"/>
    <w:rsid w:val="005B563B"/>
    <w:rsid w:val="005B5DE9"/>
    <w:rsid w:val="005B7946"/>
    <w:rsid w:val="005C00C0"/>
    <w:rsid w:val="005C5CFE"/>
    <w:rsid w:val="005C6A6E"/>
    <w:rsid w:val="005C7576"/>
    <w:rsid w:val="005D0E20"/>
    <w:rsid w:val="005D153F"/>
    <w:rsid w:val="005D4A54"/>
    <w:rsid w:val="005D576A"/>
    <w:rsid w:val="005E1612"/>
    <w:rsid w:val="005E2A70"/>
    <w:rsid w:val="005E2C9A"/>
    <w:rsid w:val="005E36B8"/>
    <w:rsid w:val="005E78B0"/>
    <w:rsid w:val="005F0E9B"/>
    <w:rsid w:val="005F11C6"/>
    <w:rsid w:val="005F39A8"/>
    <w:rsid w:val="005F417E"/>
    <w:rsid w:val="00600222"/>
    <w:rsid w:val="00605624"/>
    <w:rsid w:val="00605B75"/>
    <w:rsid w:val="00606391"/>
    <w:rsid w:val="00611545"/>
    <w:rsid w:val="0061309E"/>
    <w:rsid w:val="006134F0"/>
    <w:rsid w:val="00613884"/>
    <w:rsid w:val="00614284"/>
    <w:rsid w:val="00614CD5"/>
    <w:rsid w:val="00620414"/>
    <w:rsid w:val="00620AD0"/>
    <w:rsid w:val="00621C80"/>
    <w:rsid w:val="00621D48"/>
    <w:rsid w:val="0062273A"/>
    <w:rsid w:val="00624B02"/>
    <w:rsid w:val="00624D63"/>
    <w:rsid w:val="0062594A"/>
    <w:rsid w:val="00626E43"/>
    <w:rsid w:val="0063198C"/>
    <w:rsid w:val="006332E8"/>
    <w:rsid w:val="006337B6"/>
    <w:rsid w:val="00633D48"/>
    <w:rsid w:val="0064104C"/>
    <w:rsid w:val="00643C3E"/>
    <w:rsid w:val="00644DFF"/>
    <w:rsid w:val="006459CF"/>
    <w:rsid w:val="00646E82"/>
    <w:rsid w:val="00647857"/>
    <w:rsid w:val="00647EDB"/>
    <w:rsid w:val="0065001C"/>
    <w:rsid w:val="00650CF3"/>
    <w:rsid w:val="00652398"/>
    <w:rsid w:val="006529CF"/>
    <w:rsid w:val="00655012"/>
    <w:rsid w:val="006566B7"/>
    <w:rsid w:val="00660346"/>
    <w:rsid w:val="006605D3"/>
    <w:rsid w:val="00665825"/>
    <w:rsid w:val="00665C81"/>
    <w:rsid w:val="00672528"/>
    <w:rsid w:val="00674A24"/>
    <w:rsid w:val="00675C13"/>
    <w:rsid w:val="0068169C"/>
    <w:rsid w:val="006828DE"/>
    <w:rsid w:val="00683D99"/>
    <w:rsid w:val="0068580E"/>
    <w:rsid w:val="00690C60"/>
    <w:rsid w:val="00691625"/>
    <w:rsid w:val="00694F32"/>
    <w:rsid w:val="0069535B"/>
    <w:rsid w:val="00695E04"/>
    <w:rsid w:val="006A07EA"/>
    <w:rsid w:val="006A2F24"/>
    <w:rsid w:val="006A37CD"/>
    <w:rsid w:val="006A3B5D"/>
    <w:rsid w:val="006A7415"/>
    <w:rsid w:val="006B073C"/>
    <w:rsid w:val="006B08DD"/>
    <w:rsid w:val="006B0F15"/>
    <w:rsid w:val="006B1103"/>
    <w:rsid w:val="006B1BE8"/>
    <w:rsid w:val="006B2ECA"/>
    <w:rsid w:val="006B4EF3"/>
    <w:rsid w:val="006C1370"/>
    <w:rsid w:val="006C6DF4"/>
    <w:rsid w:val="006C7751"/>
    <w:rsid w:val="006C7DAF"/>
    <w:rsid w:val="006D3DE2"/>
    <w:rsid w:val="006D51C0"/>
    <w:rsid w:val="006D58A8"/>
    <w:rsid w:val="006D64CC"/>
    <w:rsid w:val="006D682E"/>
    <w:rsid w:val="006D72AA"/>
    <w:rsid w:val="006E067E"/>
    <w:rsid w:val="006E08C5"/>
    <w:rsid w:val="006E21C2"/>
    <w:rsid w:val="006E6ACF"/>
    <w:rsid w:val="006F1418"/>
    <w:rsid w:val="006F19B9"/>
    <w:rsid w:val="006F51FC"/>
    <w:rsid w:val="006F7378"/>
    <w:rsid w:val="007007FB"/>
    <w:rsid w:val="0070177C"/>
    <w:rsid w:val="00701A47"/>
    <w:rsid w:val="00701F6D"/>
    <w:rsid w:val="00703692"/>
    <w:rsid w:val="00706D18"/>
    <w:rsid w:val="00710D7B"/>
    <w:rsid w:val="00711910"/>
    <w:rsid w:val="00712C17"/>
    <w:rsid w:val="00712C54"/>
    <w:rsid w:val="00713BDD"/>
    <w:rsid w:val="0071690D"/>
    <w:rsid w:val="00717CF4"/>
    <w:rsid w:val="00722ABE"/>
    <w:rsid w:val="007230A5"/>
    <w:rsid w:val="007234A5"/>
    <w:rsid w:val="0072649A"/>
    <w:rsid w:val="007268D9"/>
    <w:rsid w:val="00726F45"/>
    <w:rsid w:val="007318DB"/>
    <w:rsid w:val="00732092"/>
    <w:rsid w:val="007323CE"/>
    <w:rsid w:val="00734FD7"/>
    <w:rsid w:val="0073542B"/>
    <w:rsid w:val="007362A0"/>
    <w:rsid w:val="0074252A"/>
    <w:rsid w:val="0074353A"/>
    <w:rsid w:val="0074592D"/>
    <w:rsid w:val="007466B6"/>
    <w:rsid w:val="007467D1"/>
    <w:rsid w:val="00753443"/>
    <w:rsid w:val="00757513"/>
    <w:rsid w:val="00760C0A"/>
    <w:rsid w:val="007620E9"/>
    <w:rsid w:val="0076320E"/>
    <w:rsid w:val="0076612B"/>
    <w:rsid w:val="0076684F"/>
    <w:rsid w:val="00767151"/>
    <w:rsid w:val="0076756A"/>
    <w:rsid w:val="007676B2"/>
    <w:rsid w:val="007707B1"/>
    <w:rsid w:val="00774C61"/>
    <w:rsid w:val="00774D7A"/>
    <w:rsid w:val="00775541"/>
    <w:rsid w:val="007762EC"/>
    <w:rsid w:val="007769FD"/>
    <w:rsid w:val="007775C1"/>
    <w:rsid w:val="00780338"/>
    <w:rsid w:val="007803B1"/>
    <w:rsid w:val="00782655"/>
    <w:rsid w:val="0078449A"/>
    <w:rsid w:val="00785DE8"/>
    <w:rsid w:val="00786973"/>
    <w:rsid w:val="007870FC"/>
    <w:rsid w:val="00791404"/>
    <w:rsid w:val="00792E2F"/>
    <w:rsid w:val="007941D7"/>
    <w:rsid w:val="0079448B"/>
    <w:rsid w:val="00794C32"/>
    <w:rsid w:val="00794C51"/>
    <w:rsid w:val="00794D64"/>
    <w:rsid w:val="00796597"/>
    <w:rsid w:val="007A0B68"/>
    <w:rsid w:val="007A1494"/>
    <w:rsid w:val="007A34E9"/>
    <w:rsid w:val="007A3BEA"/>
    <w:rsid w:val="007A3D97"/>
    <w:rsid w:val="007A66D2"/>
    <w:rsid w:val="007A69A3"/>
    <w:rsid w:val="007A6D89"/>
    <w:rsid w:val="007A7352"/>
    <w:rsid w:val="007B1021"/>
    <w:rsid w:val="007B1291"/>
    <w:rsid w:val="007B305E"/>
    <w:rsid w:val="007B42BE"/>
    <w:rsid w:val="007B4396"/>
    <w:rsid w:val="007C003C"/>
    <w:rsid w:val="007C2926"/>
    <w:rsid w:val="007C356B"/>
    <w:rsid w:val="007C531F"/>
    <w:rsid w:val="007C6159"/>
    <w:rsid w:val="007C6A25"/>
    <w:rsid w:val="007D152B"/>
    <w:rsid w:val="007D19EA"/>
    <w:rsid w:val="007D1B6F"/>
    <w:rsid w:val="007D1E83"/>
    <w:rsid w:val="007D5B94"/>
    <w:rsid w:val="007D68FC"/>
    <w:rsid w:val="007D6DDD"/>
    <w:rsid w:val="007E0C33"/>
    <w:rsid w:val="007E22BC"/>
    <w:rsid w:val="007E251A"/>
    <w:rsid w:val="007E39E9"/>
    <w:rsid w:val="007E679F"/>
    <w:rsid w:val="007F4ED3"/>
    <w:rsid w:val="007F5A87"/>
    <w:rsid w:val="007F6ECC"/>
    <w:rsid w:val="007F72C6"/>
    <w:rsid w:val="00803F7F"/>
    <w:rsid w:val="0080655C"/>
    <w:rsid w:val="00810C05"/>
    <w:rsid w:val="00811394"/>
    <w:rsid w:val="008115E8"/>
    <w:rsid w:val="0081213A"/>
    <w:rsid w:val="00814400"/>
    <w:rsid w:val="00815430"/>
    <w:rsid w:val="00816913"/>
    <w:rsid w:val="0082103E"/>
    <w:rsid w:val="00821C9C"/>
    <w:rsid w:val="00821D7C"/>
    <w:rsid w:val="00824590"/>
    <w:rsid w:val="00824603"/>
    <w:rsid w:val="008252B5"/>
    <w:rsid w:val="00826387"/>
    <w:rsid w:val="00830CD5"/>
    <w:rsid w:val="0083351E"/>
    <w:rsid w:val="00833A23"/>
    <w:rsid w:val="00840A49"/>
    <w:rsid w:val="00840F58"/>
    <w:rsid w:val="00845C12"/>
    <w:rsid w:val="00846364"/>
    <w:rsid w:val="008468C5"/>
    <w:rsid w:val="008505B4"/>
    <w:rsid w:val="0085157C"/>
    <w:rsid w:val="00851B7F"/>
    <w:rsid w:val="008532A0"/>
    <w:rsid w:val="0085427B"/>
    <w:rsid w:val="0085458B"/>
    <w:rsid w:val="008555C9"/>
    <w:rsid w:val="008556EA"/>
    <w:rsid w:val="008605D3"/>
    <w:rsid w:val="00863B38"/>
    <w:rsid w:val="00866368"/>
    <w:rsid w:val="00866E24"/>
    <w:rsid w:val="00870931"/>
    <w:rsid w:val="0087100B"/>
    <w:rsid w:val="0087137A"/>
    <w:rsid w:val="0087402C"/>
    <w:rsid w:val="00874281"/>
    <w:rsid w:val="008743D6"/>
    <w:rsid w:val="00874C5F"/>
    <w:rsid w:val="008751E3"/>
    <w:rsid w:val="00876F9F"/>
    <w:rsid w:val="00881C9A"/>
    <w:rsid w:val="00890064"/>
    <w:rsid w:val="00892874"/>
    <w:rsid w:val="00892DC9"/>
    <w:rsid w:val="008938BA"/>
    <w:rsid w:val="008941CB"/>
    <w:rsid w:val="00896DB9"/>
    <w:rsid w:val="008A20A1"/>
    <w:rsid w:val="008A250A"/>
    <w:rsid w:val="008A2683"/>
    <w:rsid w:val="008A7053"/>
    <w:rsid w:val="008A792C"/>
    <w:rsid w:val="008B1851"/>
    <w:rsid w:val="008B5FB0"/>
    <w:rsid w:val="008B6C6A"/>
    <w:rsid w:val="008C08AF"/>
    <w:rsid w:val="008C11D5"/>
    <w:rsid w:val="008C348A"/>
    <w:rsid w:val="008C687B"/>
    <w:rsid w:val="008C7E58"/>
    <w:rsid w:val="008D5C15"/>
    <w:rsid w:val="008D5C52"/>
    <w:rsid w:val="008D77C3"/>
    <w:rsid w:val="008D77D9"/>
    <w:rsid w:val="008E1A35"/>
    <w:rsid w:val="008E456B"/>
    <w:rsid w:val="008E6667"/>
    <w:rsid w:val="008F05FE"/>
    <w:rsid w:val="008F0F5D"/>
    <w:rsid w:val="008F36A5"/>
    <w:rsid w:val="008F493D"/>
    <w:rsid w:val="008F4DD8"/>
    <w:rsid w:val="008F5EFF"/>
    <w:rsid w:val="009016D5"/>
    <w:rsid w:val="00901BC6"/>
    <w:rsid w:val="00904E10"/>
    <w:rsid w:val="00905B49"/>
    <w:rsid w:val="00907F33"/>
    <w:rsid w:val="00912431"/>
    <w:rsid w:val="00912FAA"/>
    <w:rsid w:val="00916769"/>
    <w:rsid w:val="009205B1"/>
    <w:rsid w:val="00922E73"/>
    <w:rsid w:val="00925CEB"/>
    <w:rsid w:val="009266DC"/>
    <w:rsid w:val="00931E46"/>
    <w:rsid w:val="0093259D"/>
    <w:rsid w:val="0093393F"/>
    <w:rsid w:val="00934399"/>
    <w:rsid w:val="00935184"/>
    <w:rsid w:val="009354B6"/>
    <w:rsid w:val="009360B4"/>
    <w:rsid w:val="00942B4D"/>
    <w:rsid w:val="00946D04"/>
    <w:rsid w:val="00950651"/>
    <w:rsid w:val="0095145F"/>
    <w:rsid w:val="00952628"/>
    <w:rsid w:val="00953B23"/>
    <w:rsid w:val="0095673A"/>
    <w:rsid w:val="00957046"/>
    <w:rsid w:val="00957783"/>
    <w:rsid w:val="00961F1A"/>
    <w:rsid w:val="00965D0B"/>
    <w:rsid w:val="0096737A"/>
    <w:rsid w:val="0096789C"/>
    <w:rsid w:val="0097042A"/>
    <w:rsid w:val="009730A2"/>
    <w:rsid w:val="009766FD"/>
    <w:rsid w:val="00980ACD"/>
    <w:rsid w:val="00983566"/>
    <w:rsid w:val="00985418"/>
    <w:rsid w:val="0098570F"/>
    <w:rsid w:val="009858AD"/>
    <w:rsid w:val="00991C97"/>
    <w:rsid w:val="00991FD2"/>
    <w:rsid w:val="00992214"/>
    <w:rsid w:val="009926CA"/>
    <w:rsid w:val="00993B29"/>
    <w:rsid w:val="0099593D"/>
    <w:rsid w:val="0099797B"/>
    <w:rsid w:val="00997CFC"/>
    <w:rsid w:val="009A067D"/>
    <w:rsid w:val="009A0BB0"/>
    <w:rsid w:val="009A25A7"/>
    <w:rsid w:val="009A3926"/>
    <w:rsid w:val="009A50CF"/>
    <w:rsid w:val="009B1D63"/>
    <w:rsid w:val="009B1F4C"/>
    <w:rsid w:val="009B2F86"/>
    <w:rsid w:val="009B4C0F"/>
    <w:rsid w:val="009B4CF1"/>
    <w:rsid w:val="009B65DE"/>
    <w:rsid w:val="009B76FC"/>
    <w:rsid w:val="009C4993"/>
    <w:rsid w:val="009C4FF9"/>
    <w:rsid w:val="009C5D6D"/>
    <w:rsid w:val="009C660A"/>
    <w:rsid w:val="009E2031"/>
    <w:rsid w:val="009E2D15"/>
    <w:rsid w:val="009E33B0"/>
    <w:rsid w:val="009E789F"/>
    <w:rsid w:val="009F13D3"/>
    <w:rsid w:val="009F2EF1"/>
    <w:rsid w:val="009F65EF"/>
    <w:rsid w:val="009F7020"/>
    <w:rsid w:val="00A0192D"/>
    <w:rsid w:val="00A01AFC"/>
    <w:rsid w:val="00A04887"/>
    <w:rsid w:val="00A05495"/>
    <w:rsid w:val="00A07092"/>
    <w:rsid w:val="00A12B9B"/>
    <w:rsid w:val="00A135A3"/>
    <w:rsid w:val="00A15E40"/>
    <w:rsid w:val="00A17249"/>
    <w:rsid w:val="00A20255"/>
    <w:rsid w:val="00A206E3"/>
    <w:rsid w:val="00A21715"/>
    <w:rsid w:val="00A2319F"/>
    <w:rsid w:val="00A25C36"/>
    <w:rsid w:val="00A3105A"/>
    <w:rsid w:val="00A3490A"/>
    <w:rsid w:val="00A34B42"/>
    <w:rsid w:val="00A34BE3"/>
    <w:rsid w:val="00A36B3D"/>
    <w:rsid w:val="00A36F5B"/>
    <w:rsid w:val="00A4736E"/>
    <w:rsid w:val="00A509EF"/>
    <w:rsid w:val="00A50EB4"/>
    <w:rsid w:val="00A50F7B"/>
    <w:rsid w:val="00A51702"/>
    <w:rsid w:val="00A5334D"/>
    <w:rsid w:val="00A5410B"/>
    <w:rsid w:val="00A559AE"/>
    <w:rsid w:val="00A61037"/>
    <w:rsid w:val="00A615D7"/>
    <w:rsid w:val="00A61C96"/>
    <w:rsid w:val="00A63FFB"/>
    <w:rsid w:val="00A67980"/>
    <w:rsid w:val="00A703AD"/>
    <w:rsid w:val="00A7418E"/>
    <w:rsid w:val="00A74A96"/>
    <w:rsid w:val="00A76196"/>
    <w:rsid w:val="00A76A0A"/>
    <w:rsid w:val="00A80427"/>
    <w:rsid w:val="00A81EE3"/>
    <w:rsid w:val="00A824F6"/>
    <w:rsid w:val="00A83BD9"/>
    <w:rsid w:val="00A846F1"/>
    <w:rsid w:val="00A84844"/>
    <w:rsid w:val="00A85051"/>
    <w:rsid w:val="00A862D8"/>
    <w:rsid w:val="00A87190"/>
    <w:rsid w:val="00A9075A"/>
    <w:rsid w:val="00A9147A"/>
    <w:rsid w:val="00A9296A"/>
    <w:rsid w:val="00A92A13"/>
    <w:rsid w:val="00A93EE0"/>
    <w:rsid w:val="00A9457F"/>
    <w:rsid w:val="00A963FC"/>
    <w:rsid w:val="00A974F4"/>
    <w:rsid w:val="00AA1F6D"/>
    <w:rsid w:val="00AA360A"/>
    <w:rsid w:val="00AA41D9"/>
    <w:rsid w:val="00AA46EC"/>
    <w:rsid w:val="00AA6E06"/>
    <w:rsid w:val="00AA7A9C"/>
    <w:rsid w:val="00AB21EF"/>
    <w:rsid w:val="00AB47FD"/>
    <w:rsid w:val="00AB58D0"/>
    <w:rsid w:val="00AB5D06"/>
    <w:rsid w:val="00AB5F0D"/>
    <w:rsid w:val="00AB6933"/>
    <w:rsid w:val="00AC39DF"/>
    <w:rsid w:val="00AC4EC5"/>
    <w:rsid w:val="00AC64E3"/>
    <w:rsid w:val="00AC68A7"/>
    <w:rsid w:val="00AD035E"/>
    <w:rsid w:val="00AD1E41"/>
    <w:rsid w:val="00AD5C83"/>
    <w:rsid w:val="00AD71CE"/>
    <w:rsid w:val="00AD7404"/>
    <w:rsid w:val="00AE0C7B"/>
    <w:rsid w:val="00AE168F"/>
    <w:rsid w:val="00AE3121"/>
    <w:rsid w:val="00AE45B8"/>
    <w:rsid w:val="00AE4C8C"/>
    <w:rsid w:val="00AE668C"/>
    <w:rsid w:val="00AF0001"/>
    <w:rsid w:val="00AF0109"/>
    <w:rsid w:val="00AF28A4"/>
    <w:rsid w:val="00AF32A3"/>
    <w:rsid w:val="00AF76AD"/>
    <w:rsid w:val="00B0506C"/>
    <w:rsid w:val="00B05D8D"/>
    <w:rsid w:val="00B06EAA"/>
    <w:rsid w:val="00B077A1"/>
    <w:rsid w:val="00B079D9"/>
    <w:rsid w:val="00B07C4C"/>
    <w:rsid w:val="00B10CBA"/>
    <w:rsid w:val="00B130BF"/>
    <w:rsid w:val="00B13338"/>
    <w:rsid w:val="00B142BE"/>
    <w:rsid w:val="00B15D7E"/>
    <w:rsid w:val="00B16E2F"/>
    <w:rsid w:val="00B1740A"/>
    <w:rsid w:val="00B2343A"/>
    <w:rsid w:val="00B241B1"/>
    <w:rsid w:val="00B250B5"/>
    <w:rsid w:val="00B27C4B"/>
    <w:rsid w:val="00B31A18"/>
    <w:rsid w:val="00B32C4A"/>
    <w:rsid w:val="00B3429D"/>
    <w:rsid w:val="00B41E92"/>
    <w:rsid w:val="00B423D0"/>
    <w:rsid w:val="00B44EF9"/>
    <w:rsid w:val="00B53433"/>
    <w:rsid w:val="00B55D54"/>
    <w:rsid w:val="00B56289"/>
    <w:rsid w:val="00B56294"/>
    <w:rsid w:val="00B56BC2"/>
    <w:rsid w:val="00B5705B"/>
    <w:rsid w:val="00B575F3"/>
    <w:rsid w:val="00B60E66"/>
    <w:rsid w:val="00B6108B"/>
    <w:rsid w:val="00B612B0"/>
    <w:rsid w:val="00B62A48"/>
    <w:rsid w:val="00B62B38"/>
    <w:rsid w:val="00B64E59"/>
    <w:rsid w:val="00B6716B"/>
    <w:rsid w:val="00B71332"/>
    <w:rsid w:val="00B7166C"/>
    <w:rsid w:val="00B74DF9"/>
    <w:rsid w:val="00B753CC"/>
    <w:rsid w:val="00B76C59"/>
    <w:rsid w:val="00B80689"/>
    <w:rsid w:val="00B81F52"/>
    <w:rsid w:val="00B83121"/>
    <w:rsid w:val="00B84BD0"/>
    <w:rsid w:val="00B876E2"/>
    <w:rsid w:val="00B91730"/>
    <w:rsid w:val="00B92786"/>
    <w:rsid w:val="00B93223"/>
    <w:rsid w:val="00B93825"/>
    <w:rsid w:val="00BA080B"/>
    <w:rsid w:val="00BA0CA3"/>
    <w:rsid w:val="00BA14C7"/>
    <w:rsid w:val="00BA31A6"/>
    <w:rsid w:val="00BA37D5"/>
    <w:rsid w:val="00BA5F0F"/>
    <w:rsid w:val="00BA6D9E"/>
    <w:rsid w:val="00BB163E"/>
    <w:rsid w:val="00BB2A30"/>
    <w:rsid w:val="00BB3AEF"/>
    <w:rsid w:val="00BB44AE"/>
    <w:rsid w:val="00BB5E27"/>
    <w:rsid w:val="00BB5F0C"/>
    <w:rsid w:val="00BB6E8E"/>
    <w:rsid w:val="00BC14BB"/>
    <w:rsid w:val="00BC1834"/>
    <w:rsid w:val="00BC277E"/>
    <w:rsid w:val="00BC2A29"/>
    <w:rsid w:val="00BC76DF"/>
    <w:rsid w:val="00BC79A5"/>
    <w:rsid w:val="00BD0AD5"/>
    <w:rsid w:val="00BD0DA9"/>
    <w:rsid w:val="00BD1CAA"/>
    <w:rsid w:val="00BD3D7D"/>
    <w:rsid w:val="00BD40FC"/>
    <w:rsid w:val="00BD42B9"/>
    <w:rsid w:val="00BD4A90"/>
    <w:rsid w:val="00BD5405"/>
    <w:rsid w:val="00BD6B1F"/>
    <w:rsid w:val="00BE02E4"/>
    <w:rsid w:val="00BE09BD"/>
    <w:rsid w:val="00BE5A04"/>
    <w:rsid w:val="00BE62E0"/>
    <w:rsid w:val="00BF0E5F"/>
    <w:rsid w:val="00BF1D54"/>
    <w:rsid w:val="00BF7673"/>
    <w:rsid w:val="00C016DF"/>
    <w:rsid w:val="00C01EF9"/>
    <w:rsid w:val="00C029AC"/>
    <w:rsid w:val="00C059F6"/>
    <w:rsid w:val="00C10BF3"/>
    <w:rsid w:val="00C11F12"/>
    <w:rsid w:val="00C12954"/>
    <w:rsid w:val="00C12A34"/>
    <w:rsid w:val="00C13AD9"/>
    <w:rsid w:val="00C147D6"/>
    <w:rsid w:val="00C1592D"/>
    <w:rsid w:val="00C167D2"/>
    <w:rsid w:val="00C20AD4"/>
    <w:rsid w:val="00C2190D"/>
    <w:rsid w:val="00C23067"/>
    <w:rsid w:val="00C235DF"/>
    <w:rsid w:val="00C23611"/>
    <w:rsid w:val="00C24D2F"/>
    <w:rsid w:val="00C24EDE"/>
    <w:rsid w:val="00C25935"/>
    <w:rsid w:val="00C26DB0"/>
    <w:rsid w:val="00C31800"/>
    <w:rsid w:val="00C32551"/>
    <w:rsid w:val="00C34287"/>
    <w:rsid w:val="00C342A3"/>
    <w:rsid w:val="00C34D77"/>
    <w:rsid w:val="00C35AC1"/>
    <w:rsid w:val="00C362BB"/>
    <w:rsid w:val="00C36425"/>
    <w:rsid w:val="00C40FB9"/>
    <w:rsid w:val="00C4243A"/>
    <w:rsid w:val="00C442F5"/>
    <w:rsid w:val="00C45358"/>
    <w:rsid w:val="00C45E2D"/>
    <w:rsid w:val="00C45E3B"/>
    <w:rsid w:val="00C45FF0"/>
    <w:rsid w:val="00C50311"/>
    <w:rsid w:val="00C524B5"/>
    <w:rsid w:val="00C53A5E"/>
    <w:rsid w:val="00C53C23"/>
    <w:rsid w:val="00C55807"/>
    <w:rsid w:val="00C60BE8"/>
    <w:rsid w:val="00C6401F"/>
    <w:rsid w:val="00C67BAD"/>
    <w:rsid w:val="00C72881"/>
    <w:rsid w:val="00C74131"/>
    <w:rsid w:val="00C76FE1"/>
    <w:rsid w:val="00C77831"/>
    <w:rsid w:val="00C80C18"/>
    <w:rsid w:val="00C819CC"/>
    <w:rsid w:val="00C81BE9"/>
    <w:rsid w:val="00C82224"/>
    <w:rsid w:val="00C839DB"/>
    <w:rsid w:val="00C84FE4"/>
    <w:rsid w:val="00C85911"/>
    <w:rsid w:val="00C85BE3"/>
    <w:rsid w:val="00C86D53"/>
    <w:rsid w:val="00C90EAF"/>
    <w:rsid w:val="00C93AB7"/>
    <w:rsid w:val="00C976E2"/>
    <w:rsid w:val="00C979E7"/>
    <w:rsid w:val="00CA03A0"/>
    <w:rsid w:val="00CA1166"/>
    <w:rsid w:val="00CA1DC4"/>
    <w:rsid w:val="00CA1F7B"/>
    <w:rsid w:val="00CA439E"/>
    <w:rsid w:val="00CA466B"/>
    <w:rsid w:val="00CA519B"/>
    <w:rsid w:val="00CA564C"/>
    <w:rsid w:val="00CA60F6"/>
    <w:rsid w:val="00CA67FC"/>
    <w:rsid w:val="00CA69B1"/>
    <w:rsid w:val="00CB0463"/>
    <w:rsid w:val="00CB442A"/>
    <w:rsid w:val="00CB5B64"/>
    <w:rsid w:val="00CB6E0B"/>
    <w:rsid w:val="00CC034D"/>
    <w:rsid w:val="00CC0D2A"/>
    <w:rsid w:val="00CC1EE7"/>
    <w:rsid w:val="00CC1F25"/>
    <w:rsid w:val="00CC6562"/>
    <w:rsid w:val="00CC6C95"/>
    <w:rsid w:val="00CD01E9"/>
    <w:rsid w:val="00CD040D"/>
    <w:rsid w:val="00CD184D"/>
    <w:rsid w:val="00CD3443"/>
    <w:rsid w:val="00CD4BC7"/>
    <w:rsid w:val="00CE0521"/>
    <w:rsid w:val="00CE1C5E"/>
    <w:rsid w:val="00CE2D26"/>
    <w:rsid w:val="00CE443E"/>
    <w:rsid w:val="00CF100A"/>
    <w:rsid w:val="00CF17B5"/>
    <w:rsid w:val="00CF2C3A"/>
    <w:rsid w:val="00CF2F7E"/>
    <w:rsid w:val="00CF45AD"/>
    <w:rsid w:val="00CF6548"/>
    <w:rsid w:val="00CF6B89"/>
    <w:rsid w:val="00CF702A"/>
    <w:rsid w:val="00CF7F2B"/>
    <w:rsid w:val="00D040DE"/>
    <w:rsid w:val="00D05E0A"/>
    <w:rsid w:val="00D06862"/>
    <w:rsid w:val="00D06D62"/>
    <w:rsid w:val="00D12CC8"/>
    <w:rsid w:val="00D131CD"/>
    <w:rsid w:val="00D13359"/>
    <w:rsid w:val="00D149D3"/>
    <w:rsid w:val="00D16F53"/>
    <w:rsid w:val="00D177B1"/>
    <w:rsid w:val="00D17E32"/>
    <w:rsid w:val="00D2385E"/>
    <w:rsid w:val="00D24227"/>
    <w:rsid w:val="00D24530"/>
    <w:rsid w:val="00D24CB7"/>
    <w:rsid w:val="00D25F5C"/>
    <w:rsid w:val="00D269EB"/>
    <w:rsid w:val="00D27F75"/>
    <w:rsid w:val="00D30198"/>
    <w:rsid w:val="00D30841"/>
    <w:rsid w:val="00D317AD"/>
    <w:rsid w:val="00D34730"/>
    <w:rsid w:val="00D3509D"/>
    <w:rsid w:val="00D363C4"/>
    <w:rsid w:val="00D369C8"/>
    <w:rsid w:val="00D40464"/>
    <w:rsid w:val="00D421B4"/>
    <w:rsid w:val="00D42881"/>
    <w:rsid w:val="00D43827"/>
    <w:rsid w:val="00D43B99"/>
    <w:rsid w:val="00D44636"/>
    <w:rsid w:val="00D44D7E"/>
    <w:rsid w:val="00D451C0"/>
    <w:rsid w:val="00D45ACA"/>
    <w:rsid w:val="00D46B1D"/>
    <w:rsid w:val="00D47591"/>
    <w:rsid w:val="00D50D96"/>
    <w:rsid w:val="00D51A3A"/>
    <w:rsid w:val="00D605D0"/>
    <w:rsid w:val="00D60E15"/>
    <w:rsid w:val="00D63026"/>
    <w:rsid w:val="00D63B6D"/>
    <w:rsid w:val="00D646CC"/>
    <w:rsid w:val="00D64801"/>
    <w:rsid w:val="00D670F4"/>
    <w:rsid w:val="00D74EB2"/>
    <w:rsid w:val="00D75F3C"/>
    <w:rsid w:val="00D8096B"/>
    <w:rsid w:val="00D82887"/>
    <w:rsid w:val="00D82E46"/>
    <w:rsid w:val="00D83F89"/>
    <w:rsid w:val="00D84A26"/>
    <w:rsid w:val="00D85BFA"/>
    <w:rsid w:val="00D90E6C"/>
    <w:rsid w:val="00D914A1"/>
    <w:rsid w:val="00D94BEE"/>
    <w:rsid w:val="00D961DD"/>
    <w:rsid w:val="00D97C84"/>
    <w:rsid w:val="00DA1A31"/>
    <w:rsid w:val="00DA300A"/>
    <w:rsid w:val="00DA4B9C"/>
    <w:rsid w:val="00DA6769"/>
    <w:rsid w:val="00DB058D"/>
    <w:rsid w:val="00DB0C6F"/>
    <w:rsid w:val="00DB11B6"/>
    <w:rsid w:val="00DB2F98"/>
    <w:rsid w:val="00DB4B15"/>
    <w:rsid w:val="00DB582E"/>
    <w:rsid w:val="00DB67F0"/>
    <w:rsid w:val="00DB6D2C"/>
    <w:rsid w:val="00DC19CD"/>
    <w:rsid w:val="00DC259D"/>
    <w:rsid w:val="00DC2B78"/>
    <w:rsid w:val="00DC2DD9"/>
    <w:rsid w:val="00DC3CD7"/>
    <w:rsid w:val="00DC3F0B"/>
    <w:rsid w:val="00DC5701"/>
    <w:rsid w:val="00DC72C6"/>
    <w:rsid w:val="00DC77F9"/>
    <w:rsid w:val="00DD2B07"/>
    <w:rsid w:val="00DD6C11"/>
    <w:rsid w:val="00DE085C"/>
    <w:rsid w:val="00DE1340"/>
    <w:rsid w:val="00DE4953"/>
    <w:rsid w:val="00DE6B69"/>
    <w:rsid w:val="00DE7E1D"/>
    <w:rsid w:val="00DE7FC2"/>
    <w:rsid w:val="00DF3503"/>
    <w:rsid w:val="00DF4A78"/>
    <w:rsid w:val="00DF7FB9"/>
    <w:rsid w:val="00E0078C"/>
    <w:rsid w:val="00E02A07"/>
    <w:rsid w:val="00E02C19"/>
    <w:rsid w:val="00E05AF2"/>
    <w:rsid w:val="00E067D2"/>
    <w:rsid w:val="00E07524"/>
    <w:rsid w:val="00E07995"/>
    <w:rsid w:val="00E10303"/>
    <w:rsid w:val="00E10359"/>
    <w:rsid w:val="00E1060A"/>
    <w:rsid w:val="00E10E82"/>
    <w:rsid w:val="00E14286"/>
    <w:rsid w:val="00E157D1"/>
    <w:rsid w:val="00E15DA5"/>
    <w:rsid w:val="00E1747A"/>
    <w:rsid w:val="00E208CF"/>
    <w:rsid w:val="00E2125E"/>
    <w:rsid w:val="00E224EA"/>
    <w:rsid w:val="00E2376D"/>
    <w:rsid w:val="00E2642A"/>
    <w:rsid w:val="00E267A6"/>
    <w:rsid w:val="00E26D41"/>
    <w:rsid w:val="00E3061B"/>
    <w:rsid w:val="00E309C3"/>
    <w:rsid w:val="00E30A72"/>
    <w:rsid w:val="00E314BC"/>
    <w:rsid w:val="00E31562"/>
    <w:rsid w:val="00E3215E"/>
    <w:rsid w:val="00E3348B"/>
    <w:rsid w:val="00E33F42"/>
    <w:rsid w:val="00E34244"/>
    <w:rsid w:val="00E40C12"/>
    <w:rsid w:val="00E40D69"/>
    <w:rsid w:val="00E426EF"/>
    <w:rsid w:val="00E432AB"/>
    <w:rsid w:val="00E44686"/>
    <w:rsid w:val="00E50A56"/>
    <w:rsid w:val="00E514B5"/>
    <w:rsid w:val="00E5181A"/>
    <w:rsid w:val="00E52CA2"/>
    <w:rsid w:val="00E538B1"/>
    <w:rsid w:val="00E53E28"/>
    <w:rsid w:val="00E54831"/>
    <w:rsid w:val="00E554ED"/>
    <w:rsid w:val="00E6010C"/>
    <w:rsid w:val="00E60232"/>
    <w:rsid w:val="00E612F2"/>
    <w:rsid w:val="00E62819"/>
    <w:rsid w:val="00E64D1A"/>
    <w:rsid w:val="00E663CA"/>
    <w:rsid w:val="00E6771F"/>
    <w:rsid w:val="00E72A79"/>
    <w:rsid w:val="00E75062"/>
    <w:rsid w:val="00E77AF7"/>
    <w:rsid w:val="00E823EA"/>
    <w:rsid w:val="00E8630A"/>
    <w:rsid w:val="00E878B6"/>
    <w:rsid w:val="00E878C7"/>
    <w:rsid w:val="00E960AF"/>
    <w:rsid w:val="00E97211"/>
    <w:rsid w:val="00EA2237"/>
    <w:rsid w:val="00EA5160"/>
    <w:rsid w:val="00EA6A9F"/>
    <w:rsid w:val="00EA745F"/>
    <w:rsid w:val="00EA7C2C"/>
    <w:rsid w:val="00EB0383"/>
    <w:rsid w:val="00EB258C"/>
    <w:rsid w:val="00EB392D"/>
    <w:rsid w:val="00EB4A0A"/>
    <w:rsid w:val="00EB50DF"/>
    <w:rsid w:val="00EC3A7B"/>
    <w:rsid w:val="00EC6BCD"/>
    <w:rsid w:val="00ED6213"/>
    <w:rsid w:val="00ED699E"/>
    <w:rsid w:val="00EE176A"/>
    <w:rsid w:val="00EE2FC7"/>
    <w:rsid w:val="00EE6CDE"/>
    <w:rsid w:val="00EE6DA9"/>
    <w:rsid w:val="00EF2AE5"/>
    <w:rsid w:val="00EF338D"/>
    <w:rsid w:val="00EF3E57"/>
    <w:rsid w:val="00EF406C"/>
    <w:rsid w:val="00EF5148"/>
    <w:rsid w:val="00EF707E"/>
    <w:rsid w:val="00EF726B"/>
    <w:rsid w:val="00F01428"/>
    <w:rsid w:val="00F05103"/>
    <w:rsid w:val="00F10C6A"/>
    <w:rsid w:val="00F112AA"/>
    <w:rsid w:val="00F12E39"/>
    <w:rsid w:val="00F13AB6"/>
    <w:rsid w:val="00F13ADE"/>
    <w:rsid w:val="00F13E61"/>
    <w:rsid w:val="00F15399"/>
    <w:rsid w:val="00F17121"/>
    <w:rsid w:val="00F176D1"/>
    <w:rsid w:val="00F17B57"/>
    <w:rsid w:val="00F214BC"/>
    <w:rsid w:val="00F217EA"/>
    <w:rsid w:val="00F22958"/>
    <w:rsid w:val="00F23C99"/>
    <w:rsid w:val="00F24302"/>
    <w:rsid w:val="00F24BAB"/>
    <w:rsid w:val="00F253C1"/>
    <w:rsid w:val="00F30138"/>
    <w:rsid w:val="00F30DC4"/>
    <w:rsid w:val="00F311AC"/>
    <w:rsid w:val="00F31E38"/>
    <w:rsid w:val="00F31F0D"/>
    <w:rsid w:val="00F338D8"/>
    <w:rsid w:val="00F3591A"/>
    <w:rsid w:val="00F35F0F"/>
    <w:rsid w:val="00F3710D"/>
    <w:rsid w:val="00F37198"/>
    <w:rsid w:val="00F373BD"/>
    <w:rsid w:val="00F3798B"/>
    <w:rsid w:val="00F430B8"/>
    <w:rsid w:val="00F444C0"/>
    <w:rsid w:val="00F459C2"/>
    <w:rsid w:val="00F46E19"/>
    <w:rsid w:val="00F54127"/>
    <w:rsid w:val="00F55453"/>
    <w:rsid w:val="00F564B2"/>
    <w:rsid w:val="00F61C6F"/>
    <w:rsid w:val="00F61F85"/>
    <w:rsid w:val="00F624EF"/>
    <w:rsid w:val="00F62A0A"/>
    <w:rsid w:val="00F66882"/>
    <w:rsid w:val="00F67298"/>
    <w:rsid w:val="00F719FA"/>
    <w:rsid w:val="00F72078"/>
    <w:rsid w:val="00F725C6"/>
    <w:rsid w:val="00F731A2"/>
    <w:rsid w:val="00F73E2E"/>
    <w:rsid w:val="00F74E04"/>
    <w:rsid w:val="00F75AEE"/>
    <w:rsid w:val="00F81FFD"/>
    <w:rsid w:val="00F82451"/>
    <w:rsid w:val="00F824C9"/>
    <w:rsid w:val="00F84A47"/>
    <w:rsid w:val="00F85186"/>
    <w:rsid w:val="00F85999"/>
    <w:rsid w:val="00F86D3C"/>
    <w:rsid w:val="00F87F68"/>
    <w:rsid w:val="00F91C3F"/>
    <w:rsid w:val="00F91F0A"/>
    <w:rsid w:val="00F95056"/>
    <w:rsid w:val="00F96DFF"/>
    <w:rsid w:val="00FA3848"/>
    <w:rsid w:val="00FA62D9"/>
    <w:rsid w:val="00FA62DB"/>
    <w:rsid w:val="00FA6CFF"/>
    <w:rsid w:val="00FA7C4F"/>
    <w:rsid w:val="00FB08A3"/>
    <w:rsid w:val="00FB0FF8"/>
    <w:rsid w:val="00FB11EB"/>
    <w:rsid w:val="00FB1780"/>
    <w:rsid w:val="00FB1CD7"/>
    <w:rsid w:val="00FB2325"/>
    <w:rsid w:val="00FB4FFB"/>
    <w:rsid w:val="00FB657B"/>
    <w:rsid w:val="00FC2B8B"/>
    <w:rsid w:val="00FC2F3D"/>
    <w:rsid w:val="00FC64AD"/>
    <w:rsid w:val="00FC6530"/>
    <w:rsid w:val="00FC6DA0"/>
    <w:rsid w:val="00FD0470"/>
    <w:rsid w:val="00FD35C6"/>
    <w:rsid w:val="00FD36F5"/>
    <w:rsid w:val="00FD4376"/>
    <w:rsid w:val="00FD73EC"/>
    <w:rsid w:val="00FD74B8"/>
    <w:rsid w:val="00FE0085"/>
    <w:rsid w:val="00FE0DDA"/>
    <w:rsid w:val="00FE1E1A"/>
    <w:rsid w:val="00FE363E"/>
    <w:rsid w:val="00FF1D91"/>
    <w:rsid w:val="00FF3FAA"/>
    <w:rsid w:val="00FF6716"/>
    <w:rsid w:val="00FF6C94"/>
    <w:rsid w:val="00FF75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1DE5"/>
  <w15:chartTrackingRefBased/>
  <w15:docId w15:val="{5D433A81-A086-4AE0-95DB-591A4D5A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6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customStyle="1" w:styleId="DecisionDeliveredby">
    <w:name w:val="Decision Delivered by"/>
    <w:basedOn w:val="Normal"/>
    <w:autoRedefine/>
    <w:rsid w:val="00803F7F"/>
    <w:pPr>
      <w:pBdr>
        <w:bottom w:val="single" w:sz="4" w:space="1" w:color="auto"/>
      </w:pBdr>
      <w:ind w:right="4"/>
    </w:pPr>
    <w:rPr>
      <w:rFonts w:ascii="Arial" w:hAnsi="Arial"/>
      <w:b/>
      <w:lang w:val="en-CA"/>
    </w:rPr>
  </w:style>
  <w:style w:type="paragraph" w:customStyle="1" w:styleId="DecisionBody">
    <w:name w:val="DecisionBody"/>
    <w:rsid w:val="00DB0C6F"/>
    <w:pPr>
      <w:widowControl w:val="0"/>
      <w:numPr>
        <w:numId w:val="1"/>
      </w:numPr>
      <w:spacing w:beforeLines="150" w:before="360" w:afterLines="150" w:after="360" w:line="360" w:lineRule="auto"/>
      <w:ind w:left="0" w:firstLine="0"/>
    </w:pPr>
    <w:rPr>
      <w:rFonts w:ascii="Arial" w:eastAsia="Times New Roman" w:hAnsi="Arial" w:cs="Times New Roman"/>
      <w:bCs/>
      <w:sz w:val="24"/>
      <w:szCs w:val="24"/>
    </w:rPr>
  </w:style>
  <w:style w:type="paragraph" w:customStyle="1" w:styleId="MemberSignatureNameandTitle">
    <w:name w:val="Member Signature Name and Title"/>
    <w:basedOn w:val="Normal"/>
    <w:qFormat/>
    <w:rsid w:val="00DB0C6F"/>
    <w:pPr>
      <w:keepLines/>
      <w:ind w:left="5041"/>
      <w:jc w:val="right"/>
    </w:pPr>
    <w:rPr>
      <w:rFonts w:ascii="Arial" w:hAnsi="Arial"/>
      <w:caps/>
      <w:lang w:val="en-CA"/>
    </w:rPr>
  </w:style>
  <w:style w:type="character" w:styleId="Hyperlink">
    <w:name w:val="Hyperlink"/>
    <w:rsid w:val="00DB0C6F"/>
    <w:rPr>
      <w:color w:val="0000FF"/>
      <w:u w:val="single"/>
    </w:rPr>
  </w:style>
  <w:style w:type="character" w:customStyle="1" w:styleId="solexhl">
    <w:name w:val="solexhl"/>
    <w:basedOn w:val="DefaultParagraphFont"/>
    <w:rsid w:val="00F85999"/>
  </w:style>
  <w:style w:type="character" w:styleId="UnresolvedMention">
    <w:name w:val="Unresolved Mention"/>
    <w:basedOn w:val="DefaultParagraphFont"/>
    <w:uiPriority w:val="99"/>
    <w:semiHidden/>
    <w:unhideWhenUsed/>
    <w:rsid w:val="00F338D8"/>
    <w:rPr>
      <w:color w:val="605E5C"/>
      <w:shd w:val="clear" w:color="auto" w:fill="E1DFDD"/>
    </w:rPr>
  </w:style>
  <w:style w:type="paragraph" w:styleId="NormalWeb">
    <w:name w:val="Normal (Web)"/>
    <w:basedOn w:val="Normal"/>
    <w:uiPriority w:val="99"/>
    <w:semiHidden/>
    <w:unhideWhenUsed/>
    <w:rsid w:val="004863FA"/>
    <w:pPr>
      <w:spacing w:before="100" w:beforeAutospacing="1" w:after="100" w:afterAutospacing="1"/>
    </w:pPr>
    <w:rPr>
      <w:lang w:val="en-CA" w:eastAsia="en-CA"/>
    </w:rPr>
  </w:style>
  <w:style w:type="paragraph" w:customStyle="1" w:styleId="subsection">
    <w:name w:val="subsection"/>
    <w:basedOn w:val="Normal"/>
    <w:rsid w:val="00B41E92"/>
    <w:pPr>
      <w:spacing w:before="100" w:beforeAutospacing="1" w:after="100" w:afterAutospacing="1"/>
    </w:pPr>
    <w:rPr>
      <w:lang w:val="en-CA" w:eastAsia="en-CA"/>
    </w:rPr>
  </w:style>
  <w:style w:type="paragraph" w:customStyle="1" w:styleId="paragraph">
    <w:name w:val="paragraph"/>
    <w:basedOn w:val="Normal"/>
    <w:rsid w:val="00B41E92"/>
    <w:pPr>
      <w:spacing w:before="100" w:beforeAutospacing="1" w:after="100" w:afterAutospacing="1"/>
    </w:pPr>
    <w:rPr>
      <w:lang w:val="en-CA" w:eastAsia="en-CA"/>
    </w:rPr>
  </w:style>
  <w:style w:type="character" w:customStyle="1" w:styleId="reflex3-block">
    <w:name w:val="reflex3-block"/>
    <w:basedOn w:val="DefaultParagraphFont"/>
    <w:rsid w:val="00B6108B"/>
  </w:style>
  <w:style w:type="paragraph" w:customStyle="1" w:styleId="xmsonormal">
    <w:name w:val="x_msonormal"/>
    <w:basedOn w:val="Normal"/>
    <w:rsid w:val="004F0939"/>
    <w:rPr>
      <w:rFonts w:ascii="Calibri" w:eastAsiaTheme="minorHAnsi" w:hAnsi="Calibri" w:cs="Calibri"/>
      <w:sz w:val="22"/>
      <w:szCs w:val="22"/>
      <w:lang w:val="en-CA" w:eastAsia="en-CA"/>
    </w:rPr>
  </w:style>
  <w:style w:type="paragraph" w:customStyle="1" w:styleId="xmsolistparagraph">
    <w:name w:val="x_msolistparagraph"/>
    <w:basedOn w:val="Normal"/>
    <w:rsid w:val="004F0939"/>
    <w:pPr>
      <w:ind w:left="720"/>
    </w:pPr>
    <w:rPr>
      <w:rFonts w:ascii="Calibri" w:eastAsiaTheme="minorHAnsi" w:hAnsi="Calibri" w:cs="Calibri"/>
      <w:sz w:val="22"/>
      <w:szCs w:val="22"/>
      <w:lang w:val="en-CA" w:eastAsia="en-CA"/>
    </w:rPr>
  </w:style>
  <w:style w:type="character" w:styleId="CommentReference">
    <w:name w:val="annotation reference"/>
    <w:basedOn w:val="DefaultParagraphFont"/>
    <w:uiPriority w:val="99"/>
    <w:semiHidden/>
    <w:unhideWhenUsed/>
    <w:rsid w:val="001836FD"/>
    <w:rPr>
      <w:sz w:val="16"/>
      <w:szCs w:val="16"/>
    </w:rPr>
  </w:style>
  <w:style w:type="paragraph" w:styleId="CommentText">
    <w:name w:val="annotation text"/>
    <w:basedOn w:val="Normal"/>
    <w:link w:val="CommentTextChar"/>
    <w:uiPriority w:val="99"/>
    <w:unhideWhenUsed/>
    <w:rsid w:val="001836FD"/>
    <w:rPr>
      <w:sz w:val="20"/>
      <w:szCs w:val="20"/>
    </w:rPr>
  </w:style>
  <w:style w:type="character" w:customStyle="1" w:styleId="CommentTextChar">
    <w:name w:val="Comment Text Char"/>
    <w:basedOn w:val="DefaultParagraphFont"/>
    <w:link w:val="CommentText"/>
    <w:uiPriority w:val="99"/>
    <w:rsid w:val="001836F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36FD"/>
    <w:rPr>
      <w:b/>
      <w:bCs/>
    </w:rPr>
  </w:style>
  <w:style w:type="character" w:customStyle="1" w:styleId="CommentSubjectChar">
    <w:name w:val="Comment Subject Char"/>
    <w:basedOn w:val="CommentTextChar"/>
    <w:link w:val="CommentSubject"/>
    <w:uiPriority w:val="99"/>
    <w:semiHidden/>
    <w:rsid w:val="001836FD"/>
    <w:rPr>
      <w:rFonts w:ascii="Times New Roman" w:eastAsia="Times New Roman" w:hAnsi="Times New Roman" w:cs="Times New Roman"/>
      <w:b/>
      <w:bCs/>
      <w:sz w:val="20"/>
      <w:szCs w:val="20"/>
      <w:lang w:val="en-US"/>
    </w:rPr>
  </w:style>
  <w:style w:type="paragraph" w:styleId="Revision">
    <w:name w:val="Revision"/>
    <w:hidden/>
    <w:uiPriority w:val="99"/>
    <w:semiHidden/>
    <w:rsid w:val="00E6771F"/>
    <w:pPr>
      <w:spacing w:after="0" w:line="240" w:lineRule="auto"/>
    </w:pPr>
    <w:rPr>
      <w:rFonts w:ascii="Times New Roman" w:eastAsia="Times New Roman" w:hAnsi="Times New Roman" w:cs="Times New Roman"/>
      <w:sz w:val="24"/>
      <w:szCs w:val="24"/>
      <w:lang w:val="en-US"/>
    </w:rPr>
  </w:style>
  <w:style w:type="paragraph" w:customStyle="1" w:styleId="c3">
    <w:name w:val="c3"/>
    <w:basedOn w:val="Normal"/>
    <w:rsid w:val="0083351E"/>
    <w:pPr>
      <w:widowControl w:val="0"/>
      <w:autoSpaceDE w:val="0"/>
      <w:autoSpaceDN w:val="0"/>
      <w:adjustRightInd w:val="0"/>
      <w:spacing w:line="240" w:lineRule="atLeast"/>
      <w:jc w:val="center"/>
    </w:pPr>
    <w:rPr>
      <w:sz w:val="20"/>
      <w:szCs w:val="20"/>
    </w:rPr>
  </w:style>
  <w:style w:type="paragraph" w:customStyle="1" w:styleId="p4">
    <w:name w:val="p4"/>
    <w:basedOn w:val="Normal"/>
    <w:rsid w:val="0083351E"/>
    <w:pPr>
      <w:widowControl w:val="0"/>
      <w:tabs>
        <w:tab w:val="left" w:pos="1080"/>
      </w:tabs>
      <w:autoSpaceDE w:val="0"/>
      <w:autoSpaceDN w:val="0"/>
      <w:adjustRightInd w:val="0"/>
      <w:spacing w:line="280" w:lineRule="atLeast"/>
      <w:ind w:left="360"/>
    </w:pPr>
    <w:rPr>
      <w:sz w:val="20"/>
      <w:szCs w:val="20"/>
    </w:rPr>
  </w:style>
  <w:style w:type="paragraph" w:customStyle="1" w:styleId="Default">
    <w:name w:val="Default"/>
    <w:uiPriority w:val="99"/>
    <w:rsid w:val="0083351E"/>
    <w:pPr>
      <w:autoSpaceDE w:val="0"/>
      <w:autoSpaceDN w:val="0"/>
      <w:adjustRightInd w:val="0"/>
      <w:spacing w:after="0" w:line="240" w:lineRule="auto"/>
    </w:pPr>
    <w:rPr>
      <w:rFonts w:ascii="Arial" w:eastAsia="Calibri" w:hAnsi="Arial" w:cs="Arial"/>
      <w:color w:val="000000"/>
      <w:sz w:val="24"/>
      <w:szCs w:val="24"/>
      <w:lang w:eastAsia="en-CA"/>
    </w:rPr>
  </w:style>
  <w:style w:type="paragraph" w:customStyle="1" w:styleId="p1">
    <w:name w:val="p1"/>
    <w:basedOn w:val="Normal"/>
    <w:rsid w:val="0083351E"/>
    <w:pPr>
      <w:ind w:left="231" w:hanging="8"/>
      <w:jc w:val="center"/>
    </w:pPr>
    <w:rPr>
      <w:rFonts w:eastAsia="Calibri"/>
    </w:rPr>
  </w:style>
  <w:style w:type="paragraph" w:styleId="FootnoteText">
    <w:name w:val="footnote text"/>
    <w:basedOn w:val="Normal"/>
    <w:link w:val="FootnoteTextChar"/>
    <w:uiPriority w:val="99"/>
    <w:semiHidden/>
    <w:unhideWhenUsed/>
    <w:rsid w:val="0083351E"/>
    <w:rPr>
      <w:rFonts w:ascii="Calibri" w:hAnsi="Calibri"/>
      <w:sz w:val="20"/>
      <w:szCs w:val="20"/>
    </w:rPr>
  </w:style>
  <w:style w:type="character" w:customStyle="1" w:styleId="FootnoteTextChar">
    <w:name w:val="Footnote Text Char"/>
    <w:basedOn w:val="DefaultParagraphFont"/>
    <w:link w:val="FootnoteText"/>
    <w:uiPriority w:val="99"/>
    <w:semiHidden/>
    <w:rsid w:val="0083351E"/>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83351E"/>
    <w:rPr>
      <w:vertAlign w:val="superscript"/>
    </w:rPr>
  </w:style>
  <w:style w:type="character" w:customStyle="1" w:styleId="ListParagraphChar">
    <w:name w:val="List Paragraph Char"/>
    <w:basedOn w:val="DefaultParagraphFont"/>
    <w:link w:val="ListParagraph"/>
    <w:uiPriority w:val="34"/>
    <w:locked/>
    <w:rsid w:val="0083351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60347">
      <w:bodyDiv w:val="1"/>
      <w:marLeft w:val="0"/>
      <w:marRight w:val="0"/>
      <w:marTop w:val="0"/>
      <w:marBottom w:val="0"/>
      <w:divBdr>
        <w:top w:val="none" w:sz="0" w:space="0" w:color="auto"/>
        <w:left w:val="none" w:sz="0" w:space="0" w:color="auto"/>
        <w:bottom w:val="none" w:sz="0" w:space="0" w:color="auto"/>
        <w:right w:val="none" w:sz="0" w:space="0" w:color="auto"/>
      </w:divBdr>
    </w:div>
    <w:div w:id="420950854">
      <w:bodyDiv w:val="1"/>
      <w:marLeft w:val="0"/>
      <w:marRight w:val="0"/>
      <w:marTop w:val="0"/>
      <w:marBottom w:val="0"/>
      <w:divBdr>
        <w:top w:val="none" w:sz="0" w:space="0" w:color="auto"/>
        <w:left w:val="none" w:sz="0" w:space="0" w:color="auto"/>
        <w:bottom w:val="none" w:sz="0" w:space="0" w:color="auto"/>
        <w:right w:val="none" w:sz="0" w:space="0" w:color="auto"/>
      </w:divBdr>
      <w:divsChild>
        <w:div w:id="133452676">
          <w:marLeft w:val="0"/>
          <w:marRight w:val="0"/>
          <w:marTop w:val="0"/>
          <w:marBottom w:val="0"/>
          <w:divBdr>
            <w:top w:val="none" w:sz="0" w:space="0" w:color="auto"/>
            <w:left w:val="none" w:sz="0" w:space="0" w:color="auto"/>
            <w:bottom w:val="none" w:sz="0" w:space="0" w:color="auto"/>
            <w:right w:val="none" w:sz="0" w:space="0" w:color="auto"/>
          </w:divBdr>
        </w:div>
      </w:divsChild>
    </w:div>
    <w:div w:id="431511895">
      <w:bodyDiv w:val="1"/>
      <w:marLeft w:val="0"/>
      <w:marRight w:val="0"/>
      <w:marTop w:val="0"/>
      <w:marBottom w:val="0"/>
      <w:divBdr>
        <w:top w:val="none" w:sz="0" w:space="0" w:color="auto"/>
        <w:left w:val="none" w:sz="0" w:space="0" w:color="auto"/>
        <w:bottom w:val="none" w:sz="0" w:space="0" w:color="auto"/>
        <w:right w:val="none" w:sz="0" w:space="0" w:color="auto"/>
      </w:divBdr>
    </w:div>
    <w:div w:id="522598229">
      <w:bodyDiv w:val="1"/>
      <w:marLeft w:val="0"/>
      <w:marRight w:val="0"/>
      <w:marTop w:val="0"/>
      <w:marBottom w:val="0"/>
      <w:divBdr>
        <w:top w:val="none" w:sz="0" w:space="0" w:color="auto"/>
        <w:left w:val="none" w:sz="0" w:space="0" w:color="auto"/>
        <w:bottom w:val="none" w:sz="0" w:space="0" w:color="auto"/>
        <w:right w:val="none" w:sz="0" w:space="0" w:color="auto"/>
      </w:divBdr>
    </w:div>
    <w:div w:id="651325759">
      <w:bodyDiv w:val="1"/>
      <w:marLeft w:val="0"/>
      <w:marRight w:val="0"/>
      <w:marTop w:val="0"/>
      <w:marBottom w:val="0"/>
      <w:divBdr>
        <w:top w:val="none" w:sz="0" w:space="0" w:color="auto"/>
        <w:left w:val="none" w:sz="0" w:space="0" w:color="auto"/>
        <w:bottom w:val="none" w:sz="0" w:space="0" w:color="auto"/>
        <w:right w:val="none" w:sz="0" w:space="0" w:color="auto"/>
      </w:divBdr>
    </w:div>
    <w:div w:id="893545776">
      <w:bodyDiv w:val="1"/>
      <w:marLeft w:val="0"/>
      <w:marRight w:val="0"/>
      <w:marTop w:val="0"/>
      <w:marBottom w:val="0"/>
      <w:divBdr>
        <w:top w:val="none" w:sz="0" w:space="0" w:color="auto"/>
        <w:left w:val="none" w:sz="0" w:space="0" w:color="auto"/>
        <w:bottom w:val="none" w:sz="0" w:space="0" w:color="auto"/>
        <w:right w:val="none" w:sz="0" w:space="0" w:color="auto"/>
      </w:divBdr>
    </w:div>
    <w:div w:id="944921856">
      <w:bodyDiv w:val="1"/>
      <w:marLeft w:val="0"/>
      <w:marRight w:val="0"/>
      <w:marTop w:val="0"/>
      <w:marBottom w:val="0"/>
      <w:divBdr>
        <w:top w:val="none" w:sz="0" w:space="0" w:color="auto"/>
        <w:left w:val="none" w:sz="0" w:space="0" w:color="auto"/>
        <w:bottom w:val="none" w:sz="0" w:space="0" w:color="auto"/>
        <w:right w:val="none" w:sz="0" w:space="0" w:color="auto"/>
      </w:divBdr>
    </w:div>
    <w:div w:id="1060398113">
      <w:bodyDiv w:val="1"/>
      <w:marLeft w:val="0"/>
      <w:marRight w:val="0"/>
      <w:marTop w:val="0"/>
      <w:marBottom w:val="0"/>
      <w:divBdr>
        <w:top w:val="none" w:sz="0" w:space="0" w:color="auto"/>
        <w:left w:val="none" w:sz="0" w:space="0" w:color="auto"/>
        <w:bottom w:val="none" w:sz="0" w:space="0" w:color="auto"/>
        <w:right w:val="none" w:sz="0" w:space="0" w:color="auto"/>
      </w:divBdr>
    </w:div>
    <w:div w:id="1177692006">
      <w:bodyDiv w:val="1"/>
      <w:marLeft w:val="0"/>
      <w:marRight w:val="0"/>
      <w:marTop w:val="0"/>
      <w:marBottom w:val="0"/>
      <w:divBdr>
        <w:top w:val="none" w:sz="0" w:space="0" w:color="auto"/>
        <w:left w:val="none" w:sz="0" w:space="0" w:color="auto"/>
        <w:bottom w:val="none" w:sz="0" w:space="0" w:color="auto"/>
        <w:right w:val="none" w:sz="0" w:space="0" w:color="auto"/>
      </w:divBdr>
    </w:div>
    <w:div w:id="1302341079">
      <w:bodyDiv w:val="1"/>
      <w:marLeft w:val="0"/>
      <w:marRight w:val="0"/>
      <w:marTop w:val="0"/>
      <w:marBottom w:val="0"/>
      <w:divBdr>
        <w:top w:val="none" w:sz="0" w:space="0" w:color="auto"/>
        <w:left w:val="none" w:sz="0" w:space="0" w:color="auto"/>
        <w:bottom w:val="none" w:sz="0" w:space="0" w:color="auto"/>
        <w:right w:val="none" w:sz="0" w:space="0" w:color="auto"/>
      </w:divBdr>
    </w:div>
    <w:div w:id="1333950801">
      <w:bodyDiv w:val="1"/>
      <w:marLeft w:val="0"/>
      <w:marRight w:val="0"/>
      <w:marTop w:val="0"/>
      <w:marBottom w:val="0"/>
      <w:divBdr>
        <w:top w:val="none" w:sz="0" w:space="0" w:color="auto"/>
        <w:left w:val="none" w:sz="0" w:space="0" w:color="auto"/>
        <w:bottom w:val="none" w:sz="0" w:space="0" w:color="auto"/>
        <w:right w:val="none" w:sz="0" w:space="0" w:color="auto"/>
      </w:divBdr>
    </w:div>
    <w:div w:id="1397776889">
      <w:bodyDiv w:val="1"/>
      <w:marLeft w:val="0"/>
      <w:marRight w:val="0"/>
      <w:marTop w:val="0"/>
      <w:marBottom w:val="0"/>
      <w:divBdr>
        <w:top w:val="none" w:sz="0" w:space="0" w:color="auto"/>
        <w:left w:val="none" w:sz="0" w:space="0" w:color="auto"/>
        <w:bottom w:val="none" w:sz="0" w:space="0" w:color="auto"/>
        <w:right w:val="none" w:sz="0" w:space="0" w:color="auto"/>
      </w:divBdr>
    </w:div>
    <w:div w:id="1565338730">
      <w:bodyDiv w:val="1"/>
      <w:marLeft w:val="0"/>
      <w:marRight w:val="0"/>
      <w:marTop w:val="0"/>
      <w:marBottom w:val="0"/>
      <w:divBdr>
        <w:top w:val="none" w:sz="0" w:space="0" w:color="auto"/>
        <w:left w:val="none" w:sz="0" w:space="0" w:color="auto"/>
        <w:bottom w:val="none" w:sz="0" w:space="0" w:color="auto"/>
        <w:right w:val="none" w:sz="0" w:space="0" w:color="auto"/>
      </w:divBdr>
    </w:div>
    <w:div w:id="1605920460">
      <w:bodyDiv w:val="1"/>
      <w:marLeft w:val="0"/>
      <w:marRight w:val="0"/>
      <w:marTop w:val="0"/>
      <w:marBottom w:val="0"/>
      <w:divBdr>
        <w:top w:val="none" w:sz="0" w:space="0" w:color="auto"/>
        <w:left w:val="none" w:sz="0" w:space="0" w:color="auto"/>
        <w:bottom w:val="none" w:sz="0" w:space="0" w:color="auto"/>
        <w:right w:val="none" w:sz="0" w:space="0" w:color="auto"/>
      </w:divBdr>
    </w:div>
    <w:div w:id="1653681704">
      <w:bodyDiv w:val="1"/>
      <w:marLeft w:val="0"/>
      <w:marRight w:val="0"/>
      <w:marTop w:val="0"/>
      <w:marBottom w:val="0"/>
      <w:divBdr>
        <w:top w:val="none" w:sz="0" w:space="0" w:color="auto"/>
        <w:left w:val="none" w:sz="0" w:space="0" w:color="auto"/>
        <w:bottom w:val="none" w:sz="0" w:space="0" w:color="auto"/>
        <w:right w:val="none" w:sz="0" w:space="0" w:color="auto"/>
      </w:divBdr>
    </w:div>
    <w:div w:id="1699893196">
      <w:bodyDiv w:val="1"/>
      <w:marLeft w:val="0"/>
      <w:marRight w:val="0"/>
      <w:marTop w:val="0"/>
      <w:marBottom w:val="0"/>
      <w:divBdr>
        <w:top w:val="none" w:sz="0" w:space="0" w:color="auto"/>
        <w:left w:val="none" w:sz="0" w:space="0" w:color="auto"/>
        <w:bottom w:val="none" w:sz="0" w:space="0" w:color="auto"/>
        <w:right w:val="none" w:sz="0" w:space="0" w:color="auto"/>
      </w:divBdr>
    </w:div>
    <w:div w:id="1727603361">
      <w:bodyDiv w:val="1"/>
      <w:marLeft w:val="0"/>
      <w:marRight w:val="0"/>
      <w:marTop w:val="0"/>
      <w:marBottom w:val="0"/>
      <w:divBdr>
        <w:top w:val="none" w:sz="0" w:space="0" w:color="auto"/>
        <w:left w:val="none" w:sz="0" w:space="0" w:color="auto"/>
        <w:bottom w:val="none" w:sz="0" w:space="0" w:color="auto"/>
        <w:right w:val="none" w:sz="0" w:space="0" w:color="auto"/>
      </w:divBdr>
    </w:div>
    <w:div w:id="1842770307">
      <w:bodyDiv w:val="1"/>
      <w:marLeft w:val="0"/>
      <w:marRight w:val="0"/>
      <w:marTop w:val="0"/>
      <w:marBottom w:val="0"/>
      <w:divBdr>
        <w:top w:val="none" w:sz="0" w:space="0" w:color="auto"/>
        <w:left w:val="none" w:sz="0" w:space="0" w:color="auto"/>
        <w:bottom w:val="none" w:sz="0" w:space="0" w:color="auto"/>
        <w:right w:val="none" w:sz="0" w:space="0" w:color="auto"/>
      </w:divBdr>
      <w:divsChild>
        <w:div w:id="908467525">
          <w:marLeft w:val="0"/>
          <w:marRight w:val="0"/>
          <w:marTop w:val="0"/>
          <w:marBottom w:val="0"/>
          <w:divBdr>
            <w:top w:val="none" w:sz="0" w:space="0" w:color="auto"/>
            <w:left w:val="none" w:sz="0" w:space="0" w:color="auto"/>
            <w:bottom w:val="none" w:sz="0" w:space="0" w:color="auto"/>
            <w:right w:val="none" w:sz="0" w:space="0" w:color="auto"/>
          </w:divBdr>
        </w:div>
      </w:divsChild>
    </w:div>
    <w:div w:id="1944150114">
      <w:bodyDiv w:val="1"/>
      <w:marLeft w:val="0"/>
      <w:marRight w:val="0"/>
      <w:marTop w:val="0"/>
      <w:marBottom w:val="0"/>
      <w:divBdr>
        <w:top w:val="none" w:sz="0" w:space="0" w:color="auto"/>
        <w:left w:val="none" w:sz="0" w:space="0" w:color="auto"/>
        <w:bottom w:val="none" w:sz="0" w:space="0" w:color="auto"/>
        <w:right w:val="none" w:sz="0" w:space="0" w:color="auto"/>
      </w:divBdr>
    </w:div>
    <w:div w:id="2005401956">
      <w:bodyDiv w:val="1"/>
      <w:marLeft w:val="0"/>
      <w:marRight w:val="0"/>
      <w:marTop w:val="0"/>
      <w:marBottom w:val="0"/>
      <w:divBdr>
        <w:top w:val="none" w:sz="0" w:space="0" w:color="auto"/>
        <w:left w:val="none" w:sz="0" w:space="0" w:color="auto"/>
        <w:bottom w:val="none" w:sz="0" w:space="0" w:color="auto"/>
        <w:right w:val="none" w:sz="0" w:space="0" w:color="auto"/>
      </w:divBdr>
    </w:div>
    <w:div w:id="209743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iggart@ritchieketcheson.com" TargetMode="External"/><Relationship Id="rId18" Type="http://schemas.openxmlformats.org/officeDocument/2006/relationships/hyperlink" Target="https://olt.gov.on.ca/about-olt/law-polic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lt.gov.on.ca/tribunals/lpat/lpat-process/hearing-plans/" TargetMode="External"/><Relationship Id="rId17" Type="http://schemas.openxmlformats.org/officeDocument/2006/relationships/hyperlink" Target="mailto:jeffr@profitnessprogram.com" TargetMode="External"/><Relationship Id="rId2" Type="http://schemas.openxmlformats.org/officeDocument/2006/relationships/numbering" Target="numbering.xml"/><Relationship Id="rId16" Type="http://schemas.openxmlformats.org/officeDocument/2006/relationships/hyperlink" Target="mailto:Michael.Mahoney@toronto.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t.gov.on.ca/tribunals/lpat/lpat-process/video-hearings/" TargetMode="External"/><Relationship Id="rId5" Type="http://schemas.openxmlformats.org/officeDocument/2006/relationships/webSettings" Target="webSettings.xml"/><Relationship Id="rId15" Type="http://schemas.openxmlformats.org/officeDocument/2006/relationships/hyperlink" Target="mailto:michelle.LaFortune@toronto.ca"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lt.gov.on.ca" TargetMode="External"/><Relationship Id="rId14" Type="http://schemas.openxmlformats.org/officeDocument/2006/relationships/hyperlink" Target="mailto:skagan@ksllp.c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21</TotalTime>
  <Pages>19</Pages>
  <Words>5410</Words>
  <Characters>28569</Characters>
  <Application>Microsoft Office Word</Application>
  <DocSecurity>4</DocSecurity>
  <Lines>1587</Lines>
  <Paragraphs>1132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Chipman, Dale (MAG)</dc:creator>
  <cp:keywords/>
  <dc:description/>
  <cp:lastModifiedBy>Steele, Kristina (MAG)</cp:lastModifiedBy>
  <cp:revision>2</cp:revision>
  <dcterms:created xsi:type="dcterms:W3CDTF">2024-02-29T16:48:00Z</dcterms:created>
  <dcterms:modified xsi:type="dcterms:W3CDTF">2024-02-29T16:48:00Z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2022-05-04T22:44:04Z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8fcda0ec-86f7-49bb-8785-7da9c40f1e35</vt:lpwstr>
  </property>
  <property fmtid="{D5CDD505-2E9C-101B-9397-08002B2CF9AE}" pid="8" name="MSIP_Label_034a106e-6316-442c-ad35-738afd673d2b_ContentBits">
    <vt:lpwstr>0</vt:lpwstr>
  </property>
</Properties>
</file>