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8850" w14:textId="77777777" w:rsidR="00204A56" w:rsidRDefault="00204A56" w:rsidP="005A767F">
      <w:pPr>
        <w:rPr>
          <w:rFonts w:ascii="Arial" w:hAnsi="Arial" w:cs="Arial"/>
          <w:lang w:val="en-CA"/>
        </w:rPr>
      </w:pPr>
      <w:bookmarkStart w:id="0" w:name="Appearances"/>
    </w:p>
    <w:tbl>
      <w:tblPr>
        <w:tblpPr w:leftFromText="180" w:rightFromText="180" w:vertAnchor="text" w:horzAnchor="margin" w:tblpX="142" w:tblpY="-111"/>
        <w:tblW w:w="3828" w:type="dxa"/>
        <w:tblLayout w:type="fixed"/>
        <w:tblLook w:val="0000" w:firstRow="0" w:lastRow="0" w:firstColumn="0" w:lastColumn="0" w:noHBand="0" w:noVBand="0"/>
      </w:tblPr>
      <w:tblGrid>
        <w:gridCol w:w="3828"/>
      </w:tblGrid>
      <w:tr w:rsidR="00227A29" w:rsidRPr="001E764F" w14:paraId="6CC72C89" w14:textId="77777777" w:rsidTr="00227A29">
        <w:trPr>
          <w:trHeight w:val="368"/>
        </w:trPr>
        <w:tc>
          <w:tcPr>
            <w:tcW w:w="3828" w:type="dxa"/>
            <w:vMerge w:val="restart"/>
          </w:tcPr>
          <w:p w14:paraId="65544425" w14:textId="77777777" w:rsidR="00227A29" w:rsidRPr="001E764F" w:rsidRDefault="00227A29" w:rsidP="00F76AAC">
            <w:pPr>
              <w:rPr>
                <w:rFonts w:ascii="Arial" w:hAnsi="Arial" w:cs="Arial"/>
                <w:b/>
                <w:noProof/>
                <w:sz w:val="32"/>
                <w:szCs w:val="32"/>
                <w:lang w:val="en-CA" w:eastAsia="en-CA"/>
              </w:rPr>
            </w:pPr>
            <w:bookmarkStart w:id="1" w:name="DecisionDeliveredBy"/>
            <w:bookmarkEnd w:id="0"/>
          </w:p>
        </w:tc>
      </w:tr>
      <w:tr w:rsidR="00227A29" w:rsidRPr="001E764F" w14:paraId="3539DC62" w14:textId="77777777" w:rsidTr="00227A29">
        <w:trPr>
          <w:trHeight w:val="368"/>
        </w:trPr>
        <w:tc>
          <w:tcPr>
            <w:tcW w:w="3828" w:type="dxa"/>
            <w:vMerge/>
          </w:tcPr>
          <w:p w14:paraId="30046F98" w14:textId="77777777" w:rsidR="00227A29" w:rsidRPr="001E764F" w:rsidRDefault="00227A29" w:rsidP="00F76AAC">
            <w:pPr>
              <w:rPr>
                <w:rFonts w:ascii="Arial" w:hAnsi="Arial" w:cs="Arial"/>
                <w:b/>
                <w:sz w:val="32"/>
                <w:szCs w:val="32"/>
              </w:rPr>
            </w:pPr>
          </w:p>
        </w:tc>
      </w:tr>
    </w:tbl>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F76AAC" w:rsidRPr="001E764F" w14:paraId="7124B7D1" w14:textId="77777777" w:rsidTr="00F76AAC">
        <w:trPr>
          <w:trHeight w:val="281"/>
        </w:trPr>
        <w:tc>
          <w:tcPr>
            <w:tcW w:w="5778" w:type="dxa"/>
          </w:tcPr>
          <w:p w14:paraId="07C85DFE" w14:textId="77777777" w:rsidR="00F76AAC" w:rsidRPr="001E764F" w:rsidRDefault="00F76AAC" w:rsidP="00F76AAC">
            <w:pPr>
              <w:rPr>
                <w:rFonts w:ascii="Arial" w:hAnsi="Arial" w:cs="Arial"/>
                <w:b/>
                <w:sz w:val="16"/>
                <w:szCs w:val="16"/>
              </w:rPr>
            </w:pPr>
          </w:p>
        </w:tc>
        <w:tc>
          <w:tcPr>
            <w:tcW w:w="3828" w:type="dxa"/>
            <w:vMerge w:val="restart"/>
          </w:tcPr>
          <w:p w14:paraId="2CCA8A34" w14:textId="77777777" w:rsidR="00F76AAC" w:rsidRPr="001E764F" w:rsidRDefault="00F76AAC" w:rsidP="00F76AAC">
            <w:pPr>
              <w:rPr>
                <w:rFonts w:ascii="Arial" w:hAnsi="Arial" w:cs="Arial"/>
                <w:b/>
                <w:noProof/>
                <w:sz w:val="32"/>
                <w:szCs w:val="32"/>
                <w:lang w:val="en-CA" w:eastAsia="en-CA"/>
              </w:rPr>
            </w:pPr>
            <w:r>
              <w:rPr>
                <w:noProof/>
                <w:lang w:val="en-CA" w:eastAsia="en-CA"/>
              </w:rPr>
              <w:drawing>
                <wp:anchor distT="0" distB="0" distL="114300" distR="114300" simplePos="0" relativeHeight="251659264" behindDoc="0" locked="0" layoutInCell="1" allowOverlap="1" wp14:anchorId="31600567" wp14:editId="4BBC1B3B">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6AAC" w:rsidRPr="001E764F" w14:paraId="46F8BCC6" w14:textId="77777777" w:rsidTr="00F76AAC">
        <w:tc>
          <w:tcPr>
            <w:tcW w:w="5778" w:type="dxa"/>
          </w:tcPr>
          <w:p w14:paraId="28ACBF58" w14:textId="77777777" w:rsidR="00F76AAC" w:rsidRPr="001E764F" w:rsidRDefault="00F76AAC" w:rsidP="00F76AAC">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06355489" w14:textId="77777777" w:rsidR="00F76AAC" w:rsidRPr="001E764F" w:rsidRDefault="00F76AAC" w:rsidP="00F76AAC">
            <w:pPr>
              <w:rPr>
                <w:rFonts w:ascii="Arial" w:hAnsi="Arial" w:cs="Arial"/>
                <w:b/>
                <w:sz w:val="32"/>
                <w:szCs w:val="32"/>
              </w:rPr>
            </w:pPr>
          </w:p>
        </w:tc>
      </w:tr>
      <w:tr w:rsidR="00F76AAC" w:rsidRPr="001E764F" w14:paraId="64BAA66A" w14:textId="77777777" w:rsidTr="00F76AAC">
        <w:tc>
          <w:tcPr>
            <w:tcW w:w="5778" w:type="dxa"/>
          </w:tcPr>
          <w:p w14:paraId="4F6EC9D3" w14:textId="77777777" w:rsidR="00F76AAC" w:rsidRPr="001E764F" w:rsidRDefault="00F76AAC" w:rsidP="00F76AAC">
            <w:pPr>
              <w:rPr>
                <w:rFonts w:ascii="Arial" w:hAnsi="Arial" w:cs="Arial"/>
                <w:sz w:val="32"/>
                <w:szCs w:val="32"/>
                <w:lang w:val="fr-CA"/>
              </w:rPr>
            </w:pPr>
            <w:r>
              <w:rPr>
                <w:rFonts w:ascii="Arial" w:hAnsi="Arial" w:cs="Arial"/>
                <w:sz w:val="32"/>
                <w:szCs w:val="32"/>
                <w:lang w:val="fr-CA"/>
              </w:rPr>
              <w:t>Tribunal d’appel de l’aménagement local</w:t>
            </w:r>
          </w:p>
          <w:p w14:paraId="684191F2" w14:textId="77777777" w:rsidR="00F76AAC" w:rsidRPr="001E764F" w:rsidRDefault="00F76AAC" w:rsidP="00F76AAC">
            <w:pPr>
              <w:rPr>
                <w:rFonts w:ascii="Arial" w:hAnsi="Arial" w:cs="Arial"/>
                <w:sz w:val="32"/>
                <w:szCs w:val="32"/>
                <w:lang w:val="fr-CA"/>
              </w:rPr>
            </w:pPr>
          </w:p>
          <w:p w14:paraId="3688D924" w14:textId="77777777" w:rsidR="00F76AAC" w:rsidRPr="001E764F" w:rsidRDefault="00F76AAC" w:rsidP="00F76AAC">
            <w:pPr>
              <w:rPr>
                <w:rFonts w:ascii="Arial" w:hAnsi="Arial" w:cs="Arial"/>
                <w:sz w:val="32"/>
                <w:szCs w:val="32"/>
                <w:lang w:val="fr-CA"/>
              </w:rPr>
            </w:pPr>
          </w:p>
        </w:tc>
        <w:tc>
          <w:tcPr>
            <w:tcW w:w="3828" w:type="dxa"/>
            <w:vMerge/>
          </w:tcPr>
          <w:p w14:paraId="3AFF06F5" w14:textId="77777777" w:rsidR="00F76AAC" w:rsidRPr="001E764F" w:rsidRDefault="00F76AAC" w:rsidP="00F76AAC">
            <w:pPr>
              <w:rPr>
                <w:rFonts w:ascii="Arial" w:hAnsi="Arial" w:cs="Arial"/>
                <w:sz w:val="32"/>
                <w:szCs w:val="32"/>
                <w:lang w:val="fr-CA"/>
              </w:rPr>
            </w:pPr>
          </w:p>
        </w:tc>
      </w:tr>
    </w:tbl>
    <w:tbl>
      <w:tblPr>
        <w:tblpPr w:leftFromText="180" w:rightFromText="180" w:vertAnchor="text" w:horzAnchor="margin" w:tblpX="142" w:tblpY="-111"/>
        <w:tblW w:w="9464" w:type="dxa"/>
        <w:tblLayout w:type="fixed"/>
        <w:tblLook w:val="0000" w:firstRow="0" w:lastRow="0" w:firstColumn="0" w:lastColumn="0" w:noHBand="0" w:noVBand="0"/>
      </w:tblPr>
      <w:tblGrid>
        <w:gridCol w:w="5636"/>
        <w:gridCol w:w="3828"/>
      </w:tblGrid>
      <w:tr w:rsidR="00D11C1E" w:rsidRPr="001E764F" w14:paraId="6BC593B7" w14:textId="77777777" w:rsidTr="00227A29">
        <w:trPr>
          <w:trHeight w:val="68"/>
        </w:trPr>
        <w:tc>
          <w:tcPr>
            <w:tcW w:w="5636" w:type="dxa"/>
          </w:tcPr>
          <w:p w14:paraId="678F204C" w14:textId="77777777" w:rsidR="00D11C1E" w:rsidRPr="001E764F" w:rsidRDefault="00D11C1E" w:rsidP="00F76AAC">
            <w:pPr>
              <w:ind w:left="-108"/>
              <w:rPr>
                <w:rFonts w:ascii="Arial" w:hAnsi="Arial" w:cs="Arial"/>
                <w:sz w:val="32"/>
                <w:szCs w:val="32"/>
                <w:lang w:val="fr-CA"/>
              </w:rPr>
            </w:pPr>
          </w:p>
        </w:tc>
        <w:tc>
          <w:tcPr>
            <w:tcW w:w="3828" w:type="dxa"/>
          </w:tcPr>
          <w:p w14:paraId="78D7041C" w14:textId="77777777" w:rsidR="00D11C1E" w:rsidRPr="001E764F" w:rsidRDefault="00D11C1E" w:rsidP="00F76AAC">
            <w:pPr>
              <w:rPr>
                <w:rFonts w:ascii="Arial" w:hAnsi="Arial" w:cs="Arial"/>
                <w:sz w:val="32"/>
                <w:szCs w:val="32"/>
                <w:lang w:val="fr-CA"/>
              </w:rPr>
            </w:pPr>
          </w:p>
        </w:tc>
      </w:tr>
    </w:tbl>
    <w:tbl>
      <w:tblPr>
        <w:tblpPr w:leftFromText="181" w:rightFromText="181" w:vertAnchor="text" w:horzAnchor="margin" w:tblpY="189"/>
        <w:tblW w:w="9464" w:type="dxa"/>
        <w:tblLook w:val="04A0" w:firstRow="1" w:lastRow="0" w:firstColumn="1" w:lastColumn="0" w:noHBand="0" w:noVBand="1"/>
      </w:tblPr>
      <w:tblGrid>
        <w:gridCol w:w="1818"/>
        <w:gridCol w:w="3960"/>
        <w:gridCol w:w="1843"/>
        <w:gridCol w:w="1843"/>
      </w:tblGrid>
      <w:tr w:rsidR="007B76AB" w:rsidRPr="004704FF" w14:paraId="63DC671D" w14:textId="77777777" w:rsidTr="00AB6FEF">
        <w:tc>
          <w:tcPr>
            <w:tcW w:w="1818" w:type="dxa"/>
            <w:shd w:val="clear" w:color="auto" w:fill="auto"/>
          </w:tcPr>
          <w:p w14:paraId="15C0C2E7" w14:textId="77777777" w:rsidR="007B76AB" w:rsidRPr="004704FF" w:rsidRDefault="007B76AB" w:rsidP="00AB6FEF">
            <w:pPr>
              <w:rPr>
                <w:rFonts w:ascii="Arial" w:hAnsi="Arial" w:cs="Arial"/>
                <w:lang w:val="en-CA"/>
              </w:rPr>
            </w:pPr>
            <w:r w:rsidRPr="004704FF">
              <w:rPr>
                <w:rFonts w:ascii="Arial" w:hAnsi="Arial" w:cs="Arial"/>
                <w:b/>
                <w:lang w:val="en-CA"/>
              </w:rPr>
              <w:t>ISSUE DATE</w:t>
            </w:r>
            <w:r w:rsidRPr="004704FF">
              <w:rPr>
                <w:rFonts w:ascii="Arial" w:hAnsi="Arial" w:cs="Arial"/>
                <w:lang w:val="en-CA"/>
              </w:rPr>
              <w:t>:</w:t>
            </w:r>
          </w:p>
        </w:tc>
        <w:tc>
          <w:tcPr>
            <w:tcW w:w="3960" w:type="dxa"/>
            <w:shd w:val="clear" w:color="auto" w:fill="auto"/>
          </w:tcPr>
          <w:p w14:paraId="1F01CF4B" w14:textId="029587A3" w:rsidR="007B76AB" w:rsidRPr="00F62A53" w:rsidRDefault="00F62A53" w:rsidP="00AB6FEF">
            <w:pPr>
              <w:rPr>
                <w:rFonts w:ascii="Arial" w:hAnsi="Arial" w:cs="Arial"/>
                <w:color w:val="000000" w:themeColor="text1"/>
                <w:lang w:val="en-CA"/>
              </w:rPr>
            </w:pPr>
            <w:r>
              <w:rPr>
                <w:rFonts w:ascii="Arial" w:hAnsi="Arial" w:cs="Arial"/>
                <w:color w:val="000000" w:themeColor="text1"/>
                <w:lang w:val="en-CA"/>
              </w:rPr>
              <w:t>August 15, 2019</w:t>
            </w:r>
          </w:p>
        </w:tc>
        <w:tc>
          <w:tcPr>
            <w:tcW w:w="1843" w:type="dxa"/>
            <w:shd w:val="clear" w:color="auto" w:fill="auto"/>
          </w:tcPr>
          <w:p w14:paraId="237A2CA4" w14:textId="32F8F1BD" w:rsidR="007B76AB" w:rsidRPr="004704FF" w:rsidRDefault="007B76AB" w:rsidP="00AB6FEF">
            <w:pPr>
              <w:rPr>
                <w:rFonts w:ascii="Arial" w:hAnsi="Arial" w:cs="Arial"/>
                <w:b/>
                <w:lang w:val="en-CA"/>
              </w:rPr>
            </w:pPr>
            <w:r w:rsidRPr="004704FF">
              <w:rPr>
                <w:rFonts w:ascii="Arial" w:hAnsi="Arial" w:cs="Arial"/>
                <w:lang w:val="en-CA"/>
              </w:rPr>
              <w:fldChar w:fldCharType="begin"/>
            </w:r>
            <w:r w:rsidRPr="004704FF">
              <w:rPr>
                <w:rFonts w:ascii="Arial" w:hAnsi="Arial" w:cs="Arial"/>
                <w:lang w:val="en-CA"/>
              </w:rPr>
              <w:instrText xml:space="preserve"> SEQ CHAPTER \h \r 1</w:instrText>
            </w:r>
            <w:r w:rsidRPr="004704FF">
              <w:rPr>
                <w:rFonts w:ascii="Arial" w:hAnsi="Arial" w:cs="Arial"/>
                <w:lang w:val="en-CA"/>
              </w:rPr>
              <w:fldChar w:fldCharType="end"/>
            </w:r>
            <w:r w:rsidRPr="004704FF">
              <w:rPr>
                <w:rFonts w:ascii="Arial" w:hAnsi="Arial" w:cs="Arial"/>
                <w:b/>
                <w:lang w:val="en-CA"/>
              </w:rPr>
              <w:t>CASE NO(S).:</w:t>
            </w:r>
          </w:p>
        </w:tc>
        <w:tc>
          <w:tcPr>
            <w:tcW w:w="1843" w:type="dxa"/>
            <w:shd w:val="clear" w:color="auto" w:fill="auto"/>
            <w:vAlign w:val="center"/>
          </w:tcPr>
          <w:p w14:paraId="210F527E" w14:textId="77777777" w:rsidR="007B76AB" w:rsidRPr="004704FF" w:rsidRDefault="00835339" w:rsidP="00AB6FEF">
            <w:pPr>
              <w:jc w:val="center"/>
              <w:rPr>
                <w:rFonts w:ascii="Arial" w:hAnsi="Arial" w:cs="Arial"/>
                <w:lang w:val="en-CA"/>
              </w:rPr>
            </w:pPr>
            <w:r>
              <w:rPr>
                <w:rFonts w:ascii="Arial" w:hAnsi="Arial" w:cs="Arial"/>
                <w:lang w:val="en-CA"/>
              </w:rPr>
              <w:t>DC140020</w:t>
            </w:r>
          </w:p>
        </w:tc>
      </w:tr>
    </w:tbl>
    <w:p w14:paraId="196CBE58" w14:textId="77777777" w:rsidR="007B76AB" w:rsidRDefault="007B76AB" w:rsidP="007B76AB">
      <w:pPr>
        <w:pStyle w:val="Header"/>
        <w:tabs>
          <w:tab w:val="left" w:pos="720"/>
        </w:tabs>
        <w:rPr>
          <w:rFonts w:ascii="Arial" w:hAnsi="Arial" w:cs="Arial"/>
          <w:b/>
          <w:lang w:val="en-CA"/>
        </w:rPr>
      </w:pPr>
    </w:p>
    <w:p w14:paraId="7BCF04A4" w14:textId="77777777" w:rsidR="00397A2C" w:rsidRDefault="00397A2C" w:rsidP="007B76AB">
      <w:pPr>
        <w:pStyle w:val="Header"/>
        <w:tabs>
          <w:tab w:val="left" w:pos="720"/>
        </w:tabs>
        <w:rPr>
          <w:rFonts w:ascii="Arial" w:hAnsi="Arial" w:cs="Arial"/>
          <w:b/>
          <w:lang w:val="en-CA"/>
        </w:rPr>
      </w:pPr>
    </w:p>
    <w:p w14:paraId="4FF1FD24" w14:textId="77777777" w:rsidR="00D11C1E" w:rsidRPr="00250221" w:rsidRDefault="00D11C1E" w:rsidP="0015057B">
      <w:pPr>
        <w:ind w:left="142"/>
        <w:jc w:val="both"/>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p w14:paraId="118927C5" w14:textId="77777777" w:rsidR="007B76AB" w:rsidRDefault="007B76AB" w:rsidP="007B76AB">
      <w:pPr>
        <w:pStyle w:val="StyleofClause"/>
        <w:rPr>
          <w:lang w:val="en-US"/>
        </w:rPr>
      </w:pPr>
    </w:p>
    <w:p w14:paraId="55C7744D" w14:textId="77777777" w:rsidR="00D11C1E" w:rsidRDefault="00D11C1E" w:rsidP="007B76AB">
      <w:pPr>
        <w:pStyle w:val="StyleofClause"/>
        <w:rPr>
          <w:lang w:val="en-US"/>
        </w:rPr>
      </w:pPr>
    </w:p>
    <w:tbl>
      <w:tblPr>
        <w:tblW w:w="9356" w:type="dxa"/>
        <w:tblLook w:val="0000" w:firstRow="0" w:lastRow="0" w:firstColumn="0" w:lastColumn="0" w:noHBand="0" w:noVBand="0"/>
      </w:tblPr>
      <w:tblGrid>
        <w:gridCol w:w="3468"/>
        <w:gridCol w:w="5888"/>
      </w:tblGrid>
      <w:tr w:rsidR="00727F59" w:rsidRPr="00727F59" w14:paraId="3922FAC9" w14:textId="77777777" w:rsidTr="00227A29">
        <w:trPr>
          <w:cantSplit/>
          <w:trHeight w:val="620"/>
        </w:trPr>
        <w:tc>
          <w:tcPr>
            <w:tcW w:w="9356" w:type="dxa"/>
            <w:gridSpan w:val="2"/>
          </w:tcPr>
          <w:p w14:paraId="5FC58F9A" w14:textId="77777777" w:rsidR="00727F59" w:rsidRPr="0015057B" w:rsidRDefault="00727F59" w:rsidP="0015057B">
            <w:pPr>
              <w:ind w:left="34"/>
              <w:rPr>
                <w:rFonts w:ascii="Arial" w:hAnsi="Arial" w:cs="Arial"/>
              </w:rPr>
            </w:pPr>
            <w:r w:rsidRPr="0015057B">
              <w:rPr>
                <w:rFonts w:ascii="Arial" w:hAnsi="Arial" w:cs="Arial"/>
                <w:b/>
              </w:rPr>
              <w:t xml:space="preserve">PROCEEDING COMMENCED UNDER </w:t>
            </w:r>
            <w:r w:rsidRPr="0015057B">
              <w:rPr>
                <w:rFonts w:ascii="Arial" w:hAnsi="Arial" w:cs="Arial"/>
              </w:rPr>
              <w:t xml:space="preserve">subsection 14 of the </w:t>
            </w:r>
            <w:r w:rsidRPr="0015057B">
              <w:rPr>
                <w:rFonts w:ascii="Arial" w:hAnsi="Arial" w:cs="Arial"/>
                <w:i/>
              </w:rPr>
              <w:t>Development Charges Act</w:t>
            </w:r>
            <w:r w:rsidRPr="0015057B">
              <w:rPr>
                <w:rFonts w:ascii="Arial" w:hAnsi="Arial" w:cs="Arial"/>
              </w:rPr>
              <w:t>, 1997, S.O. 1997, c. 27, as amended</w:t>
            </w:r>
          </w:p>
        </w:tc>
      </w:tr>
      <w:tr w:rsidR="00727F59" w:rsidRPr="00727F59" w14:paraId="5D945DE2" w14:textId="77777777" w:rsidTr="00227A29">
        <w:tc>
          <w:tcPr>
            <w:tcW w:w="3468" w:type="dxa"/>
          </w:tcPr>
          <w:p w14:paraId="0DFBC3D2" w14:textId="77777777" w:rsidR="00727F59" w:rsidRPr="0015057B" w:rsidRDefault="00727F59" w:rsidP="0015057B">
            <w:pPr>
              <w:ind w:left="34"/>
              <w:rPr>
                <w:rFonts w:ascii="Arial" w:hAnsi="Arial" w:cs="Arial"/>
              </w:rPr>
            </w:pPr>
          </w:p>
        </w:tc>
        <w:tc>
          <w:tcPr>
            <w:tcW w:w="5888" w:type="dxa"/>
          </w:tcPr>
          <w:p w14:paraId="0E93F7C1" w14:textId="77777777" w:rsidR="00727F59" w:rsidRPr="0015057B" w:rsidRDefault="00727F59" w:rsidP="0015057B">
            <w:pPr>
              <w:ind w:left="34"/>
              <w:rPr>
                <w:rFonts w:ascii="Arial" w:hAnsi="Arial" w:cs="Arial"/>
              </w:rPr>
            </w:pPr>
          </w:p>
        </w:tc>
      </w:tr>
      <w:tr w:rsidR="00727F59" w:rsidRPr="00727F59" w14:paraId="3041ED69" w14:textId="77777777" w:rsidTr="00227A29">
        <w:tc>
          <w:tcPr>
            <w:tcW w:w="3468" w:type="dxa"/>
          </w:tcPr>
          <w:p w14:paraId="1FE29ED7" w14:textId="77777777" w:rsidR="00727F59" w:rsidRPr="0015057B" w:rsidRDefault="00727F59" w:rsidP="0015057B">
            <w:pPr>
              <w:ind w:left="34"/>
              <w:rPr>
                <w:rFonts w:ascii="Arial" w:hAnsi="Arial" w:cs="Arial"/>
              </w:rPr>
            </w:pPr>
            <w:r w:rsidRPr="0015057B">
              <w:rPr>
                <w:rFonts w:ascii="Arial" w:hAnsi="Arial" w:cs="Arial"/>
              </w:rPr>
              <w:t>Appellant:</w:t>
            </w:r>
          </w:p>
          <w:p w14:paraId="53F45B9F" w14:textId="77777777" w:rsidR="00727F59" w:rsidRPr="0015057B" w:rsidRDefault="00727F59" w:rsidP="0015057B">
            <w:pPr>
              <w:ind w:left="34"/>
              <w:rPr>
                <w:rFonts w:ascii="Arial" w:hAnsi="Arial" w:cs="Arial"/>
              </w:rPr>
            </w:pPr>
            <w:r w:rsidRPr="0015057B">
              <w:rPr>
                <w:rFonts w:ascii="Arial" w:hAnsi="Arial" w:cs="Arial"/>
              </w:rPr>
              <w:t>Appellant:</w:t>
            </w:r>
          </w:p>
          <w:p w14:paraId="606BC178" w14:textId="77777777" w:rsidR="00727F59" w:rsidRPr="0015057B" w:rsidRDefault="00727F59" w:rsidP="0015057B">
            <w:pPr>
              <w:ind w:left="34"/>
              <w:rPr>
                <w:rFonts w:ascii="Arial" w:hAnsi="Arial" w:cs="Arial"/>
              </w:rPr>
            </w:pPr>
            <w:r w:rsidRPr="0015057B">
              <w:rPr>
                <w:rFonts w:ascii="Arial" w:hAnsi="Arial" w:cs="Arial"/>
              </w:rPr>
              <w:t>Appellant:</w:t>
            </w:r>
          </w:p>
        </w:tc>
        <w:tc>
          <w:tcPr>
            <w:tcW w:w="5888" w:type="dxa"/>
          </w:tcPr>
          <w:p w14:paraId="20EA0937" w14:textId="77777777" w:rsidR="00727F59" w:rsidRPr="0015057B" w:rsidRDefault="00727F59" w:rsidP="0015057B">
            <w:pPr>
              <w:ind w:left="1102"/>
              <w:rPr>
                <w:rFonts w:ascii="Arial" w:hAnsi="Arial" w:cs="Arial"/>
              </w:rPr>
            </w:pPr>
            <w:r w:rsidRPr="0015057B">
              <w:rPr>
                <w:rFonts w:ascii="Arial" w:hAnsi="Arial" w:cs="Arial"/>
              </w:rPr>
              <w:t>Amacon Development (City Centre) Corp</w:t>
            </w:r>
            <w:r w:rsidR="0015057B">
              <w:rPr>
                <w:rFonts w:ascii="Arial" w:hAnsi="Arial" w:cs="Arial"/>
              </w:rPr>
              <w:t>.</w:t>
            </w:r>
          </w:p>
          <w:p w14:paraId="4D7036AE" w14:textId="77777777" w:rsidR="00727F59" w:rsidRPr="0015057B" w:rsidRDefault="00727F59" w:rsidP="0015057B">
            <w:pPr>
              <w:ind w:left="1102"/>
              <w:rPr>
                <w:rFonts w:ascii="Arial" w:hAnsi="Arial" w:cs="Arial"/>
              </w:rPr>
            </w:pPr>
            <w:r w:rsidRPr="0015057B">
              <w:rPr>
                <w:rFonts w:ascii="Arial" w:hAnsi="Arial" w:cs="Arial"/>
              </w:rPr>
              <w:t>Building Industry and Land Development Association</w:t>
            </w:r>
          </w:p>
          <w:p w14:paraId="64EE97C9" w14:textId="77777777" w:rsidR="00727F59" w:rsidRPr="0015057B" w:rsidRDefault="00727F59" w:rsidP="0015057B">
            <w:pPr>
              <w:ind w:left="1102"/>
              <w:rPr>
                <w:rFonts w:ascii="Arial" w:hAnsi="Arial" w:cs="Arial"/>
              </w:rPr>
            </w:pPr>
            <w:r w:rsidRPr="0015057B">
              <w:rPr>
                <w:rFonts w:ascii="Arial" w:hAnsi="Arial" w:cs="Arial"/>
              </w:rPr>
              <w:t>Orlando Corporation</w:t>
            </w:r>
          </w:p>
        </w:tc>
      </w:tr>
      <w:tr w:rsidR="00727F59" w:rsidRPr="00727F59" w14:paraId="07F51432" w14:textId="77777777" w:rsidTr="00227A29">
        <w:tc>
          <w:tcPr>
            <w:tcW w:w="3468" w:type="dxa"/>
          </w:tcPr>
          <w:p w14:paraId="6C3DA47E" w14:textId="77777777" w:rsidR="00727F59" w:rsidRPr="0015057B" w:rsidRDefault="00727F59" w:rsidP="0015057B">
            <w:pPr>
              <w:ind w:left="34"/>
              <w:rPr>
                <w:rFonts w:ascii="Arial" w:hAnsi="Arial" w:cs="Arial"/>
              </w:rPr>
            </w:pPr>
            <w:r w:rsidRPr="0015057B">
              <w:rPr>
                <w:rFonts w:ascii="Arial" w:hAnsi="Arial" w:cs="Arial"/>
              </w:rPr>
              <w:t>Subject:</w:t>
            </w:r>
          </w:p>
        </w:tc>
        <w:tc>
          <w:tcPr>
            <w:tcW w:w="5888" w:type="dxa"/>
          </w:tcPr>
          <w:p w14:paraId="13DC5D54" w14:textId="77777777" w:rsidR="00727F59" w:rsidRPr="0015057B" w:rsidRDefault="00727F59" w:rsidP="0015057B">
            <w:pPr>
              <w:ind w:left="1102"/>
              <w:rPr>
                <w:rFonts w:ascii="Arial" w:hAnsi="Arial" w:cs="Arial"/>
              </w:rPr>
            </w:pPr>
            <w:r w:rsidRPr="0015057B">
              <w:rPr>
                <w:rFonts w:ascii="Arial" w:hAnsi="Arial" w:cs="Arial"/>
              </w:rPr>
              <w:t>Development Charges By-law No. 0161-2</w:t>
            </w:r>
            <w:r w:rsidR="005F7A3D">
              <w:rPr>
                <w:rFonts w:ascii="Arial" w:hAnsi="Arial" w:cs="Arial"/>
              </w:rPr>
              <w:t>014</w:t>
            </w:r>
          </w:p>
        </w:tc>
      </w:tr>
      <w:tr w:rsidR="00727F59" w:rsidRPr="00727F59" w14:paraId="38EC0DCE" w14:textId="77777777" w:rsidTr="00227A29">
        <w:tc>
          <w:tcPr>
            <w:tcW w:w="3468" w:type="dxa"/>
          </w:tcPr>
          <w:p w14:paraId="601469E0" w14:textId="77777777" w:rsidR="00727F59" w:rsidRPr="0015057B" w:rsidRDefault="00727F59" w:rsidP="0015057B">
            <w:pPr>
              <w:ind w:left="34"/>
              <w:rPr>
                <w:rFonts w:ascii="Arial" w:hAnsi="Arial" w:cs="Arial"/>
              </w:rPr>
            </w:pPr>
            <w:r w:rsidRPr="0015057B">
              <w:rPr>
                <w:rFonts w:ascii="Arial" w:hAnsi="Arial" w:cs="Arial"/>
              </w:rPr>
              <w:t>Municipality:</w:t>
            </w:r>
          </w:p>
        </w:tc>
        <w:tc>
          <w:tcPr>
            <w:tcW w:w="5888" w:type="dxa"/>
          </w:tcPr>
          <w:p w14:paraId="0A2E9A8F" w14:textId="77777777" w:rsidR="00727F59" w:rsidRPr="0015057B" w:rsidRDefault="00727F59" w:rsidP="0015057B">
            <w:pPr>
              <w:ind w:left="1102"/>
              <w:rPr>
                <w:rFonts w:ascii="Arial" w:hAnsi="Arial" w:cs="Arial"/>
              </w:rPr>
            </w:pPr>
            <w:r w:rsidRPr="0015057B">
              <w:rPr>
                <w:rFonts w:ascii="Arial" w:hAnsi="Arial" w:cs="Arial"/>
              </w:rPr>
              <w:t>City of Mississauga</w:t>
            </w:r>
            <w:bookmarkStart w:id="2" w:name="_GoBack"/>
            <w:bookmarkEnd w:id="2"/>
          </w:p>
        </w:tc>
      </w:tr>
      <w:tr w:rsidR="00727F59" w:rsidRPr="00727F59" w14:paraId="09724586" w14:textId="77777777" w:rsidTr="00227A29">
        <w:tc>
          <w:tcPr>
            <w:tcW w:w="3468" w:type="dxa"/>
          </w:tcPr>
          <w:p w14:paraId="52DA77F8" w14:textId="77777777" w:rsidR="00727F59" w:rsidRPr="0015057B" w:rsidRDefault="00727F59" w:rsidP="0015057B">
            <w:pPr>
              <w:ind w:left="34"/>
              <w:rPr>
                <w:rFonts w:ascii="Arial" w:hAnsi="Arial" w:cs="Arial"/>
              </w:rPr>
            </w:pPr>
            <w:r w:rsidRPr="0015057B">
              <w:rPr>
                <w:rFonts w:ascii="Arial" w:hAnsi="Arial" w:cs="Arial"/>
              </w:rPr>
              <w:t xml:space="preserve">OMB Case No.: </w:t>
            </w:r>
          </w:p>
        </w:tc>
        <w:tc>
          <w:tcPr>
            <w:tcW w:w="5888" w:type="dxa"/>
          </w:tcPr>
          <w:p w14:paraId="223940A9" w14:textId="77777777" w:rsidR="00727F59" w:rsidRPr="0015057B" w:rsidRDefault="00727F59" w:rsidP="0015057B">
            <w:pPr>
              <w:ind w:left="1102"/>
              <w:rPr>
                <w:rFonts w:ascii="Arial" w:hAnsi="Arial" w:cs="Arial"/>
              </w:rPr>
            </w:pPr>
            <w:r w:rsidRPr="0015057B">
              <w:rPr>
                <w:rFonts w:ascii="Arial" w:hAnsi="Arial" w:cs="Arial"/>
              </w:rPr>
              <w:t>DC140020</w:t>
            </w:r>
          </w:p>
        </w:tc>
      </w:tr>
      <w:tr w:rsidR="00727F59" w:rsidRPr="00727F59" w14:paraId="6F363261" w14:textId="77777777" w:rsidTr="00227A29">
        <w:tc>
          <w:tcPr>
            <w:tcW w:w="3468" w:type="dxa"/>
          </w:tcPr>
          <w:p w14:paraId="7FE1ED02" w14:textId="77777777" w:rsidR="00727F59" w:rsidRPr="0015057B" w:rsidRDefault="00727F59" w:rsidP="0015057B">
            <w:pPr>
              <w:ind w:left="34"/>
              <w:rPr>
                <w:rFonts w:ascii="Arial" w:hAnsi="Arial" w:cs="Arial"/>
              </w:rPr>
            </w:pPr>
            <w:r w:rsidRPr="0015057B">
              <w:rPr>
                <w:rFonts w:ascii="Arial" w:hAnsi="Arial" w:cs="Arial"/>
              </w:rPr>
              <w:t xml:space="preserve">OMB File No.: </w:t>
            </w:r>
          </w:p>
        </w:tc>
        <w:tc>
          <w:tcPr>
            <w:tcW w:w="5888" w:type="dxa"/>
          </w:tcPr>
          <w:p w14:paraId="194E62EF" w14:textId="77777777" w:rsidR="00727F59" w:rsidRPr="0015057B" w:rsidRDefault="00727F59" w:rsidP="0015057B">
            <w:pPr>
              <w:ind w:left="1102"/>
              <w:rPr>
                <w:rFonts w:ascii="Arial" w:hAnsi="Arial" w:cs="Arial"/>
              </w:rPr>
            </w:pPr>
            <w:r w:rsidRPr="0015057B">
              <w:rPr>
                <w:rFonts w:ascii="Arial" w:hAnsi="Arial" w:cs="Arial"/>
              </w:rPr>
              <w:t>DC140020</w:t>
            </w:r>
          </w:p>
        </w:tc>
      </w:tr>
      <w:tr w:rsidR="00727F59" w:rsidRPr="00727F59" w14:paraId="5348B130" w14:textId="77777777" w:rsidTr="00227A29">
        <w:tc>
          <w:tcPr>
            <w:tcW w:w="3468" w:type="dxa"/>
          </w:tcPr>
          <w:p w14:paraId="0D379EFD" w14:textId="77777777" w:rsidR="00727F59" w:rsidRPr="0015057B" w:rsidRDefault="00727F59" w:rsidP="0015057B">
            <w:pPr>
              <w:ind w:left="34"/>
              <w:rPr>
                <w:rFonts w:ascii="Arial" w:hAnsi="Arial" w:cs="Arial"/>
              </w:rPr>
            </w:pPr>
            <w:r w:rsidRPr="0015057B">
              <w:rPr>
                <w:rFonts w:ascii="Arial" w:hAnsi="Arial" w:cs="Arial"/>
              </w:rPr>
              <w:t>OMB Case Name:</w:t>
            </w:r>
            <w:r w:rsidRPr="0015057B">
              <w:rPr>
                <w:rFonts w:ascii="Arial" w:hAnsi="Arial" w:cs="Arial"/>
              </w:rPr>
              <w:tab/>
            </w:r>
            <w:r w:rsidRPr="0015057B">
              <w:rPr>
                <w:rFonts w:ascii="Arial" w:hAnsi="Arial" w:cs="Arial"/>
              </w:rPr>
              <w:tab/>
              <w:t xml:space="preserve">          </w:t>
            </w:r>
          </w:p>
        </w:tc>
        <w:tc>
          <w:tcPr>
            <w:tcW w:w="5888" w:type="dxa"/>
          </w:tcPr>
          <w:p w14:paraId="29DB0B2E" w14:textId="77777777" w:rsidR="00727F59" w:rsidRPr="0015057B" w:rsidRDefault="00727F59" w:rsidP="0015057B">
            <w:pPr>
              <w:ind w:left="1102"/>
              <w:rPr>
                <w:rFonts w:ascii="Arial" w:hAnsi="Arial" w:cs="Arial"/>
              </w:rPr>
            </w:pPr>
            <w:r w:rsidRPr="0015057B">
              <w:rPr>
                <w:rFonts w:ascii="Arial" w:hAnsi="Arial" w:cs="Arial"/>
              </w:rPr>
              <w:t>Amacon Development (City Centre) Corp</w:t>
            </w:r>
            <w:r w:rsidR="0015057B">
              <w:rPr>
                <w:rFonts w:ascii="Arial" w:hAnsi="Arial" w:cs="Arial"/>
              </w:rPr>
              <w:t>.</w:t>
            </w:r>
            <w:r w:rsidRPr="0015057B">
              <w:rPr>
                <w:rFonts w:ascii="Arial" w:hAnsi="Arial" w:cs="Arial"/>
              </w:rPr>
              <w:t xml:space="preserve"> v. Mississauga (City)</w:t>
            </w:r>
          </w:p>
        </w:tc>
      </w:tr>
    </w:tbl>
    <w:p w14:paraId="26C2513C" w14:textId="77777777" w:rsidR="00D11C1E" w:rsidRPr="00D11C1E" w:rsidRDefault="00D11C1E" w:rsidP="007B76AB">
      <w:pPr>
        <w:pStyle w:val="StyleofClause"/>
        <w:rPr>
          <w:lang w:val="en-US"/>
        </w:rPr>
      </w:pPr>
    </w:p>
    <w:tbl>
      <w:tblPr>
        <w:tblStyle w:val="TableGrid"/>
        <w:tblW w:w="0" w:type="auto"/>
        <w:tblLook w:val="04A0" w:firstRow="1" w:lastRow="0" w:firstColumn="1" w:lastColumn="0" w:noHBand="0" w:noVBand="1"/>
      </w:tblPr>
      <w:tblGrid>
        <w:gridCol w:w="3402"/>
        <w:gridCol w:w="5958"/>
      </w:tblGrid>
      <w:tr w:rsidR="002B54C9" w14:paraId="69D15888" w14:textId="77777777" w:rsidTr="00835339">
        <w:tc>
          <w:tcPr>
            <w:tcW w:w="3402" w:type="dxa"/>
            <w:tcBorders>
              <w:top w:val="nil"/>
              <w:left w:val="nil"/>
              <w:bottom w:val="nil"/>
              <w:right w:val="nil"/>
            </w:tcBorders>
          </w:tcPr>
          <w:p w14:paraId="07B339A0" w14:textId="77777777" w:rsidR="00BC335B" w:rsidRDefault="00BC335B" w:rsidP="007B76AB">
            <w:pPr>
              <w:rPr>
                <w:rFonts w:ascii="Arial" w:hAnsi="Arial" w:cs="Arial"/>
                <w:b/>
              </w:rPr>
            </w:pPr>
          </w:p>
          <w:p w14:paraId="01B665E7" w14:textId="77777777" w:rsidR="002B54C9" w:rsidRPr="002B54C9" w:rsidRDefault="002B54C9" w:rsidP="007B76AB">
            <w:pPr>
              <w:rPr>
                <w:rFonts w:ascii="Arial" w:hAnsi="Arial" w:cs="Arial"/>
                <w:b/>
              </w:rPr>
            </w:pPr>
            <w:r>
              <w:rPr>
                <w:rFonts w:ascii="Arial" w:hAnsi="Arial" w:cs="Arial"/>
                <w:b/>
              </w:rPr>
              <w:t>Heard:</w:t>
            </w:r>
          </w:p>
        </w:tc>
        <w:tc>
          <w:tcPr>
            <w:tcW w:w="5958" w:type="dxa"/>
            <w:tcBorders>
              <w:top w:val="nil"/>
              <w:left w:val="nil"/>
              <w:bottom w:val="nil"/>
              <w:right w:val="nil"/>
            </w:tcBorders>
          </w:tcPr>
          <w:p w14:paraId="4D6FF9ED" w14:textId="77777777" w:rsidR="00BC335B" w:rsidRDefault="00BC335B" w:rsidP="0015057B">
            <w:pPr>
              <w:ind w:left="1162"/>
              <w:rPr>
                <w:rFonts w:ascii="Arial" w:hAnsi="Arial" w:cs="Arial"/>
              </w:rPr>
            </w:pPr>
          </w:p>
          <w:p w14:paraId="5BD3DCFA" w14:textId="77777777" w:rsidR="002B54C9" w:rsidRDefault="00835339" w:rsidP="0015057B">
            <w:pPr>
              <w:ind w:left="1162"/>
              <w:rPr>
                <w:rFonts w:ascii="Arial" w:hAnsi="Arial" w:cs="Arial"/>
              </w:rPr>
            </w:pPr>
            <w:r>
              <w:rPr>
                <w:rFonts w:ascii="Arial" w:hAnsi="Arial" w:cs="Arial"/>
              </w:rPr>
              <w:t xml:space="preserve">June 10 – June 19 in Mississauga, Ontario, and </w:t>
            </w:r>
            <w:r w:rsidR="005F7A3D">
              <w:rPr>
                <w:rFonts w:ascii="Arial" w:hAnsi="Arial" w:cs="Arial"/>
              </w:rPr>
              <w:t xml:space="preserve">by </w:t>
            </w:r>
            <w:r>
              <w:rPr>
                <w:rFonts w:ascii="Arial" w:hAnsi="Arial" w:cs="Arial"/>
              </w:rPr>
              <w:t xml:space="preserve">Written Submissions </w:t>
            </w:r>
            <w:r w:rsidR="005F7A3D">
              <w:rPr>
                <w:rFonts w:ascii="Arial" w:hAnsi="Arial" w:cs="Arial"/>
              </w:rPr>
              <w:t xml:space="preserve">on </w:t>
            </w:r>
            <w:r>
              <w:rPr>
                <w:rFonts w:ascii="Arial" w:hAnsi="Arial" w:cs="Arial"/>
              </w:rPr>
              <w:t>July 8, 2019</w:t>
            </w:r>
          </w:p>
        </w:tc>
      </w:tr>
    </w:tbl>
    <w:p w14:paraId="1F3E40F6" w14:textId="77777777" w:rsidR="003918DD" w:rsidRPr="003918DD" w:rsidRDefault="003918DD" w:rsidP="007B76AB">
      <w:pPr>
        <w:rPr>
          <w:rFonts w:ascii="Arial" w:hAnsi="Arial" w:cs="Arial"/>
        </w:rPr>
      </w:pPr>
    </w:p>
    <w:p w14:paraId="324ED1E5" w14:textId="77777777" w:rsidR="007B76AB" w:rsidRPr="007C245D" w:rsidRDefault="007B76AB" w:rsidP="007B76AB">
      <w:pPr>
        <w:rPr>
          <w:vanish/>
        </w:rPr>
      </w:pPr>
    </w:p>
    <w:tbl>
      <w:tblPr>
        <w:tblW w:w="9464" w:type="dxa"/>
        <w:tblLook w:val="0000" w:firstRow="0" w:lastRow="0" w:firstColumn="0" w:lastColumn="0" w:noHBand="0" w:noVBand="0"/>
      </w:tblPr>
      <w:tblGrid>
        <w:gridCol w:w="4536"/>
        <w:gridCol w:w="4928"/>
      </w:tblGrid>
      <w:tr w:rsidR="007B76AB" w:rsidRPr="004704FF" w14:paraId="551472A8" w14:textId="77777777" w:rsidTr="00835339">
        <w:tc>
          <w:tcPr>
            <w:tcW w:w="4536" w:type="dxa"/>
          </w:tcPr>
          <w:p w14:paraId="14D6FE55" w14:textId="77777777" w:rsidR="007B76AB" w:rsidRPr="004704FF" w:rsidRDefault="007B76AB" w:rsidP="00AB6FEF">
            <w:pPr>
              <w:rPr>
                <w:rFonts w:ascii="Arial" w:hAnsi="Arial" w:cs="Arial"/>
                <w:b/>
                <w:u w:val="single"/>
                <w:lang w:val="en-CA"/>
              </w:rPr>
            </w:pPr>
            <w:r w:rsidRPr="004704FF">
              <w:rPr>
                <w:rFonts w:ascii="Arial" w:hAnsi="Arial" w:cs="Arial"/>
                <w:b/>
                <w:lang w:val="en-CA"/>
              </w:rPr>
              <w:t>APPEARANCES:</w:t>
            </w:r>
          </w:p>
        </w:tc>
        <w:tc>
          <w:tcPr>
            <w:tcW w:w="4928" w:type="dxa"/>
          </w:tcPr>
          <w:p w14:paraId="16E7C8F1" w14:textId="77777777" w:rsidR="007B76AB" w:rsidRPr="004704FF" w:rsidRDefault="007B76AB" w:rsidP="00AB6FEF">
            <w:pPr>
              <w:tabs>
                <w:tab w:val="left" w:pos="3402"/>
              </w:tabs>
              <w:rPr>
                <w:rFonts w:ascii="Arial" w:hAnsi="Arial" w:cs="Arial"/>
                <w:b/>
                <w:u w:val="single"/>
                <w:lang w:val="en-CA"/>
              </w:rPr>
            </w:pPr>
          </w:p>
        </w:tc>
      </w:tr>
      <w:tr w:rsidR="007B76AB" w:rsidRPr="004704FF" w14:paraId="7A8F6F80" w14:textId="77777777" w:rsidTr="00835339">
        <w:tc>
          <w:tcPr>
            <w:tcW w:w="4536" w:type="dxa"/>
          </w:tcPr>
          <w:p w14:paraId="0C7F7E36" w14:textId="77777777" w:rsidR="007B76AB" w:rsidRPr="004704FF" w:rsidRDefault="007B76AB" w:rsidP="00AB6FEF">
            <w:pPr>
              <w:tabs>
                <w:tab w:val="left" w:pos="3402"/>
              </w:tabs>
              <w:rPr>
                <w:rFonts w:ascii="Arial" w:hAnsi="Arial" w:cs="Arial"/>
                <w:b/>
                <w:u w:val="single"/>
                <w:lang w:val="en-CA"/>
              </w:rPr>
            </w:pPr>
          </w:p>
        </w:tc>
        <w:tc>
          <w:tcPr>
            <w:tcW w:w="4928" w:type="dxa"/>
          </w:tcPr>
          <w:p w14:paraId="121995AB" w14:textId="77777777" w:rsidR="007B76AB" w:rsidRPr="004704FF" w:rsidRDefault="007B76AB" w:rsidP="00AB6FEF">
            <w:pPr>
              <w:tabs>
                <w:tab w:val="left" w:pos="3402"/>
              </w:tabs>
              <w:rPr>
                <w:rFonts w:ascii="Arial" w:hAnsi="Arial" w:cs="Arial"/>
                <w:b/>
                <w:u w:val="single"/>
                <w:lang w:val="en-CA"/>
              </w:rPr>
            </w:pPr>
          </w:p>
        </w:tc>
      </w:tr>
      <w:tr w:rsidR="007B76AB" w:rsidRPr="004704FF" w14:paraId="33ED7C9E" w14:textId="77777777" w:rsidTr="0015057B">
        <w:tc>
          <w:tcPr>
            <w:tcW w:w="4536" w:type="dxa"/>
          </w:tcPr>
          <w:p w14:paraId="6BB56C0C" w14:textId="77777777" w:rsidR="007B76AB" w:rsidRPr="004704FF" w:rsidRDefault="007B76AB" w:rsidP="00AB6FEF">
            <w:pPr>
              <w:tabs>
                <w:tab w:val="left" w:pos="3402"/>
              </w:tabs>
              <w:rPr>
                <w:rFonts w:ascii="Arial" w:hAnsi="Arial" w:cs="Arial"/>
                <w:b/>
                <w:u w:val="single"/>
                <w:lang w:val="en-CA"/>
              </w:rPr>
            </w:pPr>
            <w:bookmarkStart w:id="3" w:name="Parties"/>
            <w:r w:rsidRPr="004704FF">
              <w:rPr>
                <w:rFonts w:ascii="Arial" w:hAnsi="Arial" w:cs="Arial"/>
                <w:b/>
                <w:u w:val="single"/>
                <w:lang w:val="en-CA"/>
              </w:rPr>
              <w:t>Parties</w:t>
            </w:r>
            <w:bookmarkEnd w:id="3"/>
          </w:p>
        </w:tc>
        <w:tc>
          <w:tcPr>
            <w:tcW w:w="4928" w:type="dxa"/>
          </w:tcPr>
          <w:p w14:paraId="29FEED97" w14:textId="77777777" w:rsidR="007B76AB" w:rsidRPr="004704FF" w:rsidRDefault="007B76AB" w:rsidP="00AB6FEF">
            <w:pPr>
              <w:tabs>
                <w:tab w:val="left" w:pos="3402"/>
              </w:tabs>
              <w:rPr>
                <w:rFonts w:ascii="Arial" w:hAnsi="Arial" w:cs="Arial"/>
                <w:b/>
                <w:u w:val="single"/>
                <w:lang w:val="en-CA"/>
              </w:rPr>
            </w:pPr>
            <w:bookmarkStart w:id="4" w:name="CounselAgent"/>
            <w:r w:rsidRPr="004704FF">
              <w:rPr>
                <w:rFonts w:ascii="Arial" w:hAnsi="Arial" w:cs="Arial"/>
                <w:b/>
                <w:u w:val="single"/>
                <w:lang w:val="en-CA"/>
              </w:rPr>
              <w:t>Counsel</w:t>
            </w:r>
            <w:bookmarkEnd w:id="4"/>
          </w:p>
        </w:tc>
      </w:tr>
      <w:tr w:rsidR="0015057B" w:rsidRPr="004704FF" w14:paraId="1119AFA1" w14:textId="77777777" w:rsidTr="0015057B">
        <w:tc>
          <w:tcPr>
            <w:tcW w:w="4536" w:type="dxa"/>
          </w:tcPr>
          <w:p w14:paraId="38D28D2B" w14:textId="77777777" w:rsidR="0015057B" w:rsidRDefault="0015057B" w:rsidP="00AB6FEF">
            <w:pPr>
              <w:pStyle w:val="PartiesCounselAgent"/>
              <w:tabs>
                <w:tab w:val="left" w:pos="3402"/>
              </w:tabs>
              <w:rPr>
                <w:rFonts w:cs="Arial"/>
                <w:lang w:eastAsia="en-CA"/>
              </w:rPr>
            </w:pPr>
          </w:p>
        </w:tc>
        <w:tc>
          <w:tcPr>
            <w:tcW w:w="4928" w:type="dxa"/>
          </w:tcPr>
          <w:p w14:paraId="007E8750" w14:textId="77777777" w:rsidR="0015057B" w:rsidRDefault="0015057B" w:rsidP="00AB6FEF">
            <w:pPr>
              <w:pStyle w:val="PartiesCounselAgent"/>
              <w:tabs>
                <w:tab w:val="left" w:pos="3402"/>
              </w:tabs>
              <w:rPr>
                <w:rFonts w:cs="Arial"/>
                <w:lang w:eastAsia="en-CA"/>
              </w:rPr>
            </w:pPr>
          </w:p>
        </w:tc>
      </w:tr>
      <w:tr w:rsidR="007B76AB" w:rsidRPr="004704FF" w14:paraId="185DAAF3" w14:textId="77777777" w:rsidTr="0015057B">
        <w:tc>
          <w:tcPr>
            <w:tcW w:w="4536" w:type="dxa"/>
          </w:tcPr>
          <w:p w14:paraId="2173635F" w14:textId="77777777" w:rsidR="007B76AB" w:rsidRPr="004704FF" w:rsidRDefault="00835339" w:rsidP="00AB6FEF">
            <w:pPr>
              <w:pStyle w:val="PartiesCounselAgent"/>
              <w:tabs>
                <w:tab w:val="left" w:pos="3402"/>
              </w:tabs>
              <w:rPr>
                <w:rFonts w:cs="Arial"/>
                <w:lang w:eastAsia="en-CA"/>
              </w:rPr>
            </w:pPr>
            <w:r>
              <w:rPr>
                <w:rFonts w:cs="Arial"/>
                <w:lang w:eastAsia="en-CA"/>
              </w:rPr>
              <w:t>Amacon Development (City Centre) Corp.</w:t>
            </w:r>
          </w:p>
        </w:tc>
        <w:tc>
          <w:tcPr>
            <w:tcW w:w="4928" w:type="dxa"/>
          </w:tcPr>
          <w:p w14:paraId="62B7F51C" w14:textId="77777777" w:rsidR="007B76AB" w:rsidRDefault="00835339" w:rsidP="00AB6FEF">
            <w:pPr>
              <w:pStyle w:val="PartiesCounselAgent"/>
              <w:tabs>
                <w:tab w:val="left" w:pos="3402"/>
              </w:tabs>
              <w:rPr>
                <w:rFonts w:cs="Arial"/>
                <w:lang w:eastAsia="en-CA"/>
              </w:rPr>
            </w:pPr>
            <w:r>
              <w:rPr>
                <w:rFonts w:cs="Arial"/>
                <w:lang w:eastAsia="en-CA"/>
              </w:rPr>
              <w:t>S. Rosenthal</w:t>
            </w:r>
          </w:p>
          <w:p w14:paraId="46432134" w14:textId="77777777" w:rsidR="00835339" w:rsidRPr="004704FF" w:rsidRDefault="00835339" w:rsidP="00AB6FEF">
            <w:pPr>
              <w:pStyle w:val="PartiesCounselAgent"/>
              <w:tabs>
                <w:tab w:val="left" w:pos="3402"/>
              </w:tabs>
              <w:rPr>
                <w:rFonts w:cs="Arial"/>
                <w:lang w:eastAsia="en-CA"/>
              </w:rPr>
            </w:pPr>
            <w:r>
              <w:rPr>
                <w:rFonts w:cs="Arial"/>
                <w:lang w:eastAsia="en-CA"/>
              </w:rPr>
              <w:t>A. Lusty</w:t>
            </w:r>
          </w:p>
        </w:tc>
      </w:tr>
      <w:tr w:rsidR="00BC335B" w:rsidRPr="004704FF" w14:paraId="1D270532" w14:textId="77777777" w:rsidTr="0015057B">
        <w:tc>
          <w:tcPr>
            <w:tcW w:w="4536" w:type="dxa"/>
          </w:tcPr>
          <w:p w14:paraId="5C73E4B2" w14:textId="77777777" w:rsidR="00BC335B" w:rsidRDefault="00BC335B" w:rsidP="00AB6FEF">
            <w:pPr>
              <w:pStyle w:val="PartiesCounselAgent"/>
              <w:tabs>
                <w:tab w:val="left" w:pos="3402"/>
              </w:tabs>
              <w:rPr>
                <w:rFonts w:cs="Arial"/>
                <w:lang w:eastAsia="en-CA"/>
              </w:rPr>
            </w:pPr>
          </w:p>
        </w:tc>
        <w:tc>
          <w:tcPr>
            <w:tcW w:w="4928" w:type="dxa"/>
          </w:tcPr>
          <w:p w14:paraId="6519783F" w14:textId="77777777" w:rsidR="00BC335B" w:rsidRDefault="00BC335B" w:rsidP="00AB6FEF">
            <w:pPr>
              <w:pStyle w:val="PartiesCounselAgent"/>
              <w:tabs>
                <w:tab w:val="left" w:pos="3402"/>
              </w:tabs>
              <w:rPr>
                <w:rFonts w:cs="Arial"/>
                <w:lang w:eastAsia="en-CA"/>
              </w:rPr>
            </w:pPr>
          </w:p>
        </w:tc>
      </w:tr>
      <w:tr w:rsidR="007B76AB" w:rsidRPr="004704FF" w14:paraId="1F921C29" w14:textId="77777777" w:rsidTr="0015057B">
        <w:tc>
          <w:tcPr>
            <w:tcW w:w="4536" w:type="dxa"/>
          </w:tcPr>
          <w:p w14:paraId="7CFF0FC0" w14:textId="77777777" w:rsidR="007B76AB" w:rsidRPr="004704FF" w:rsidRDefault="00835339" w:rsidP="00AB6FEF">
            <w:pPr>
              <w:pStyle w:val="PartiesCounselAgent"/>
              <w:tabs>
                <w:tab w:val="left" w:pos="3402"/>
              </w:tabs>
              <w:rPr>
                <w:rFonts w:cs="Arial"/>
              </w:rPr>
            </w:pPr>
            <w:r>
              <w:rPr>
                <w:rFonts w:cs="Arial"/>
              </w:rPr>
              <w:lastRenderedPageBreak/>
              <w:t>City of Mississauga</w:t>
            </w:r>
          </w:p>
        </w:tc>
        <w:tc>
          <w:tcPr>
            <w:tcW w:w="4928" w:type="dxa"/>
          </w:tcPr>
          <w:p w14:paraId="600C289E" w14:textId="77777777" w:rsidR="007B76AB" w:rsidRDefault="00835339" w:rsidP="00AB6FEF">
            <w:pPr>
              <w:pStyle w:val="PartiesCounselAgent"/>
              <w:tabs>
                <w:tab w:val="left" w:pos="3402"/>
              </w:tabs>
              <w:rPr>
                <w:rFonts w:cs="Arial"/>
              </w:rPr>
            </w:pPr>
            <w:r>
              <w:rPr>
                <w:rFonts w:cs="Arial"/>
              </w:rPr>
              <w:t>P. DeMelo</w:t>
            </w:r>
          </w:p>
          <w:p w14:paraId="4D7F1694" w14:textId="77777777" w:rsidR="00835339" w:rsidRPr="004704FF" w:rsidRDefault="00835339" w:rsidP="00AB6FEF">
            <w:pPr>
              <w:pStyle w:val="PartiesCounselAgent"/>
              <w:tabs>
                <w:tab w:val="left" w:pos="3402"/>
              </w:tabs>
              <w:rPr>
                <w:rFonts w:cs="Arial"/>
              </w:rPr>
            </w:pPr>
            <w:r>
              <w:rPr>
                <w:rFonts w:cs="Arial"/>
              </w:rPr>
              <w:t>L. Magi</w:t>
            </w:r>
          </w:p>
        </w:tc>
      </w:tr>
      <w:tr w:rsidR="0015057B" w:rsidRPr="004704FF" w14:paraId="4BE3BCA9" w14:textId="77777777" w:rsidTr="0015057B">
        <w:tc>
          <w:tcPr>
            <w:tcW w:w="4536" w:type="dxa"/>
          </w:tcPr>
          <w:p w14:paraId="434F160E" w14:textId="77777777" w:rsidR="0015057B" w:rsidRDefault="0015057B" w:rsidP="00AB6FEF">
            <w:pPr>
              <w:pStyle w:val="PartiesCounselAgent"/>
              <w:tabs>
                <w:tab w:val="left" w:pos="3402"/>
              </w:tabs>
              <w:rPr>
                <w:rFonts w:cs="Arial"/>
              </w:rPr>
            </w:pPr>
          </w:p>
        </w:tc>
        <w:tc>
          <w:tcPr>
            <w:tcW w:w="4928" w:type="dxa"/>
          </w:tcPr>
          <w:p w14:paraId="4C0DE3AA" w14:textId="77777777" w:rsidR="0015057B" w:rsidRDefault="0015057B" w:rsidP="00AB6FEF">
            <w:pPr>
              <w:pStyle w:val="PartiesCounselAgent"/>
              <w:tabs>
                <w:tab w:val="left" w:pos="3402"/>
              </w:tabs>
              <w:rPr>
                <w:rFonts w:cs="Arial"/>
              </w:rPr>
            </w:pPr>
          </w:p>
        </w:tc>
      </w:tr>
      <w:tr w:rsidR="007B76AB" w:rsidRPr="004704FF" w14:paraId="0A9072F4" w14:textId="77777777" w:rsidTr="0015057B">
        <w:tc>
          <w:tcPr>
            <w:tcW w:w="4536" w:type="dxa"/>
          </w:tcPr>
          <w:p w14:paraId="7AC9794E" w14:textId="77777777" w:rsidR="007B76AB" w:rsidRPr="004704FF" w:rsidRDefault="00835339" w:rsidP="00AB6FEF">
            <w:pPr>
              <w:tabs>
                <w:tab w:val="left" w:pos="3402"/>
              </w:tabs>
              <w:rPr>
                <w:rFonts w:ascii="Arial" w:hAnsi="Arial" w:cs="Arial"/>
                <w:lang w:val="en-CA" w:eastAsia="en-CA"/>
              </w:rPr>
            </w:pPr>
            <w:r>
              <w:rPr>
                <w:rFonts w:ascii="Arial" w:hAnsi="Arial" w:cs="Arial"/>
                <w:lang w:val="en-CA" w:eastAsia="en-CA"/>
              </w:rPr>
              <w:t>Building Industry and Land Development Association</w:t>
            </w:r>
          </w:p>
        </w:tc>
        <w:tc>
          <w:tcPr>
            <w:tcW w:w="4928" w:type="dxa"/>
          </w:tcPr>
          <w:p w14:paraId="1E3FA457" w14:textId="77777777" w:rsidR="007B76AB" w:rsidRPr="004704FF" w:rsidRDefault="00835339" w:rsidP="00AB6FEF">
            <w:pPr>
              <w:pStyle w:val="PartiesCounselAgent"/>
              <w:tabs>
                <w:tab w:val="left" w:pos="3402"/>
              </w:tabs>
              <w:rPr>
                <w:rFonts w:cs="Arial"/>
              </w:rPr>
            </w:pPr>
            <w:r>
              <w:rPr>
                <w:rFonts w:cs="Arial"/>
              </w:rPr>
              <w:t>S. Rosenthal for R. Howe</w:t>
            </w:r>
          </w:p>
        </w:tc>
      </w:tr>
    </w:tbl>
    <w:p w14:paraId="6296A9D8" w14:textId="77777777" w:rsidR="007B76AB" w:rsidRDefault="007B76AB" w:rsidP="007B76AB">
      <w:pPr>
        <w:pStyle w:val="DecisionDeliveredby"/>
        <w:pBdr>
          <w:bottom w:val="single" w:sz="4" w:space="1" w:color="auto"/>
        </w:pBdr>
        <w:rPr>
          <w:rFonts w:cs="Arial"/>
        </w:rPr>
      </w:pPr>
    </w:p>
    <w:p w14:paraId="48FEADF1" w14:textId="77777777" w:rsidR="009A6A2E" w:rsidRDefault="009A6A2E" w:rsidP="007B76AB">
      <w:pPr>
        <w:pStyle w:val="DecisionDeliveredby"/>
        <w:pBdr>
          <w:bottom w:val="single" w:sz="4" w:space="1" w:color="auto"/>
        </w:pBdr>
        <w:rPr>
          <w:rFonts w:cs="Arial"/>
        </w:rPr>
      </w:pPr>
    </w:p>
    <w:p w14:paraId="6D63D4A9" w14:textId="77777777" w:rsidR="007B76AB" w:rsidRPr="00835339" w:rsidRDefault="007B76AB" w:rsidP="00835339">
      <w:pPr>
        <w:pStyle w:val="DecisionDeliveredby"/>
        <w:pBdr>
          <w:bottom w:val="single" w:sz="4" w:space="1" w:color="auto"/>
        </w:pBdr>
        <w:rPr>
          <w:rFonts w:cs="Arial"/>
        </w:rPr>
      </w:pPr>
      <w:r w:rsidRPr="004704FF">
        <w:rPr>
          <w:rFonts w:cs="Arial"/>
        </w:rPr>
        <w:t>DECISION DELIVERED BY SUSAN de AVELLAR SCHILLER AND</w:t>
      </w:r>
      <w:r w:rsidR="00D11C1E">
        <w:rPr>
          <w:rFonts w:cs="Arial"/>
        </w:rPr>
        <w:t xml:space="preserve"> ORDER OF THE TRIBUNAL</w:t>
      </w:r>
    </w:p>
    <w:p w14:paraId="29E236A1" w14:textId="77777777" w:rsidR="00835339" w:rsidRDefault="00835339" w:rsidP="007B76AB">
      <w:pPr>
        <w:pStyle w:val="DecisionBody"/>
        <w:spacing w:beforeLines="150" w:before="360" w:afterLines="150" w:after="360"/>
        <w:rPr>
          <w:rFonts w:cs="Arial"/>
        </w:rPr>
      </w:pPr>
      <w:r>
        <w:rPr>
          <w:rFonts w:cs="Arial"/>
        </w:rPr>
        <w:t xml:space="preserve">Amacon Development (City Centre) Corp. (“Amacon”), Orlando Corporation (“Orlando”) and Building Industry and Land Development Association (“BILD”) appealed the City of Mississauga (“City”) Development Charges By-law </w:t>
      </w:r>
      <w:r w:rsidR="002B2ED3">
        <w:rPr>
          <w:rFonts w:cs="Arial"/>
        </w:rPr>
        <w:t xml:space="preserve">No. </w:t>
      </w:r>
      <w:r>
        <w:rPr>
          <w:rFonts w:cs="Arial"/>
        </w:rPr>
        <w:t>0161-2014 (“By-law”).</w:t>
      </w:r>
    </w:p>
    <w:p w14:paraId="6656933B" w14:textId="77777777" w:rsidR="0015057B" w:rsidRDefault="00835339" w:rsidP="0015057B">
      <w:pPr>
        <w:pStyle w:val="DecisionBody"/>
        <w:spacing w:beforeLines="150" w:before="360" w:afterLines="150" w:after="360"/>
        <w:rPr>
          <w:rFonts w:cs="Arial"/>
        </w:rPr>
      </w:pPr>
      <w:r>
        <w:rPr>
          <w:rFonts w:cs="Arial"/>
        </w:rPr>
        <w:t>At the outset of the hearing, the Tribunal was advised that the appeals of Orlando and BILD had been settled.</w:t>
      </w:r>
      <w:r w:rsidR="00A53E59">
        <w:rPr>
          <w:rFonts w:cs="Arial"/>
        </w:rPr>
        <w:t xml:space="preserve"> At this point, the appeal by Amacon had not settled and the hearing of the merits of that appeal commenced.</w:t>
      </w:r>
    </w:p>
    <w:p w14:paraId="225B28FC" w14:textId="3E0B6BDB" w:rsidR="004014AC" w:rsidRPr="0015057B" w:rsidRDefault="00ED2431" w:rsidP="0015057B">
      <w:pPr>
        <w:pStyle w:val="DecisionBody"/>
        <w:spacing w:beforeLines="150" w:before="360" w:afterLines="150" w:after="360"/>
        <w:rPr>
          <w:rFonts w:cs="Arial"/>
        </w:rPr>
      </w:pPr>
      <w:r w:rsidRPr="0015057B">
        <w:rPr>
          <w:rFonts w:cs="Arial"/>
        </w:rPr>
        <w:t>During</w:t>
      </w:r>
      <w:r w:rsidR="00A53E59" w:rsidRPr="0015057B">
        <w:rPr>
          <w:rFonts w:cs="Arial"/>
        </w:rPr>
        <w:t xml:space="preserve"> the hearing, the Tribunal’s decision on appeals of a Region</w:t>
      </w:r>
      <w:r w:rsidR="0015057B">
        <w:rPr>
          <w:rFonts w:cs="Arial"/>
        </w:rPr>
        <w:t xml:space="preserve">al Municipality </w:t>
      </w:r>
      <w:r w:rsidR="00A53E59" w:rsidRPr="0015057B">
        <w:rPr>
          <w:rFonts w:cs="Arial"/>
        </w:rPr>
        <w:t>of Peel Development Charges By-law issued. The Parties advised the Tribunal that the decision in that matter m</w:t>
      </w:r>
      <w:r w:rsidR="00DD4338" w:rsidRPr="0015057B">
        <w:rPr>
          <w:rFonts w:cs="Arial"/>
        </w:rPr>
        <w:t>ight</w:t>
      </w:r>
      <w:r w:rsidR="00A53E59" w:rsidRPr="0015057B">
        <w:rPr>
          <w:rFonts w:cs="Arial"/>
        </w:rPr>
        <w:t xml:space="preserve"> have implications for this Mississauga By-law. The Parties engaged in further review and discussion resulting in the settlement of the Amacon appeal</w:t>
      </w:r>
      <w:r w:rsidR="00672241" w:rsidRPr="0015057B">
        <w:rPr>
          <w:rFonts w:cs="Arial"/>
        </w:rPr>
        <w:t xml:space="preserve"> as </w:t>
      </w:r>
      <w:r w:rsidR="004014AC" w:rsidRPr="0015057B">
        <w:rPr>
          <w:rFonts w:cs="Arial"/>
        </w:rPr>
        <w:t>well.</w:t>
      </w:r>
    </w:p>
    <w:p w14:paraId="1E400A44" w14:textId="77777777" w:rsidR="004014AC" w:rsidRPr="009C0A2C" w:rsidRDefault="004014AC" w:rsidP="004014AC">
      <w:pPr>
        <w:pStyle w:val="DecisionBody"/>
        <w:numPr>
          <w:ilvl w:val="0"/>
          <w:numId w:val="0"/>
        </w:numPr>
        <w:spacing w:beforeLines="150" w:before="360" w:afterLines="150" w:after="360"/>
        <w:rPr>
          <w:rStyle w:val="Strong"/>
        </w:rPr>
      </w:pPr>
      <w:r>
        <w:rPr>
          <w:rStyle w:val="Strong"/>
        </w:rPr>
        <w:t>LEGISLATION</w:t>
      </w:r>
    </w:p>
    <w:p w14:paraId="19D68775" w14:textId="3C6FD833" w:rsidR="005A3945" w:rsidRDefault="004014AC" w:rsidP="004014AC">
      <w:pPr>
        <w:pStyle w:val="DecisionBody"/>
        <w:spacing w:beforeLines="150" w:before="360" w:afterLines="150" w:after="360"/>
        <w:rPr>
          <w:rFonts w:cs="Arial"/>
        </w:rPr>
      </w:pPr>
      <w:r>
        <w:rPr>
          <w:rFonts w:cs="Arial"/>
        </w:rPr>
        <w:t xml:space="preserve">The </w:t>
      </w:r>
      <w:r>
        <w:rPr>
          <w:rFonts w:cs="Arial"/>
          <w:i/>
        </w:rPr>
        <w:t>Development Charges Act</w:t>
      </w:r>
      <w:r>
        <w:rPr>
          <w:rFonts w:cs="Arial"/>
        </w:rPr>
        <w:t xml:space="preserve"> (“Act”) is specific and precise. </w:t>
      </w:r>
      <w:r w:rsidR="005A3945">
        <w:rPr>
          <w:rFonts w:cs="Arial"/>
        </w:rPr>
        <w:t xml:space="preserve">Its requirements, and the role of the Tribunal, have been set out in various decisions including those by this panel of the Tribunal. They are repeated here for context in this </w:t>
      </w:r>
      <w:r w:rsidR="00F76AAC">
        <w:rPr>
          <w:rFonts w:cs="Arial"/>
        </w:rPr>
        <w:t>D</w:t>
      </w:r>
      <w:r w:rsidR="005A3945">
        <w:rPr>
          <w:rFonts w:cs="Arial"/>
        </w:rPr>
        <w:t>ecision.</w:t>
      </w:r>
    </w:p>
    <w:p w14:paraId="5617422F" w14:textId="77777777" w:rsidR="004014AC" w:rsidRPr="009C0A2C" w:rsidRDefault="004014AC" w:rsidP="004014AC">
      <w:pPr>
        <w:pStyle w:val="DecisionBody"/>
        <w:spacing w:beforeLines="150" w:before="360" w:afterLines="150" w:after="360"/>
        <w:rPr>
          <w:rFonts w:cs="Arial"/>
        </w:rPr>
      </w:pPr>
      <w:r>
        <w:rPr>
          <w:rFonts w:cs="Arial"/>
        </w:rPr>
        <w:t xml:space="preserve">The Tribunal’s role in deciding </w:t>
      </w:r>
      <w:r w:rsidR="00A8526A">
        <w:rPr>
          <w:rFonts w:cs="Arial"/>
        </w:rPr>
        <w:t>an</w:t>
      </w:r>
      <w:r>
        <w:rPr>
          <w:rFonts w:cs="Arial"/>
        </w:rPr>
        <w:t xml:space="preserve"> appeal does not include analysis of the policy preference that may underlay a municipality’s decision on the form and application of its By-law. For example, there may be a policy preference to encourage a </w:t>
      </w:r>
      <w:proofErr w:type="gramStart"/>
      <w:r>
        <w:rPr>
          <w:rFonts w:cs="Arial"/>
        </w:rPr>
        <w:t>particular sector</w:t>
      </w:r>
      <w:proofErr w:type="gramEnd"/>
      <w:r>
        <w:rPr>
          <w:rFonts w:cs="Arial"/>
        </w:rPr>
        <w:t xml:space="preserve"> and a wish to do so through discounted development charges. The policy preference remains that of the municipality. The Tribunal’s role is simply to determine if the </w:t>
      </w:r>
      <w:r>
        <w:rPr>
          <w:rFonts w:cs="Arial"/>
        </w:rPr>
        <w:lastRenderedPageBreak/>
        <w:t>expression of that policy preference in the By-law and its application has met the requirements of the Act.</w:t>
      </w:r>
    </w:p>
    <w:p w14:paraId="5552E522" w14:textId="77777777" w:rsidR="004014AC" w:rsidRDefault="004014AC" w:rsidP="004014AC">
      <w:pPr>
        <w:pStyle w:val="DecisionBody"/>
        <w:spacing w:beforeLines="150" w:before="360" w:afterLines="150" w:after="360"/>
        <w:rPr>
          <w:rFonts w:cs="Arial"/>
        </w:rPr>
      </w:pPr>
      <w:r>
        <w:rPr>
          <w:rFonts w:cs="Arial"/>
        </w:rPr>
        <w:t>Section 2(1) of the Act sets out the principle to guide the development of the By-law. This principle is often summarized as “growth pays for growth”:</w:t>
      </w:r>
    </w:p>
    <w:p w14:paraId="682D1DF2" w14:textId="77777777" w:rsidR="004014AC" w:rsidRPr="009C0A2C" w:rsidRDefault="004014AC" w:rsidP="00561156">
      <w:pPr>
        <w:pStyle w:val="ombquote"/>
        <w:ind w:right="1418"/>
      </w:pPr>
      <w:r>
        <w:t>The council of a municipality may by by-law impose development charges against land to pay for increased capital costs required because of increased needs for services arising from development of the area to which the by-law applies.</w:t>
      </w:r>
    </w:p>
    <w:p w14:paraId="25E2A987" w14:textId="77777777" w:rsidR="004014AC" w:rsidRDefault="004014AC" w:rsidP="004014AC">
      <w:pPr>
        <w:pStyle w:val="DecisionBody"/>
        <w:spacing w:beforeLines="150" w:before="360" w:afterLines="150" w:after="360"/>
        <w:rPr>
          <w:rFonts w:cs="Arial"/>
        </w:rPr>
      </w:pPr>
      <w:r>
        <w:rPr>
          <w:rFonts w:cs="Arial"/>
        </w:rPr>
        <w:t xml:space="preserve">If a cost is unrelated to an increased need that arises because of </w:t>
      </w:r>
      <w:r w:rsidR="00ED2431">
        <w:rPr>
          <w:rFonts w:cs="Arial"/>
        </w:rPr>
        <w:t>growth,</w:t>
      </w:r>
      <w:r>
        <w:rPr>
          <w:rFonts w:cs="Arial"/>
        </w:rPr>
        <w:t xml:space="preserve"> then it cannot be included in the By-law. If there is benefit to existing development, that benefit must be identified and deducted in the calculation of the By-law’s charge. This is set out in section 5(1)6:</w:t>
      </w:r>
    </w:p>
    <w:p w14:paraId="038E6701" w14:textId="77777777" w:rsidR="004014AC" w:rsidRDefault="004014AC" w:rsidP="004014AC">
      <w:pPr>
        <w:pStyle w:val="ombquote"/>
      </w:pPr>
      <w:r>
        <w:t>The increase in the need for service must be reduced by the extent to which an increase in service to meet increased need would benefit existing development…</w:t>
      </w:r>
    </w:p>
    <w:p w14:paraId="0912455E" w14:textId="29C5FF22" w:rsidR="004014AC" w:rsidRDefault="004014AC" w:rsidP="004014AC">
      <w:pPr>
        <w:pStyle w:val="DecisionBody"/>
        <w:spacing w:beforeLines="150" w:before="360" w:afterLines="150" w:after="360"/>
        <w:rPr>
          <w:rFonts w:cs="Arial"/>
        </w:rPr>
      </w:pPr>
      <w:r>
        <w:rPr>
          <w:rFonts w:cs="Arial"/>
        </w:rPr>
        <w:t>Similarly, s</w:t>
      </w:r>
      <w:r w:rsidR="00561156">
        <w:rPr>
          <w:rFonts w:cs="Arial"/>
        </w:rPr>
        <w:t>ection</w:t>
      </w:r>
      <w:r>
        <w:rPr>
          <w:rFonts w:cs="Arial"/>
        </w:rPr>
        <w:t xml:space="preserve"> 5(1)4 requires that if there is a benefit that extends beyond the period permitted by the Act then that, too, must be identified and deducted in the calculation of the By-law’s charge. </w:t>
      </w:r>
    </w:p>
    <w:p w14:paraId="1CFBDCE0" w14:textId="77777777" w:rsidR="004014AC" w:rsidRDefault="004014AC" w:rsidP="004014AC">
      <w:pPr>
        <w:pStyle w:val="DecisionBody"/>
        <w:spacing w:beforeLines="150" w:before="360" w:afterLines="150" w:after="360"/>
        <w:rPr>
          <w:rFonts w:cs="Arial"/>
        </w:rPr>
      </w:pPr>
      <w:r>
        <w:rPr>
          <w:rFonts w:cs="Arial"/>
        </w:rPr>
        <w:t xml:space="preserve">Where a municipality has identified different types of development it may only impose a development charge on that type of development for the increased need that is generated by growth in that </w:t>
      </w:r>
      <w:proofErr w:type="gramStart"/>
      <w:r>
        <w:rPr>
          <w:rFonts w:cs="Arial"/>
        </w:rPr>
        <w:t>particular type of development</w:t>
      </w:r>
      <w:proofErr w:type="gramEnd"/>
      <w:r>
        <w:rPr>
          <w:rFonts w:cs="Arial"/>
        </w:rPr>
        <w:t xml:space="preserve">. </w:t>
      </w:r>
      <w:r w:rsidR="00A8526A">
        <w:rPr>
          <w:rFonts w:cs="Arial"/>
        </w:rPr>
        <w:t>Where a municipality sets</w:t>
      </w:r>
      <w:r>
        <w:rPr>
          <w:rFonts w:cs="Arial"/>
        </w:rPr>
        <w:t xml:space="preserve"> different </w:t>
      </w:r>
      <w:r w:rsidR="00A8526A">
        <w:rPr>
          <w:rFonts w:cs="Arial"/>
        </w:rPr>
        <w:t>categories</w:t>
      </w:r>
      <w:r>
        <w:rPr>
          <w:rFonts w:cs="Arial"/>
        </w:rPr>
        <w:t xml:space="preserve"> of development, </w:t>
      </w:r>
      <w:r w:rsidR="00A8526A">
        <w:rPr>
          <w:rFonts w:cs="Arial"/>
        </w:rPr>
        <w:t>it</w:t>
      </w:r>
      <w:r>
        <w:rPr>
          <w:rFonts w:cs="Arial"/>
        </w:rPr>
        <w:t xml:space="preserve"> is then constrained to ensure that the development charge applied to </w:t>
      </w:r>
      <w:r w:rsidR="00A8526A">
        <w:rPr>
          <w:rFonts w:cs="Arial"/>
        </w:rPr>
        <w:t>a</w:t>
      </w:r>
      <w:r>
        <w:rPr>
          <w:rFonts w:cs="Arial"/>
        </w:rPr>
        <w:t xml:space="preserve"> category results solely from the increased need generated by growth in that category. </w:t>
      </w:r>
    </w:p>
    <w:p w14:paraId="055539EC" w14:textId="77777777" w:rsidR="004014AC" w:rsidRPr="00206B62" w:rsidRDefault="004014AC" w:rsidP="004014AC">
      <w:pPr>
        <w:pStyle w:val="DecisionBody"/>
        <w:spacing w:beforeLines="150" w:before="360" w:afterLines="150" w:after="360"/>
        <w:rPr>
          <w:rFonts w:cs="Arial"/>
        </w:rPr>
      </w:pPr>
      <w:r w:rsidRPr="0071108A">
        <w:rPr>
          <w:rFonts w:cs="Arial"/>
        </w:rPr>
        <w:t>A development charge by-law is forward looking in that</w:t>
      </w:r>
      <w:r>
        <w:rPr>
          <w:rFonts w:cs="Arial"/>
        </w:rPr>
        <w:t xml:space="preserve"> it</w:t>
      </w:r>
      <w:r w:rsidRPr="0071108A">
        <w:rPr>
          <w:rFonts w:cs="Arial"/>
        </w:rPr>
        <w:t xml:space="preserve"> is based on projected growth. Identifying that projected growth requires a background study that must meet certain requirements that are set out in the Act. </w:t>
      </w:r>
      <w:r>
        <w:rPr>
          <w:rFonts w:cs="Arial"/>
        </w:rPr>
        <w:t xml:space="preserve">Central to the requirements of the background study is that it must analyze and set out clearly the basis for the proposed </w:t>
      </w:r>
      <w:r>
        <w:rPr>
          <w:rFonts w:cs="Arial"/>
        </w:rPr>
        <w:lastRenderedPageBreak/>
        <w:t>charges to ensure that they are for the increased service needs that are required by the anticipated growth within a specified category within the period. The study must be transparent in its analysis and its chosen methodology must support development charges that conform to the requirements of the Act.</w:t>
      </w:r>
    </w:p>
    <w:p w14:paraId="319BBD38" w14:textId="77777777" w:rsidR="002966AA" w:rsidRPr="00E2731E" w:rsidRDefault="002966AA" w:rsidP="002966AA">
      <w:pPr>
        <w:pStyle w:val="DecisionBody"/>
        <w:numPr>
          <w:ilvl w:val="0"/>
          <w:numId w:val="0"/>
        </w:numPr>
        <w:rPr>
          <w:rStyle w:val="Strong"/>
        </w:rPr>
      </w:pPr>
      <w:r>
        <w:rPr>
          <w:rStyle w:val="Strong"/>
        </w:rPr>
        <w:t>ISSUES, ANALYSIS AND FINDINGS</w:t>
      </w:r>
    </w:p>
    <w:p w14:paraId="3EB6E6CF" w14:textId="77777777" w:rsidR="00A53E59" w:rsidRDefault="00DA6EE7" w:rsidP="007B76AB">
      <w:pPr>
        <w:pStyle w:val="DecisionBody"/>
        <w:spacing w:beforeLines="150" w:before="360" w:afterLines="150" w:after="360"/>
        <w:rPr>
          <w:rFonts w:cs="Arial"/>
        </w:rPr>
      </w:pPr>
      <w:r>
        <w:rPr>
          <w:rFonts w:cs="Arial"/>
        </w:rPr>
        <w:t>E</w:t>
      </w:r>
      <w:r w:rsidR="00A53E59">
        <w:rPr>
          <w:rFonts w:cs="Arial"/>
        </w:rPr>
        <w:t xml:space="preserve">vidence on the final settlement </w:t>
      </w:r>
      <w:r>
        <w:rPr>
          <w:rFonts w:cs="Arial"/>
        </w:rPr>
        <w:t>was submitted in written form</w:t>
      </w:r>
      <w:r w:rsidR="009445B6">
        <w:rPr>
          <w:rFonts w:cs="Arial"/>
        </w:rPr>
        <w:t>. T</w:t>
      </w:r>
      <w:r>
        <w:rPr>
          <w:rFonts w:cs="Arial"/>
        </w:rPr>
        <w:t>he Tribunal had before it the affidavit of Craig Binning, a qualified land economist and municipal finance analyst.</w:t>
      </w:r>
    </w:p>
    <w:p w14:paraId="09C16865" w14:textId="77777777" w:rsidR="00ED2431" w:rsidRDefault="00DA6EE7" w:rsidP="007B76AB">
      <w:pPr>
        <w:pStyle w:val="DecisionBody"/>
        <w:spacing w:beforeLines="150" w:before="360" w:afterLines="150" w:after="360"/>
        <w:rPr>
          <w:rFonts w:cs="Arial"/>
        </w:rPr>
      </w:pPr>
      <w:proofErr w:type="gramStart"/>
      <w:r>
        <w:rPr>
          <w:rFonts w:cs="Arial"/>
        </w:rPr>
        <w:t>As a result of</w:t>
      </w:r>
      <w:proofErr w:type="gramEnd"/>
      <w:r>
        <w:rPr>
          <w:rFonts w:cs="Arial"/>
        </w:rPr>
        <w:t xml:space="preserve"> the </w:t>
      </w:r>
      <w:r w:rsidR="00FC0626">
        <w:rPr>
          <w:rFonts w:cs="Arial"/>
        </w:rPr>
        <w:t xml:space="preserve">settlements between the City and Orlando and BILD, the calculation methodology in the By-law was amended to a net methodology rather than an alternative methodology. </w:t>
      </w:r>
    </w:p>
    <w:p w14:paraId="5BCEB252" w14:textId="77777777" w:rsidR="00835339" w:rsidRPr="00ED2431" w:rsidRDefault="00A8526A" w:rsidP="00ED2431">
      <w:pPr>
        <w:pStyle w:val="DecisionBody"/>
        <w:spacing w:beforeLines="150" w:before="360" w:afterLines="150" w:after="360"/>
        <w:rPr>
          <w:rFonts w:cs="Arial"/>
        </w:rPr>
      </w:pPr>
      <w:r>
        <w:rPr>
          <w:rFonts w:cs="Arial"/>
        </w:rPr>
        <w:t>Alternative methodologies will occasionally include the use of proxies such as weighted taxable assessment of different categories or simple tax assessment of those different categories</w:t>
      </w:r>
      <w:r w:rsidR="008844CE">
        <w:rPr>
          <w:rFonts w:cs="Arial"/>
        </w:rPr>
        <w:t xml:space="preserve"> to determine historic service levels and project future need based on future growth. With growth expressed in population and jobs, alternative methodologies may result in proxies that do not align with a correct allocation of the growth that precipitates need in a given service area.</w:t>
      </w:r>
    </w:p>
    <w:p w14:paraId="239BE682" w14:textId="77777777" w:rsidR="00ED2431" w:rsidRDefault="00FC0626" w:rsidP="00ED2431">
      <w:pPr>
        <w:pStyle w:val="DecisionBody"/>
        <w:spacing w:beforeLines="150" w:before="360" w:afterLines="150" w:after="360"/>
        <w:rPr>
          <w:rFonts w:cs="Arial"/>
        </w:rPr>
      </w:pPr>
      <w:r>
        <w:rPr>
          <w:rFonts w:cs="Arial"/>
        </w:rPr>
        <w:t>There was no challenge to the population/employment growth assumptions, no challenge to most of the projects the City had identified as needed to accommodate estimated growth and no challenge to the costing estimates for those identified projects.</w:t>
      </w:r>
    </w:p>
    <w:p w14:paraId="2EE6C03A" w14:textId="77777777" w:rsidR="00D322D0" w:rsidRPr="00ED2431" w:rsidRDefault="00ED2431" w:rsidP="00ED2431">
      <w:pPr>
        <w:pStyle w:val="DecisionBody"/>
        <w:spacing w:beforeLines="150" w:before="360" w:afterLines="150" w:after="360"/>
        <w:rPr>
          <w:rFonts w:cs="Arial"/>
        </w:rPr>
      </w:pPr>
      <w:r>
        <w:rPr>
          <w:rFonts w:cs="Arial"/>
        </w:rPr>
        <w:t>Matters that Amacon pursued are</w:t>
      </w:r>
      <w:r w:rsidR="00DD4338" w:rsidRPr="00ED2431">
        <w:rPr>
          <w:rFonts w:cs="Arial"/>
        </w:rPr>
        <w:t xml:space="preserve"> summarized below</w:t>
      </w:r>
      <w:r w:rsidR="005255D7" w:rsidRPr="00ED2431">
        <w:rPr>
          <w:rFonts w:cs="Arial"/>
        </w:rPr>
        <w:t>:</w:t>
      </w:r>
    </w:p>
    <w:p w14:paraId="656930FB" w14:textId="77777777" w:rsidR="00F76AAC" w:rsidRDefault="00F76AAC" w:rsidP="00F76AAC">
      <w:pPr>
        <w:pStyle w:val="DecisionBody"/>
        <w:numPr>
          <w:ilvl w:val="0"/>
          <w:numId w:val="0"/>
        </w:numPr>
        <w:spacing w:beforeLines="150" w:before="360" w:afterLines="150" w:after="360"/>
        <w:ind w:left="1440" w:hanging="720"/>
        <w:rPr>
          <w:rFonts w:cs="Arial"/>
        </w:rPr>
      </w:pPr>
      <w:r>
        <w:rPr>
          <w:rFonts w:cs="Arial"/>
        </w:rPr>
        <w:t xml:space="preserve">1.  </w:t>
      </w:r>
      <w:r>
        <w:rPr>
          <w:rFonts w:cs="Arial"/>
        </w:rPr>
        <w:tab/>
      </w:r>
      <w:r w:rsidR="005255D7">
        <w:rPr>
          <w:rFonts w:cs="Arial"/>
        </w:rPr>
        <w:t>The allocation of costs between residential and non-residential development, including those for General government and Fire Services;</w:t>
      </w:r>
    </w:p>
    <w:p w14:paraId="0F890B11" w14:textId="77777777" w:rsidR="00F76AAC" w:rsidRDefault="00F76AAC" w:rsidP="00F76AAC">
      <w:pPr>
        <w:pStyle w:val="DecisionBody"/>
        <w:numPr>
          <w:ilvl w:val="0"/>
          <w:numId w:val="0"/>
        </w:numPr>
        <w:spacing w:beforeLines="150" w:before="360" w:afterLines="150" w:after="360"/>
        <w:ind w:left="1440" w:hanging="720"/>
        <w:rPr>
          <w:rFonts w:cs="Arial"/>
        </w:rPr>
      </w:pPr>
      <w:r>
        <w:rPr>
          <w:rFonts w:cs="Arial"/>
        </w:rPr>
        <w:t>2.</w:t>
      </w:r>
      <w:r>
        <w:rPr>
          <w:rFonts w:cs="Arial"/>
        </w:rPr>
        <w:tab/>
      </w:r>
      <w:r w:rsidR="005255D7">
        <w:rPr>
          <w:rFonts w:cs="Arial"/>
        </w:rPr>
        <w:t xml:space="preserve">The appropriateness of the Cash Flow calculation with respect to interest </w:t>
      </w:r>
      <w:r w:rsidR="005255D7">
        <w:rPr>
          <w:rFonts w:cs="Arial"/>
        </w:rPr>
        <w:lastRenderedPageBreak/>
        <w:t>on the reserve funds;</w:t>
      </w:r>
    </w:p>
    <w:p w14:paraId="177A44A6" w14:textId="77777777" w:rsidR="005255D7" w:rsidRDefault="00F76AAC" w:rsidP="00F76AAC">
      <w:pPr>
        <w:pStyle w:val="DecisionBody"/>
        <w:numPr>
          <w:ilvl w:val="0"/>
          <w:numId w:val="0"/>
        </w:numPr>
        <w:spacing w:beforeLines="150" w:before="360" w:afterLines="150" w:after="360"/>
        <w:ind w:left="1440" w:hanging="720"/>
        <w:rPr>
          <w:rFonts w:cs="Arial"/>
        </w:rPr>
      </w:pPr>
      <w:r>
        <w:rPr>
          <w:rFonts w:cs="Arial"/>
        </w:rPr>
        <w:t>3.</w:t>
      </w:r>
      <w:r>
        <w:rPr>
          <w:rFonts w:cs="Arial"/>
        </w:rPr>
        <w:tab/>
      </w:r>
      <w:r w:rsidR="005255D7">
        <w:rPr>
          <w:rFonts w:cs="Arial"/>
        </w:rPr>
        <w:t xml:space="preserve">The inclusion </w:t>
      </w:r>
      <w:r w:rsidR="00ED2431">
        <w:rPr>
          <w:rFonts w:cs="Arial"/>
        </w:rPr>
        <w:t xml:space="preserve">within the development charges </w:t>
      </w:r>
      <w:r w:rsidR="005255D7">
        <w:rPr>
          <w:rFonts w:cs="Arial"/>
        </w:rPr>
        <w:t>of the parking structure within the City Centre;</w:t>
      </w:r>
    </w:p>
    <w:p w14:paraId="48A853FE" w14:textId="77777777" w:rsidR="00F76AAC" w:rsidRDefault="00F76AAC" w:rsidP="00F76AAC">
      <w:pPr>
        <w:pStyle w:val="DecisionBody"/>
        <w:numPr>
          <w:ilvl w:val="0"/>
          <w:numId w:val="0"/>
        </w:numPr>
        <w:spacing w:beforeLines="150" w:before="360" w:afterLines="150" w:after="360"/>
        <w:ind w:left="1440" w:hanging="720"/>
        <w:rPr>
          <w:rFonts w:cs="Arial"/>
        </w:rPr>
      </w:pPr>
      <w:r>
        <w:rPr>
          <w:rFonts w:cs="Arial"/>
        </w:rPr>
        <w:t>4.</w:t>
      </w:r>
      <w:r>
        <w:rPr>
          <w:rFonts w:cs="Arial"/>
        </w:rPr>
        <w:tab/>
      </w:r>
      <w:r w:rsidR="005255D7">
        <w:rPr>
          <w:rFonts w:cs="Arial"/>
        </w:rPr>
        <w:t>The methodology used to determine the development charges for transit services and for fire services;</w:t>
      </w:r>
    </w:p>
    <w:p w14:paraId="7CAB203F" w14:textId="77777777" w:rsidR="00F76AAC" w:rsidRDefault="00F76AAC" w:rsidP="00F76AAC">
      <w:pPr>
        <w:pStyle w:val="DecisionBody"/>
        <w:numPr>
          <w:ilvl w:val="0"/>
          <w:numId w:val="0"/>
        </w:numPr>
        <w:spacing w:beforeLines="150" w:before="360" w:afterLines="150" w:after="360"/>
        <w:ind w:left="1440" w:hanging="720"/>
        <w:rPr>
          <w:rFonts w:cs="Arial"/>
        </w:rPr>
      </w:pPr>
      <w:r>
        <w:rPr>
          <w:rFonts w:cs="Arial"/>
        </w:rPr>
        <w:t>5.</w:t>
      </w:r>
      <w:r>
        <w:rPr>
          <w:rFonts w:cs="Arial"/>
        </w:rPr>
        <w:tab/>
      </w:r>
      <w:r w:rsidR="005255D7">
        <w:rPr>
          <w:rFonts w:cs="Arial"/>
        </w:rPr>
        <w:t>The amount to be attributed to in-period growth for the City’s cycling program within Road and within Recreation services;</w:t>
      </w:r>
    </w:p>
    <w:p w14:paraId="4C00FD15" w14:textId="77777777" w:rsidR="00F76AAC" w:rsidRDefault="00F76AAC" w:rsidP="00F76AAC">
      <w:pPr>
        <w:pStyle w:val="DecisionBody"/>
        <w:numPr>
          <w:ilvl w:val="0"/>
          <w:numId w:val="0"/>
        </w:numPr>
        <w:spacing w:beforeLines="150" w:before="360" w:afterLines="150" w:after="360"/>
        <w:ind w:left="1440" w:hanging="720"/>
        <w:rPr>
          <w:rFonts w:cs="Arial"/>
        </w:rPr>
      </w:pPr>
      <w:r>
        <w:rPr>
          <w:rFonts w:cs="Arial"/>
        </w:rPr>
        <w:t>6.</w:t>
      </w:r>
      <w:r>
        <w:rPr>
          <w:rFonts w:cs="Arial"/>
        </w:rPr>
        <w:tab/>
      </w:r>
      <w:r w:rsidR="005255D7">
        <w:rPr>
          <w:rFonts w:cs="Arial"/>
        </w:rPr>
        <w:t xml:space="preserve">The amount to be attributed to in-period growth for certain </w:t>
      </w:r>
      <w:r w:rsidR="00DD4338">
        <w:rPr>
          <w:rFonts w:cs="Arial"/>
        </w:rPr>
        <w:t>new roads and grade separations; and</w:t>
      </w:r>
    </w:p>
    <w:p w14:paraId="5CF9F38E" w14:textId="77777777" w:rsidR="005255D7" w:rsidRDefault="00F76AAC" w:rsidP="00F76AAC">
      <w:pPr>
        <w:pStyle w:val="DecisionBody"/>
        <w:numPr>
          <w:ilvl w:val="0"/>
          <w:numId w:val="0"/>
        </w:numPr>
        <w:spacing w:beforeLines="150" w:before="360" w:afterLines="150" w:after="360"/>
        <w:ind w:left="1440" w:hanging="720"/>
        <w:rPr>
          <w:rFonts w:cs="Arial"/>
        </w:rPr>
      </w:pPr>
      <w:r>
        <w:rPr>
          <w:rFonts w:cs="Arial"/>
        </w:rPr>
        <w:t>7.</w:t>
      </w:r>
      <w:r>
        <w:rPr>
          <w:rFonts w:cs="Arial"/>
        </w:rPr>
        <w:tab/>
      </w:r>
      <w:r w:rsidR="00DD4338">
        <w:rPr>
          <w:rFonts w:cs="Arial"/>
        </w:rPr>
        <w:t>The amount attributed to post-period growth for certain Road projects.</w:t>
      </w:r>
    </w:p>
    <w:p w14:paraId="7C01821F" w14:textId="77777777" w:rsidR="009700AA" w:rsidRDefault="003339E2" w:rsidP="007B76AB">
      <w:pPr>
        <w:pStyle w:val="DecisionBody"/>
        <w:spacing w:beforeLines="150" w:before="360" w:afterLines="150" w:after="360"/>
        <w:rPr>
          <w:rFonts w:cs="Arial"/>
        </w:rPr>
      </w:pPr>
      <w:r>
        <w:rPr>
          <w:rFonts w:cs="Arial"/>
        </w:rPr>
        <w:t>For General Government and Fire Services, a recalculation was made based upon the proportion of projected growth between the residential and non-residential sectors rather than a weighted taxable or taxable assessment basis. The result is 44.6% residential and 55.4% non-residential.</w:t>
      </w:r>
    </w:p>
    <w:p w14:paraId="60E9E2E9" w14:textId="77777777" w:rsidR="003339E2" w:rsidRDefault="003339E2" w:rsidP="007B76AB">
      <w:pPr>
        <w:pStyle w:val="DecisionBody"/>
        <w:spacing w:beforeLines="150" w:before="360" w:afterLines="150" w:after="360"/>
        <w:rPr>
          <w:rFonts w:cs="Arial"/>
        </w:rPr>
      </w:pPr>
      <w:r>
        <w:rPr>
          <w:rFonts w:cs="Arial"/>
        </w:rPr>
        <w:t>For the parking structure within City Centre, the settlement now apportions the project cost as 25% residential and 75% non-residential, based on an analysis and projection of the extent to which each category accounts for the future need for the parking service.</w:t>
      </w:r>
    </w:p>
    <w:p w14:paraId="07B2E408" w14:textId="77777777" w:rsidR="003339E2" w:rsidRDefault="003339E2" w:rsidP="007B76AB">
      <w:pPr>
        <w:pStyle w:val="DecisionBody"/>
        <w:spacing w:beforeLines="150" w:before="360" w:afterLines="150" w:after="360"/>
        <w:rPr>
          <w:rFonts w:cs="Arial"/>
        </w:rPr>
      </w:pPr>
      <w:r>
        <w:rPr>
          <w:rFonts w:cs="Arial"/>
        </w:rPr>
        <w:t>For the Recreation cycling program, 30% of the recreation component of the cycling capital infrastructure is now attributed to in-period growth.</w:t>
      </w:r>
    </w:p>
    <w:p w14:paraId="74E2C325" w14:textId="77777777" w:rsidR="003339E2" w:rsidRDefault="006C080E" w:rsidP="007B76AB">
      <w:pPr>
        <w:pStyle w:val="DecisionBody"/>
        <w:spacing w:beforeLines="150" w:before="360" w:afterLines="150" w:after="360"/>
        <w:rPr>
          <w:rFonts w:cs="Arial"/>
        </w:rPr>
      </w:pPr>
      <w:r>
        <w:rPr>
          <w:rFonts w:cs="Arial"/>
        </w:rPr>
        <w:t xml:space="preserve">For certain identified Road grade separations, </w:t>
      </w:r>
      <w:r w:rsidR="00E61478">
        <w:rPr>
          <w:rFonts w:cs="Arial"/>
        </w:rPr>
        <w:t>the settlement has reduced the in-period costs attributed to growth to 60%.</w:t>
      </w:r>
    </w:p>
    <w:p w14:paraId="3A656425" w14:textId="77777777" w:rsidR="00E61478" w:rsidRDefault="00E61478" w:rsidP="00CC7FE9">
      <w:pPr>
        <w:pStyle w:val="DecisionBody"/>
        <w:spacing w:beforeLines="150" w:before="360" w:afterLines="150" w:after="360"/>
        <w:rPr>
          <w:rFonts w:cs="Arial"/>
        </w:rPr>
      </w:pPr>
      <w:r>
        <w:rPr>
          <w:rFonts w:cs="Arial"/>
        </w:rPr>
        <w:lastRenderedPageBreak/>
        <w:t xml:space="preserve">Consistent with the 60% attribution to </w:t>
      </w:r>
      <w:r w:rsidR="00803089">
        <w:rPr>
          <w:rFonts w:cs="Arial"/>
        </w:rPr>
        <w:t xml:space="preserve">in-period </w:t>
      </w:r>
      <w:r>
        <w:rPr>
          <w:rFonts w:cs="Arial"/>
        </w:rPr>
        <w:t xml:space="preserve">growth for the identified grade separations, the settlement includes 60% of the cycling infrastructure costs, less the available reserve fund balance, </w:t>
      </w:r>
      <w:r w:rsidRPr="00CC7FE9">
        <w:rPr>
          <w:rFonts w:cs="Arial"/>
        </w:rPr>
        <w:t xml:space="preserve">attributed to in-period growth. </w:t>
      </w:r>
    </w:p>
    <w:p w14:paraId="5EBFA31A" w14:textId="77777777" w:rsidR="00CC7FE9" w:rsidRDefault="00CC7FE9" w:rsidP="00CC7FE9">
      <w:pPr>
        <w:pStyle w:val="DecisionBody"/>
        <w:spacing w:beforeLines="150" w:before="360" w:afterLines="150" w:after="360"/>
        <w:rPr>
          <w:rFonts w:cs="Arial"/>
        </w:rPr>
      </w:pPr>
      <w:r>
        <w:rPr>
          <w:rFonts w:cs="Arial"/>
        </w:rPr>
        <w:t>Amacon challenged the recovery amounts for certain Roads projects that attributed the costs to in-period growth. The settlement has increased the post-period attribution of certain identified</w:t>
      </w:r>
      <w:r w:rsidR="008139B2">
        <w:rPr>
          <w:rFonts w:cs="Arial"/>
        </w:rPr>
        <w:t xml:space="preserve"> projects and, in one case, an increase in the attribution of benefit to existing. The increases range from 1.06% to 27.46%</w:t>
      </w:r>
      <w:r w:rsidR="003538F4">
        <w:rPr>
          <w:rFonts w:cs="Arial"/>
        </w:rPr>
        <w:t>, as set out below:</w:t>
      </w:r>
    </w:p>
    <w:p w14:paraId="78E0F71B" w14:textId="77777777" w:rsidR="00561156" w:rsidRPr="00AE2F88" w:rsidRDefault="00AE2F88" w:rsidP="00F76AAC">
      <w:pPr>
        <w:spacing w:beforeLines="150" w:before="360" w:afterLines="150" w:after="360" w:line="360" w:lineRule="auto"/>
        <w:ind w:firstLine="720"/>
        <w:rPr>
          <w:rFonts w:ascii="Arial" w:hAnsi="Arial" w:cs="Arial"/>
        </w:rPr>
      </w:pPr>
      <w:r>
        <w:rPr>
          <w:rFonts w:ascii="Arial" w:hAnsi="Arial" w:cs="Arial"/>
        </w:rPr>
        <w:t>a)</w:t>
      </w:r>
      <w:r>
        <w:rPr>
          <w:rFonts w:ascii="Arial" w:hAnsi="Arial" w:cs="Arial"/>
        </w:rPr>
        <w:tab/>
      </w:r>
      <w:r w:rsidR="003538F4" w:rsidRPr="00AE2F88">
        <w:rPr>
          <w:rFonts w:ascii="Arial" w:hAnsi="Arial" w:cs="Arial"/>
        </w:rPr>
        <w:t>27.46%</w:t>
      </w:r>
      <w:r>
        <w:rPr>
          <w:rFonts w:ascii="Arial" w:hAnsi="Arial" w:cs="Arial"/>
        </w:rPr>
        <w:t xml:space="preserve"> ‒ </w:t>
      </w:r>
      <w:r w:rsidR="003538F4" w:rsidRPr="00AE2F88">
        <w:rPr>
          <w:rFonts w:ascii="Arial" w:hAnsi="Arial" w:cs="Arial"/>
        </w:rPr>
        <w:t>Project 1.1.5 - Courtney Park Dr. E./Hwy 410 Ramp</w:t>
      </w:r>
    </w:p>
    <w:p w14:paraId="6974BEC4" w14:textId="77777777" w:rsidR="00561156" w:rsidRPr="00AE2F88" w:rsidRDefault="00AE2F88" w:rsidP="00F76AAC">
      <w:pPr>
        <w:spacing w:beforeLines="150" w:before="360" w:afterLines="150" w:after="360" w:line="360" w:lineRule="auto"/>
        <w:ind w:left="1440" w:hanging="720"/>
        <w:rPr>
          <w:rFonts w:ascii="Arial" w:hAnsi="Arial" w:cs="Arial"/>
        </w:rPr>
      </w:pPr>
      <w:r w:rsidRPr="00AE2F88">
        <w:rPr>
          <w:rFonts w:ascii="Arial" w:hAnsi="Arial" w:cs="Arial"/>
        </w:rPr>
        <w:t>b)</w:t>
      </w:r>
      <w:r w:rsidRPr="00AE2F88">
        <w:rPr>
          <w:rFonts w:ascii="Arial" w:hAnsi="Arial" w:cs="Arial"/>
        </w:rPr>
        <w:tab/>
      </w:r>
      <w:r w:rsidR="003538F4" w:rsidRPr="00AE2F88">
        <w:rPr>
          <w:rFonts w:ascii="Arial" w:hAnsi="Arial" w:cs="Arial"/>
        </w:rPr>
        <w:t>27.46%</w:t>
      </w:r>
      <w:r w:rsidR="00561156" w:rsidRPr="00AE2F88">
        <w:rPr>
          <w:rFonts w:ascii="Arial" w:hAnsi="Arial" w:cs="Arial"/>
        </w:rPr>
        <w:t xml:space="preserve"> </w:t>
      </w:r>
      <w:r>
        <w:rPr>
          <w:rFonts w:ascii="Arial" w:hAnsi="Arial" w:cs="Arial"/>
        </w:rPr>
        <w:t xml:space="preserve">‒ </w:t>
      </w:r>
      <w:r w:rsidR="003538F4" w:rsidRPr="00AE2F88">
        <w:rPr>
          <w:rFonts w:ascii="Arial" w:hAnsi="Arial" w:cs="Arial"/>
        </w:rPr>
        <w:t>Projects 1.1.14, 1.1.15, 1.1.16, and 1.2.19 -</w:t>
      </w:r>
      <w:r w:rsidR="00561156" w:rsidRPr="00AE2F88">
        <w:rPr>
          <w:rFonts w:ascii="Arial" w:hAnsi="Arial" w:cs="Arial"/>
        </w:rPr>
        <w:t xml:space="preserve"> </w:t>
      </w:r>
      <w:r w:rsidR="003538F4" w:rsidRPr="00AE2F88">
        <w:rPr>
          <w:rFonts w:ascii="Arial" w:hAnsi="Arial" w:cs="Arial"/>
        </w:rPr>
        <w:t>Creekbank Crossing and Road Widening</w:t>
      </w:r>
    </w:p>
    <w:p w14:paraId="3EC75E10" w14:textId="77777777" w:rsidR="00A44B7D" w:rsidRPr="00AE2F88" w:rsidRDefault="00AE2F88" w:rsidP="00F76AAC">
      <w:pPr>
        <w:spacing w:beforeLines="150" w:before="360" w:afterLines="150" w:after="360" w:line="360" w:lineRule="auto"/>
        <w:ind w:left="1440" w:hanging="720"/>
        <w:rPr>
          <w:rFonts w:ascii="Arial" w:hAnsi="Arial" w:cs="Arial"/>
        </w:rPr>
      </w:pPr>
      <w:r w:rsidRPr="00AE2F88">
        <w:rPr>
          <w:rFonts w:ascii="Arial" w:hAnsi="Arial" w:cs="Arial"/>
        </w:rPr>
        <w:t>c)</w:t>
      </w:r>
      <w:r w:rsidRPr="00AE2F88">
        <w:rPr>
          <w:rFonts w:ascii="Arial" w:hAnsi="Arial" w:cs="Arial"/>
        </w:rPr>
        <w:tab/>
      </w:r>
      <w:r w:rsidR="003538F4" w:rsidRPr="00AE2F88">
        <w:rPr>
          <w:rFonts w:ascii="Arial" w:hAnsi="Arial" w:cs="Arial"/>
        </w:rPr>
        <w:t>27.46%</w:t>
      </w:r>
      <w:r w:rsidR="00561156" w:rsidRPr="00AE2F88">
        <w:rPr>
          <w:rFonts w:ascii="Arial" w:hAnsi="Arial" w:cs="Arial"/>
        </w:rPr>
        <w:t xml:space="preserve"> </w:t>
      </w:r>
      <w:r>
        <w:rPr>
          <w:rFonts w:ascii="Arial" w:hAnsi="Arial" w:cs="Arial"/>
        </w:rPr>
        <w:t xml:space="preserve">‒ </w:t>
      </w:r>
      <w:r w:rsidR="003538F4" w:rsidRPr="00AE2F88">
        <w:rPr>
          <w:rFonts w:ascii="Arial" w:hAnsi="Arial" w:cs="Arial"/>
        </w:rPr>
        <w:t>Projects 1.2.4, 1.2.5, 1.2.6, 1.2.7, 1.2.13,</w:t>
      </w:r>
      <w:r w:rsidR="00561156" w:rsidRPr="00AE2F88">
        <w:rPr>
          <w:rFonts w:ascii="Arial" w:hAnsi="Arial" w:cs="Arial"/>
        </w:rPr>
        <w:t xml:space="preserve"> </w:t>
      </w:r>
      <w:r w:rsidR="003538F4" w:rsidRPr="00AE2F88">
        <w:rPr>
          <w:rFonts w:ascii="Arial" w:hAnsi="Arial" w:cs="Arial"/>
        </w:rPr>
        <w:t>1.2.14, 1.2.17, 1.2.18, 1.2.21, 1.2.25, 1.2.26</w:t>
      </w:r>
      <w:r w:rsidR="00A44B7D" w:rsidRPr="00AE2F88">
        <w:rPr>
          <w:rFonts w:ascii="Arial" w:hAnsi="Arial" w:cs="Arial"/>
        </w:rPr>
        <w:t xml:space="preserve"> </w:t>
      </w:r>
      <w:r w:rsidR="003538F4" w:rsidRPr="00AE2F88">
        <w:rPr>
          <w:rFonts w:ascii="Arial" w:hAnsi="Arial" w:cs="Arial"/>
        </w:rPr>
        <w:t>- City Centre Related</w:t>
      </w:r>
    </w:p>
    <w:p w14:paraId="01706522" w14:textId="77777777" w:rsidR="00A44B7D" w:rsidRPr="00AE2F88" w:rsidRDefault="00A44B7D" w:rsidP="00F76AAC">
      <w:pPr>
        <w:spacing w:beforeLines="150" w:before="360" w:afterLines="150" w:after="360" w:line="360" w:lineRule="auto"/>
        <w:ind w:firstLine="720"/>
        <w:rPr>
          <w:rFonts w:ascii="Arial" w:hAnsi="Arial" w:cs="Arial"/>
        </w:rPr>
      </w:pPr>
      <w:r w:rsidRPr="00AE2F88">
        <w:rPr>
          <w:rFonts w:ascii="Arial" w:eastAsia="Arial" w:hAnsi="Arial" w:cs="Arial"/>
        </w:rPr>
        <w:t xml:space="preserve">d) </w:t>
      </w:r>
      <w:r w:rsidRPr="00AE2F88">
        <w:rPr>
          <w:rFonts w:ascii="Arial" w:eastAsia="Arial" w:hAnsi="Arial" w:cs="Arial"/>
        </w:rPr>
        <w:tab/>
      </w:r>
      <w:r w:rsidR="003538F4" w:rsidRPr="00AE2F88">
        <w:rPr>
          <w:rFonts w:ascii="Arial" w:eastAsia="Arial" w:hAnsi="Arial" w:cs="Arial"/>
        </w:rPr>
        <w:t>4.42%</w:t>
      </w:r>
      <w:r w:rsidRPr="00AE2F88">
        <w:rPr>
          <w:rFonts w:ascii="Arial" w:eastAsia="Arial" w:hAnsi="Arial" w:cs="Arial"/>
        </w:rPr>
        <w:t xml:space="preserve"> </w:t>
      </w:r>
      <w:r w:rsidR="00AE2F88">
        <w:rPr>
          <w:rFonts w:ascii="Arial" w:eastAsia="Arial" w:hAnsi="Arial" w:cs="Arial"/>
        </w:rPr>
        <w:t xml:space="preserve">‒ </w:t>
      </w:r>
      <w:r w:rsidR="003538F4" w:rsidRPr="00AE2F88">
        <w:rPr>
          <w:rFonts w:ascii="Arial" w:eastAsia="Arial" w:hAnsi="Arial" w:cs="Arial"/>
        </w:rPr>
        <w:t>Projects 1.2.10 and 1.2.12 – New Roads,</w:t>
      </w:r>
      <w:r w:rsidRPr="00AE2F88">
        <w:rPr>
          <w:rFonts w:ascii="Arial" w:eastAsia="Arial" w:hAnsi="Arial" w:cs="Arial"/>
        </w:rPr>
        <w:t xml:space="preserve"> </w:t>
      </w:r>
      <w:r w:rsidR="003538F4" w:rsidRPr="00AE2F88">
        <w:rPr>
          <w:rFonts w:ascii="Arial" w:hAnsi="Arial" w:cs="Arial"/>
        </w:rPr>
        <w:t>Drew Road</w:t>
      </w:r>
    </w:p>
    <w:p w14:paraId="4FE46A3F" w14:textId="77777777" w:rsidR="00A44B7D" w:rsidRPr="00AE2F88" w:rsidRDefault="00A44B7D" w:rsidP="00F76AAC">
      <w:pPr>
        <w:spacing w:beforeLines="150" w:before="360" w:afterLines="150" w:after="360" w:line="360" w:lineRule="auto"/>
        <w:ind w:firstLine="720"/>
        <w:rPr>
          <w:rFonts w:ascii="Arial" w:hAnsi="Arial" w:cs="Arial"/>
        </w:rPr>
      </w:pPr>
      <w:r w:rsidRPr="00AE2F88">
        <w:rPr>
          <w:rFonts w:ascii="Arial" w:eastAsia="Arial" w:hAnsi="Arial" w:cs="Arial"/>
        </w:rPr>
        <w:t xml:space="preserve">e) </w:t>
      </w:r>
      <w:r w:rsidRPr="00AE2F88">
        <w:rPr>
          <w:rFonts w:ascii="Arial" w:eastAsia="Arial" w:hAnsi="Arial" w:cs="Arial"/>
        </w:rPr>
        <w:tab/>
      </w:r>
      <w:r w:rsidR="003538F4" w:rsidRPr="00AE2F88">
        <w:rPr>
          <w:rFonts w:ascii="Arial" w:eastAsia="Arial" w:hAnsi="Arial" w:cs="Arial"/>
        </w:rPr>
        <w:t>10%</w:t>
      </w:r>
      <w:r w:rsidRPr="00AE2F88">
        <w:rPr>
          <w:rFonts w:ascii="Arial" w:eastAsia="Arial" w:hAnsi="Arial" w:cs="Arial"/>
        </w:rPr>
        <w:t xml:space="preserve"> </w:t>
      </w:r>
      <w:r w:rsidR="00AE2F88">
        <w:rPr>
          <w:rFonts w:ascii="Arial" w:eastAsia="Arial" w:hAnsi="Arial" w:cs="Arial"/>
        </w:rPr>
        <w:t xml:space="preserve">‒ </w:t>
      </w:r>
      <w:r w:rsidR="003538F4" w:rsidRPr="00AE2F88">
        <w:rPr>
          <w:rFonts w:ascii="Arial" w:eastAsia="Arial" w:hAnsi="Arial" w:cs="Arial"/>
        </w:rPr>
        <w:t>Project 1.2.11 – Widening, Drew Road</w:t>
      </w:r>
    </w:p>
    <w:p w14:paraId="08CCC2C4" w14:textId="77777777" w:rsidR="003538F4" w:rsidRPr="00AE2F88" w:rsidRDefault="00A44B7D" w:rsidP="00F76AAC">
      <w:pPr>
        <w:spacing w:beforeLines="150" w:before="360" w:afterLines="150" w:after="360" w:line="360" w:lineRule="auto"/>
        <w:ind w:firstLine="720"/>
        <w:rPr>
          <w:rFonts w:ascii="Arial" w:hAnsi="Arial" w:cs="Arial"/>
        </w:rPr>
      </w:pPr>
      <w:r w:rsidRPr="00AE2F88">
        <w:rPr>
          <w:rFonts w:ascii="Arial" w:hAnsi="Arial" w:cs="Arial"/>
        </w:rPr>
        <w:t>f)</w:t>
      </w:r>
      <w:r w:rsidRPr="00AE2F88">
        <w:rPr>
          <w:rFonts w:ascii="Arial" w:hAnsi="Arial" w:cs="Arial"/>
        </w:rPr>
        <w:tab/>
      </w:r>
      <w:r w:rsidR="003538F4" w:rsidRPr="00AE2F88">
        <w:rPr>
          <w:rFonts w:ascii="Arial" w:hAnsi="Arial" w:cs="Arial"/>
        </w:rPr>
        <w:t>1.75%</w:t>
      </w:r>
      <w:r w:rsidRPr="00AE2F88">
        <w:rPr>
          <w:rFonts w:ascii="Arial" w:hAnsi="Arial" w:cs="Arial"/>
        </w:rPr>
        <w:t xml:space="preserve"> </w:t>
      </w:r>
      <w:r w:rsidR="00AE2F88">
        <w:rPr>
          <w:rFonts w:ascii="Arial" w:hAnsi="Arial" w:cs="Arial"/>
        </w:rPr>
        <w:t xml:space="preserve">‒ </w:t>
      </w:r>
      <w:r w:rsidR="003538F4" w:rsidRPr="00AE2F88">
        <w:rPr>
          <w:rFonts w:ascii="Arial" w:hAnsi="Arial" w:cs="Arial"/>
        </w:rPr>
        <w:t>Project 1.2.15 - Edwards Blvd</w:t>
      </w:r>
    </w:p>
    <w:p w14:paraId="325889E8" w14:textId="77777777" w:rsidR="00A44B7D" w:rsidRPr="00AE2F88" w:rsidRDefault="00A44B7D" w:rsidP="00F76AAC">
      <w:pPr>
        <w:spacing w:beforeLines="150" w:before="360" w:afterLines="150" w:after="360" w:line="360" w:lineRule="auto"/>
        <w:ind w:firstLine="720"/>
        <w:rPr>
          <w:rFonts w:ascii="Arial" w:eastAsia="Arial" w:hAnsi="Arial" w:cs="Arial"/>
        </w:rPr>
      </w:pPr>
      <w:r w:rsidRPr="00AE2F88">
        <w:rPr>
          <w:rFonts w:ascii="Arial" w:hAnsi="Arial" w:cs="Arial"/>
        </w:rPr>
        <w:t>g)</w:t>
      </w:r>
      <w:r w:rsidRPr="00AE2F88">
        <w:rPr>
          <w:rFonts w:ascii="Arial" w:hAnsi="Arial" w:cs="Arial"/>
        </w:rPr>
        <w:tab/>
      </w:r>
      <w:r w:rsidR="003538F4" w:rsidRPr="00AE2F88">
        <w:rPr>
          <w:rFonts w:ascii="Arial" w:hAnsi="Arial" w:cs="Arial"/>
        </w:rPr>
        <w:t>1.75%</w:t>
      </w:r>
      <w:r w:rsidRPr="00AE2F88">
        <w:rPr>
          <w:rFonts w:ascii="Arial" w:hAnsi="Arial" w:cs="Arial"/>
        </w:rPr>
        <w:t xml:space="preserve"> </w:t>
      </w:r>
      <w:r w:rsidR="00AE2F88">
        <w:rPr>
          <w:rFonts w:ascii="Arial" w:hAnsi="Arial" w:cs="Arial"/>
        </w:rPr>
        <w:t xml:space="preserve">‒ </w:t>
      </w:r>
      <w:r w:rsidR="003538F4" w:rsidRPr="00AE2F88">
        <w:rPr>
          <w:rFonts w:ascii="Arial" w:hAnsi="Arial" w:cs="Arial"/>
        </w:rPr>
        <w:t>Project 1.2.16 - Highway 401 EB Ramp Ext.</w:t>
      </w:r>
    </w:p>
    <w:p w14:paraId="09AF65AC" w14:textId="77777777" w:rsidR="00A44B7D" w:rsidRPr="00AE2F88" w:rsidRDefault="00A44B7D" w:rsidP="00F76AAC">
      <w:pPr>
        <w:spacing w:beforeLines="150" w:before="360" w:afterLines="150" w:after="360" w:line="360" w:lineRule="auto"/>
        <w:ind w:firstLine="720"/>
        <w:rPr>
          <w:rFonts w:ascii="Arial" w:eastAsia="Arial" w:hAnsi="Arial" w:cs="Arial"/>
        </w:rPr>
      </w:pPr>
      <w:r w:rsidRPr="00AE2F88">
        <w:rPr>
          <w:rFonts w:ascii="Arial" w:hAnsi="Arial" w:cs="Arial"/>
        </w:rPr>
        <w:t>h)</w:t>
      </w:r>
      <w:r w:rsidRPr="00AE2F88">
        <w:rPr>
          <w:rFonts w:ascii="Arial" w:hAnsi="Arial" w:cs="Arial"/>
        </w:rPr>
        <w:tab/>
      </w:r>
      <w:r w:rsidR="003538F4" w:rsidRPr="00AE2F88">
        <w:rPr>
          <w:rFonts w:ascii="Arial" w:hAnsi="Arial" w:cs="Arial"/>
        </w:rPr>
        <w:t>1.06%</w:t>
      </w:r>
      <w:r w:rsidR="003538F4" w:rsidRPr="00AE2F88">
        <w:rPr>
          <w:rFonts w:ascii="Arial" w:hAnsi="Arial" w:cs="Arial"/>
        </w:rPr>
        <w:tab/>
      </w:r>
      <w:r w:rsidR="00AE2F88">
        <w:rPr>
          <w:rFonts w:ascii="Arial" w:hAnsi="Arial" w:cs="Arial"/>
        </w:rPr>
        <w:t xml:space="preserve">‒ </w:t>
      </w:r>
      <w:r w:rsidR="003538F4" w:rsidRPr="00AE2F88">
        <w:rPr>
          <w:rFonts w:ascii="Arial" w:hAnsi="Arial" w:cs="Arial"/>
        </w:rPr>
        <w:t>Project 1.2.23 - Sheridan Park</w:t>
      </w:r>
    </w:p>
    <w:p w14:paraId="28DC298A" w14:textId="77777777" w:rsidR="003538F4" w:rsidRPr="00AE2F88" w:rsidRDefault="003538F4" w:rsidP="00F76AAC">
      <w:pPr>
        <w:pStyle w:val="ListParagraph"/>
        <w:numPr>
          <w:ilvl w:val="0"/>
          <w:numId w:val="26"/>
        </w:numPr>
        <w:spacing w:beforeLines="150" w:before="360" w:afterLines="150" w:after="360" w:line="360" w:lineRule="auto"/>
        <w:rPr>
          <w:rFonts w:eastAsia="Arial" w:cs="Arial"/>
        </w:rPr>
      </w:pPr>
      <w:r w:rsidRPr="00AE2F88">
        <w:rPr>
          <w:rFonts w:cs="Arial"/>
        </w:rPr>
        <w:t>8.28%</w:t>
      </w:r>
      <w:r w:rsidRPr="00AE2F88">
        <w:rPr>
          <w:rFonts w:cs="Arial"/>
        </w:rPr>
        <w:tab/>
      </w:r>
      <w:r w:rsidR="00AE2F88">
        <w:rPr>
          <w:rFonts w:cs="Arial"/>
        </w:rPr>
        <w:t xml:space="preserve"> ‒ </w:t>
      </w:r>
      <w:r w:rsidRPr="00AE2F88">
        <w:rPr>
          <w:rFonts w:cs="Arial"/>
        </w:rPr>
        <w:t>Project 1.2.24 - Credit River Crossing</w:t>
      </w:r>
    </w:p>
    <w:p w14:paraId="21325380" w14:textId="7F20DCFC" w:rsidR="00B547A4" w:rsidRDefault="00770A5F" w:rsidP="00073234">
      <w:pPr>
        <w:pStyle w:val="DecisionBody"/>
        <w:spacing w:beforeLines="150" w:before="360" w:afterLines="150" w:after="360"/>
        <w:rPr>
          <w:rFonts w:cs="Arial"/>
        </w:rPr>
      </w:pPr>
      <w:r w:rsidRPr="00B547A4">
        <w:rPr>
          <w:rFonts w:cs="Arial"/>
        </w:rPr>
        <w:t xml:space="preserve">In Mr. Binning’s unchallenged professional opinion, each of the changes </w:t>
      </w:r>
      <w:r w:rsidR="003538F4" w:rsidRPr="00B547A4">
        <w:rPr>
          <w:rFonts w:cs="Arial"/>
        </w:rPr>
        <w:t>set out in the preceding paragraphs an</w:t>
      </w:r>
      <w:r w:rsidR="00B547A4" w:rsidRPr="00B547A4">
        <w:rPr>
          <w:rFonts w:cs="Arial"/>
        </w:rPr>
        <w:t xml:space="preserve">d that </w:t>
      </w:r>
      <w:r w:rsidRPr="00B547A4">
        <w:rPr>
          <w:rFonts w:cs="Arial"/>
        </w:rPr>
        <w:t>result</w:t>
      </w:r>
      <w:r w:rsidR="00B547A4" w:rsidRPr="00B547A4">
        <w:rPr>
          <w:rFonts w:cs="Arial"/>
        </w:rPr>
        <w:t>ed</w:t>
      </w:r>
      <w:r w:rsidRPr="00B547A4">
        <w:rPr>
          <w:rFonts w:cs="Arial"/>
        </w:rPr>
        <w:t xml:space="preserve"> from the settlement is appropriate. </w:t>
      </w:r>
    </w:p>
    <w:p w14:paraId="22BA0A1A" w14:textId="2BD996B1" w:rsidR="003339E2" w:rsidRPr="00B547A4" w:rsidRDefault="002966AA" w:rsidP="00073234">
      <w:pPr>
        <w:pStyle w:val="DecisionBody"/>
        <w:spacing w:beforeLines="150" w:before="360" w:afterLines="150" w:after="360"/>
        <w:rPr>
          <w:rFonts w:cs="Arial"/>
        </w:rPr>
      </w:pPr>
      <w:r w:rsidRPr="00B547A4">
        <w:rPr>
          <w:rFonts w:cs="Arial"/>
        </w:rPr>
        <w:lastRenderedPageBreak/>
        <w:t xml:space="preserve">On the affidavit evidence of Mr. Binning, the Tribunal finds that </w:t>
      </w:r>
      <w:r w:rsidR="00770A5F" w:rsidRPr="00B547A4">
        <w:rPr>
          <w:rFonts w:cs="Arial"/>
        </w:rPr>
        <w:t xml:space="preserve">no new background study is </w:t>
      </w:r>
      <w:r w:rsidR="00D650DD" w:rsidRPr="00B547A4">
        <w:rPr>
          <w:rFonts w:cs="Arial"/>
        </w:rPr>
        <w:t>necessary,</w:t>
      </w:r>
      <w:r w:rsidR="00770A5F" w:rsidRPr="00B547A4">
        <w:rPr>
          <w:rFonts w:cs="Arial"/>
        </w:rPr>
        <w:t xml:space="preserve"> and the calculation of the change has been done in a manner</w:t>
      </w:r>
      <w:r w:rsidR="00D32AE5" w:rsidRPr="00B547A4">
        <w:rPr>
          <w:rFonts w:cs="Arial"/>
        </w:rPr>
        <w:t xml:space="preserve"> consistent with the requirements of the Act and O</w:t>
      </w:r>
      <w:r w:rsidR="00F76AAC">
        <w:rPr>
          <w:rFonts w:cs="Arial"/>
        </w:rPr>
        <w:t>ntario</w:t>
      </w:r>
      <w:r w:rsidR="00D32AE5" w:rsidRPr="00B547A4">
        <w:rPr>
          <w:rFonts w:cs="Arial"/>
        </w:rPr>
        <w:t xml:space="preserve"> Reg</w:t>
      </w:r>
      <w:r w:rsidR="00F76AAC">
        <w:rPr>
          <w:rFonts w:cs="Arial"/>
        </w:rPr>
        <w:t>ulation</w:t>
      </w:r>
      <w:r w:rsidR="00D32AE5" w:rsidRPr="00B547A4">
        <w:rPr>
          <w:rFonts w:cs="Arial"/>
        </w:rPr>
        <w:t xml:space="preserve"> 82/98.</w:t>
      </w:r>
    </w:p>
    <w:p w14:paraId="56224E8D" w14:textId="5576C7E3" w:rsidR="00803089" w:rsidRDefault="00803089" w:rsidP="007B76AB">
      <w:pPr>
        <w:pStyle w:val="DecisionBody"/>
        <w:spacing w:beforeLines="150" w:before="360" w:afterLines="150" w:after="360"/>
        <w:rPr>
          <w:rFonts w:cs="Arial"/>
        </w:rPr>
      </w:pPr>
      <w:r>
        <w:rPr>
          <w:rFonts w:cs="Arial"/>
        </w:rPr>
        <w:t>The settlement with Amacon built upon the settlements the City reached with Orlando and with BILD. The detail of the changes from the original rates in the By-law through the settlements with Orlando, with BILD and with Amacon were set out by Mr. Binning in three schedules</w:t>
      </w:r>
      <w:r w:rsidR="002966AA">
        <w:rPr>
          <w:rFonts w:cs="Arial"/>
        </w:rPr>
        <w:t xml:space="preserve">. Schedule </w:t>
      </w:r>
      <w:r>
        <w:rPr>
          <w:rFonts w:cs="Arial"/>
        </w:rPr>
        <w:t xml:space="preserve">A1 shows the original rates, </w:t>
      </w:r>
      <w:r w:rsidR="002966AA">
        <w:rPr>
          <w:rFonts w:cs="Arial"/>
        </w:rPr>
        <w:t xml:space="preserve">Schedule </w:t>
      </w:r>
      <w:r>
        <w:rPr>
          <w:rFonts w:cs="Arial"/>
        </w:rPr>
        <w:t xml:space="preserve">A2 shows the rates resulting from the settlements with Orlando and BILD and </w:t>
      </w:r>
      <w:r w:rsidR="002966AA">
        <w:rPr>
          <w:rFonts w:cs="Arial"/>
        </w:rPr>
        <w:t xml:space="preserve">Schedule </w:t>
      </w:r>
      <w:r>
        <w:rPr>
          <w:rFonts w:cs="Arial"/>
        </w:rPr>
        <w:t xml:space="preserve">A3 shows the rates further adjusted </w:t>
      </w:r>
      <w:proofErr w:type="gramStart"/>
      <w:r w:rsidR="002B2ED3">
        <w:rPr>
          <w:rFonts w:cs="Arial"/>
        </w:rPr>
        <w:t>as a result of</w:t>
      </w:r>
      <w:proofErr w:type="gramEnd"/>
      <w:r w:rsidR="002B2ED3">
        <w:rPr>
          <w:rFonts w:cs="Arial"/>
        </w:rPr>
        <w:t xml:space="preserve"> the settlement with Amacon. </w:t>
      </w:r>
      <w:r w:rsidR="002966AA">
        <w:rPr>
          <w:rFonts w:cs="Arial"/>
        </w:rPr>
        <w:t>These Schedules are set out in Attachment 1 to this Decision.</w:t>
      </w:r>
    </w:p>
    <w:p w14:paraId="7D2C5F85" w14:textId="77777777" w:rsidR="002966AA" w:rsidRPr="002966AA" w:rsidRDefault="002966AA" w:rsidP="002966AA">
      <w:pPr>
        <w:pStyle w:val="DecisionBody"/>
        <w:numPr>
          <w:ilvl w:val="0"/>
          <w:numId w:val="0"/>
        </w:numPr>
        <w:spacing w:beforeLines="150" w:before="360" w:afterLines="150" w:after="360"/>
        <w:rPr>
          <w:rStyle w:val="Strong"/>
        </w:rPr>
      </w:pPr>
      <w:r>
        <w:rPr>
          <w:rStyle w:val="Strong"/>
        </w:rPr>
        <w:t>ORDER</w:t>
      </w:r>
    </w:p>
    <w:p w14:paraId="2A596B87" w14:textId="48DF2329" w:rsidR="002B2ED3" w:rsidRDefault="002B2ED3" w:rsidP="007B76AB">
      <w:pPr>
        <w:pStyle w:val="DecisionBody"/>
        <w:spacing w:beforeLines="150" w:before="360" w:afterLines="150" w:after="360"/>
        <w:rPr>
          <w:rFonts w:cs="Arial"/>
        </w:rPr>
      </w:pPr>
      <w:r>
        <w:rPr>
          <w:rFonts w:cs="Arial"/>
        </w:rPr>
        <w:t xml:space="preserve">The </w:t>
      </w:r>
      <w:r w:rsidR="002966AA">
        <w:rPr>
          <w:rFonts w:cs="Arial"/>
        </w:rPr>
        <w:t xml:space="preserve">Tribunal Orders that the </w:t>
      </w:r>
      <w:r>
        <w:rPr>
          <w:rFonts w:cs="Arial"/>
        </w:rPr>
        <w:t xml:space="preserve">appeals by Amacon Development (City Centre) Corp., Orlando Corporation and Building Industry and Land Development Association are allowed in part and </w:t>
      </w:r>
      <w:r w:rsidR="005F7A3D">
        <w:rPr>
          <w:rFonts w:cs="Arial"/>
        </w:rPr>
        <w:t xml:space="preserve">the </w:t>
      </w:r>
      <w:r>
        <w:rPr>
          <w:rFonts w:cs="Arial"/>
        </w:rPr>
        <w:t>City of Mississauga Development Charges By-law No. 0161-2014</w:t>
      </w:r>
      <w:r w:rsidR="000A4ABB">
        <w:rPr>
          <w:rFonts w:cs="Arial"/>
        </w:rPr>
        <w:t xml:space="preserve"> is amended in accordance with Schedule A3 as set out in Attachment</w:t>
      </w:r>
      <w:r w:rsidR="00F76AAC">
        <w:rPr>
          <w:rFonts w:cs="Arial"/>
        </w:rPr>
        <w:t xml:space="preserve"> </w:t>
      </w:r>
      <w:r w:rsidR="000A4ABB">
        <w:rPr>
          <w:rFonts w:cs="Arial"/>
        </w:rPr>
        <w:t>1 to this Decision.</w:t>
      </w:r>
    </w:p>
    <w:p w14:paraId="437ED769" w14:textId="77777777" w:rsidR="007B76AB" w:rsidRDefault="007B76AB" w:rsidP="007B76AB">
      <w:pPr>
        <w:pStyle w:val="Member"/>
        <w:jc w:val="right"/>
      </w:pPr>
      <w:r w:rsidRPr="004704FF">
        <w:t>“Susan de Avellar Schiller”</w:t>
      </w:r>
    </w:p>
    <w:p w14:paraId="741AA7EA" w14:textId="77777777" w:rsidR="007B76AB" w:rsidRPr="004704FF" w:rsidRDefault="007B76AB" w:rsidP="007B76AB">
      <w:pPr>
        <w:pStyle w:val="Member"/>
        <w:jc w:val="right"/>
      </w:pPr>
    </w:p>
    <w:p w14:paraId="3DA8B4DE" w14:textId="77777777" w:rsidR="007B76AB" w:rsidRPr="004704FF" w:rsidRDefault="007B76AB" w:rsidP="007B76AB">
      <w:pPr>
        <w:pStyle w:val="Member"/>
        <w:jc w:val="right"/>
      </w:pPr>
    </w:p>
    <w:p w14:paraId="0C2F820B" w14:textId="77777777" w:rsidR="007B76AB" w:rsidRPr="004704FF" w:rsidRDefault="007B76AB" w:rsidP="007B76AB">
      <w:pPr>
        <w:pStyle w:val="Member"/>
        <w:jc w:val="right"/>
        <w:rPr>
          <w:i w:val="0"/>
        </w:rPr>
      </w:pPr>
      <w:r w:rsidRPr="004704FF">
        <w:rPr>
          <w:i w:val="0"/>
        </w:rPr>
        <w:t>SUSAN de AVELLAR SCHILLER</w:t>
      </w:r>
    </w:p>
    <w:p w14:paraId="159C87DC" w14:textId="77777777" w:rsidR="007B76AB" w:rsidRDefault="007B76AB" w:rsidP="007B76AB">
      <w:pPr>
        <w:pStyle w:val="Member"/>
        <w:jc w:val="right"/>
        <w:rPr>
          <w:i w:val="0"/>
        </w:rPr>
      </w:pPr>
      <w:r>
        <w:rPr>
          <w:i w:val="0"/>
        </w:rPr>
        <w:t>VICE-</w:t>
      </w:r>
      <w:r w:rsidRPr="004704FF">
        <w:rPr>
          <w:i w:val="0"/>
        </w:rPr>
        <w:t>CHAIR</w:t>
      </w:r>
    </w:p>
    <w:p w14:paraId="3114CEAD" w14:textId="77777777" w:rsidR="007B76AB" w:rsidRDefault="007B76AB" w:rsidP="007B76AB">
      <w:pPr>
        <w:pStyle w:val="Member"/>
        <w:jc w:val="right"/>
        <w:rPr>
          <w:i w:val="0"/>
        </w:rPr>
      </w:pPr>
    </w:p>
    <w:p w14:paraId="06498ED4" w14:textId="77777777" w:rsidR="00ED2431" w:rsidRDefault="00ED2431" w:rsidP="007B76AB">
      <w:pPr>
        <w:pStyle w:val="Member"/>
        <w:jc w:val="right"/>
        <w:rPr>
          <w:i w:val="0"/>
        </w:rPr>
      </w:pPr>
    </w:p>
    <w:p w14:paraId="4EF91589" w14:textId="77777777" w:rsidR="00ED2431" w:rsidRDefault="00ED2431" w:rsidP="007B76AB">
      <w:pPr>
        <w:pStyle w:val="Member"/>
        <w:jc w:val="right"/>
        <w:rPr>
          <w:i w:val="0"/>
        </w:rPr>
      </w:pPr>
    </w:p>
    <w:p w14:paraId="44BBFD4A" w14:textId="77777777" w:rsidR="00ED2431" w:rsidRDefault="00ED2431" w:rsidP="007B76AB">
      <w:pPr>
        <w:pStyle w:val="Member"/>
        <w:jc w:val="right"/>
        <w:rPr>
          <w:i w:val="0"/>
        </w:rPr>
      </w:pPr>
    </w:p>
    <w:p w14:paraId="7AF0D586" w14:textId="77777777" w:rsidR="007B76AB" w:rsidRDefault="007B76AB" w:rsidP="007B76AB">
      <w:pPr>
        <w:pStyle w:val="Member"/>
        <w:jc w:val="right"/>
        <w:rPr>
          <w:i w:val="0"/>
        </w:rPr>
      </w:pPr>
    </w:p>
    <w:p w14:paraId="043C6720" w14:textId="77777777" w:rsidR="007B76AB" w:rsidRDefault="007B76AB" w:rsidP="007B76AB">
      <w:pPr>
        <w:jc w:val="center"/>
        <w:rPr>
          <w:rFonts w:ascii="Arial" w:hAnsi="Arial" w:cs="Arial"/>
          <w:lang w:eastAsia="en-CA"/>
        </w:rPr>
      </w:pPr>
      <w:r>
        <w:rPr>
          <w:rFonts w:ascii="Arial" w:hAnsi="Arial" w:cs="Arial"/>
          <w:lang w:eastAsia="en-CA"/>
        </w:rPr>
        <w:t>If there is an attachment referred to in this document,</w:t>
      </w:r>
    </w:p>
    <w:p w14:paraId="1C4CEA67" w14:textId="77777777" w:rsidR="007B76AB" w:rsidRDefault="007B76AB" w:rsidP="007B76AB">
      <w:pPr>
        <w:jc w:val="center"/>
        <w:rPr>
          <w:rFonts w:ascii="Arial" w:hAnsi="Arial" w:cs="Arial"/>
          <w:lang w:eastAsia="en-CA"/>
        </w:rPr>
      </w:pPr>
      <w:r>
        <w:rPr>
          <w:rFonts w:ascii="Arial" w:hAnsi="Arial" w:cs="Arial"/>
          <w:lang w:eastAsia="en-CA"/>
        </w:rPr>
        <w:t>please visit www.elto.gov.on.ca to view the attachment in PDF format.</w:t>
      </w:r>
    </w:p>
    <w:p w14:paraId="4DC93899" w14:textId="77777777" w:rsidR="007B76AB" w:rsidRDefault="007B76AB" w:rsidP="007B76AB">
      <w:pPr>
        <w:pStyle w:val="Member"/>
        <w:jc w:val="right"/>
        <w:rPr>
          <w:i w:val="0"/>
        </w:rPr>
      </w:pPr>
    </w:p>
    <w:p w14:paraId="3B8D34DA" w14:textId="77777777" w:rsidR="007B76AB" w:rsidRPr="004704FF" w:rsidRDefault="007B76AB" w:rsidP="007B76AB">
      <w:pPr>
        <w:pStyle w:val="Member"/>
        <w:jc w:val="right"/>
        <w:rPr>
          <w:i w:val="0"/>
        </w:rPr>
      </w:pPr>
    </w:p>
    <w:p w14:paraId="33315EEC" w14:textId="77777777" w:rsidR="007B76AB" w:rsidRPr="004704FF" w:rsidRDefault="00D11C1E" w:rsidP="007B76AB">
      <w:pPr>
        <w:keepLines/>
        <w:jc w:val="center"/>
        <w:rPr>
          <w:rFonts w:ascii="Arial" w:hAnsi="Arial" w:cs="Arial"/>
          <w:b/>
          <w:lang w:val="en-CA"/>
        </w:rPr>
      </w:pPr>
      <w:r>
        <w:rPr>
          <w:rFonts w:ascii="Arial" w:hAnsi="Arial" w:cs="Arial"/>
          <w:b/>
          <w:lang w:val="en-CA"/>
        </w:rPr>
        <w:t>Local Planning Appeal Tribunal</w:t>
      </w:r>
    </w:p>
    <w:p w14:paraId="08134167" w14:textId="77777777" w:rsidR="007B76AB" w:rsidRPr="004704FF" w:rsidRDefault="007B76AB" w:rsidP="007B76AB">
      <w:pPr>
        <w:keepLines/>
        <w:jc w:val="center"/>
        <w:rPr>
          <w:rFonts w:ascii="Arial" w:hAnsi="Arial" w:cs="Arial"/>
          <w:lang w:val="en-CA"/>
        </w:rPr>
      </w:pPr>
      <w:r w:rsidRPr="004704FF">
        <w:rPr>
          <w:rFonts w:ascii="Arial" w:hAnsi="Arial" w:cs="Arial"/>
          <w:lang w:val="en-CA"/>
        </w:rPr>
        <w:t>A constituent tribunal of Tribunals Ontario</w:t>
      </w:r>
      <w:r w:rsidR="00F76AAC">
        <w:rPr>
          <w:rFonts w:ascii="Arial" w:hAnsi="Arial" w:cs="Arial"/>
          <w:lang w:val="en-CA"/>
        </w:rPr>
        <w:t xml:space="preserve"> - </w:t>
      </w:r>
      <w:r w:rsidR="00FC5582">
        <w:rPr>
          <w:rFonts w:ascii="Arial" w:hAnsi="Arial" w:cs="Arial"/>
          <w:lang w:val="en-CA"/>
        </w:rPr>
        <w:t>Environment and Land Division</w:t>
      </w:r>
    </w:p>
    <w:p w14:paraId="65C0D2B3" w14:textId="77777777" w:rsidR="007B76AB" w:rsidRPr="004704FF" w:rsidRDefault="007B76AB" w:rsidP="007B76AB">
      <w:pPr>
        <w:pStyle w:val="Footer"/>
        <w:jc w:val="center"/>
        <w:rPr>
          <w:rFonts w:ascii="Arial" w:hAnsi="Arial" w:cs="Arial"/>
          <w:lang w:val="en-CA"/>
        </w:rPr>
      </w:pPr>
      <w:r w:rsidRPr="004704FF">
        <w:rPr>
          <w:rFonts w:ascii="Arial" w:hAnsi="Arial" w:cs="Arial"/>
          <w:lang w:val="en-CA"/>
        </w:rPr>
        <w:t xml:space="preserve">Website: </w:t>
      </w:r>
      <w:proofErr w:type="gramStart"/>
      <w:r w:rsidRPr="004704FF">
        <w:rPr>
          <w:rFonts w:ascii="Arial" w:hAnsi="Arial" w:cs="Arial"/>
          <w:lang w:val="en-CA"/>
        </w:rPr>
        <w:t>www.elto.gov.on.ca  Telephone</w:t>
      </w:r>
      <w:proofErr w:type="gramEnd"/>
      <w:r w:rsidRPr="004704FF">
        <w:rPr>
          <w:rFonts w:ascii="Arial" w:hAnsi="Arial" w:cs="Arial"/>
          <w:lang w:val="en-CA"/>
        </w:rPr>
        <w:t>: 416-212-6349  Toll Free: 1-866-448-2248</w:t>
      </w:r>
      <w:bookmarkEnd w:id="1"/>
    </w:p>
    <w:sectPr w:rsidR="007B76AB" w:rsidRPr="004704FF" w:rsidSect="00B92BA3">
      <w:headerReference w:type="default" r:id="rId8"/>
      <w:pgSz w:w="12240" w:h="15840" w:code="1"/>
      <w:pgMar w:top="1239"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A34E" w14:textId="77777777" w:rsidR="002829CD" w:rsidRDefault="002829CD">
      <w:r>
        <w:separator/>
      </w:r>
    </w:p>
  </w:endnote>
  <w:endnote w:type="continuationSeparator" w:id="0">
    <w:p w14:paraId="3C823AFD" w14:textId="77777777" w:rsidR="002829CD" w:rsidRDefault="002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3C61" w14:textId="77777777" w:rsidR="002829CD" w:rsidRDefault="002829CD">
      <w:r>
        <w:separator/>
      </w:r>
    </w:p>
  </w:footnote>
  <w:footnote w:type="continuationSeparator" w:id="0">
    <w:p w14:paraId="62DEFAB2" w14:textId="77777777" w:rsidR="002829CD" w:rsidRDefault="0028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5394" w14:textId="77777777" w:rsidR="005D1ED7" w:rsidRDefault="005D1ED7" w:rsidP="002D2254">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2B54C9">
      <w:rPr>
        <w:rFonts w:ascii="Arial" w:hAnsi="Arial" w:cs="Arial"/>
        <w:noProof/>
      </w:rPr>
      <w:t>2</w:t>
    </w:r>
    <w:r w:rsidRPr="005E51AF">
      <w:rPr>
        <w:rFonts w:ascii="Arial" w:hAnsi="Arial" w:cs="Arial"/>
        <w:noProof/>
      </w:rPr>
      <w:fldChar w:fldCharType="end"/>
    </w:r>
    <w:r w:rsidR="00C02B28">
      <w:rPr>
        <w:rFonts w:ascii="Arial" w:hAnsi="Arial" w:cs="Arial"/>
        <w:noProof/>
      </w:rPr>
      <w:tab/>
    </w:r>
    <w:r w:rsidR="002D2254">
      <w:rPr>
        <w:rFonts w:ascii="Arial" w:hAnsi="Arial" w:cs="Arial"/>
        <w:noProof/>
      </w:rPr>
      <w:tab/>
    </w:r>
    <w:r w:rsidR="00835339">
      <w:rPr>
        <w:rFonts w:ascii="Arial" w:hAnsi="Arial" w:cs="Arial"/>
        <w:noProof/>
      </w:rPr>
      <w:t>DC140020</w:t>
    </w:r>
  </w:p>
  <w:p w14:paraId="3B8D4396" w14:textId="77777777" w:rsidR="008A1A0C" w:rsidRDefault="008A1A0C" w:rsidP="002D2254">
    <w:pPr>
      <w:pStyle w:val="Header"/>
      <w:tabs>
        <w:tab w:val="clear" w:pos="8640"/>
        <w:tab w:val="center" w:pos="4680"/>
        <w:tab w:val="left" w:pos="6804"/>
        <w:tab w:val="right" w:pos="9360"/>
      </w:tabs>
      <w:rPr>
        <w:rFonts w:ascii="Arial" w:hAnsi="Arial" w:cs="Arial"/>
        <w:noProof/>
      </w:rPr>
    </w:pPr>
  </w:p>
  <w:p w14:paraId="35669DD8"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12513"/>
    <w:multiLevelType w:val="hybridMultilevel"/>
    <w:tmpl w:val="EB56CA72"/>
    <w:lvl w:ilvl="0" w:tplc="40FEA66C">
      <w:start w:val="1"/>
      <w:numFmt w:val="lowerRoman"/>
      <w:lvlText w:val="%1)"/>
      <w:lvlJc w:val="left"/>
      <w:pPr>
        <w:ind w:left="1440" w:hanging="720"/>
      </w:pPr>
      <w:rPr>
        <w:rFonts w:eastAsia="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3D3354"/>
    <w:multiLevelType w:val="hybridMultilevel"/>
    <w:tmpl w:val="62361F3E"/>
    <w:lvl w:ilvl="0" w:tplc="C19E5D00">
      <w:start w:val="1"/>
      <w:numFmt w:val="lowerLetter"/>
      <w:lvlText w:val="%1)"/>
      <w:lvlJc w:val="left"/>
      <w:pPr>
        <w:ind w:left="1800" w:hanging="360"/>
      </w:pPr>
      <w:rPr>
        <w:rFonts w:hint="default"/>
        <w:w w:val="85"/>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D4000C7"/>
    <w:multiLevelType w:val="hybridMultilevel"/>
    <w:tmpl w:val="6CFA1F68"/>
    <w:lvl w:ilvl="0" w:tplc="4D308D5C">
      <w:start w:val="1"/>
      <w:numFmt w:val="lowerRoman"/>
      <w:lvlText w:val="%1)"/>
      <w:lvlJc w:val="left"/>
      <w:pPr>
        <w:ind w:left="1440" w:hanging="720"/>
      </w:pPr>
      <w:rPr>
        <w:rFonts w:eastAsia="Times New Roman" w:cs="Times New Roman" w:hint="default"/>
        <w:w w:val="85"/>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A12260"/>
    <w:multiLevelType w:val="hybridMultilevel"/>
    <w:tmpl w:val="15F4981A"/>
    <w:lvl w:ilvl="0" w:tplc="99E21244">
      <w:start w:val="1"/>
      <w:numFmt w:val="decimal"/>
      <w:pStyle w:val="DecisionBody"/>
      <w:lvlText w:val="[%1]"/>
      <w:lvlJc w:val="left"/>
      <w:pPr>
        <w:ind w:left="720" w:hanging="360"/>
      </w:pPr>
      <w:rPr>
        <w:rFonts w:hint="default"/>
        <w:b w:val="0"/>
      </w:rPr>
    </w:lvl>
    <w:lvl w:ilvl="1" w:tplc="63A085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F59D7"/>
    <w:multiLevelType w:val="hybridMultilevel"/>
    <w:tmpl w:val="B308DB94"/>
    <w:lvl w:ilvl="0" w:tplc="7A5A61A8">
      <w:start w:val="4"/>
      <w:numFmt w:val="lowerLetter"/>
      <w:lvlText w:val="%1)"/>
      <w:lvlJc w:val="left"/>
      <w:pPr>
        <w:ind w:left="2960" w:hanging="360"/>
      </w:pPr>
      <w:rPr>
        <w:rFonts w:ascii="Arial" w:eastAsia="Arial" w:hAnsi="Arial" w:hint="default"/>
        <w:spacing w:val="1"/>
        <w:w w:val="93"/>
        <w:sz w:val="24"/>
        <w:szCs w:val="24"/>
      </w:rPr>
    </w:lvl>
    <w:lvl w:ilvl="1" w:tplc="04E40804">
      <w:start w:val="1"/>
      <w:numFmt w:val="bullet"/>
      <w:lvlText w:val="•"/>
      <w:lvlJc w:val="left"/>
      <w:pPr>
        <w:ind w:left="3548" w:hanging="360"/>
      </w:pPr>
      <w:rPr>
        <w:rFonts w:hint="default"/>
      </w:rPr>
    </w:lvl>
    <w:lvl w:ilvl="2" w:tplc="D84EEBCC">
      <w:start w:val="1"/>
      <w:numFmt w:val="bullet"/>
      <w:lvlText w:val="•"/>
      <w:lvlJc w:val="left"/>
      <w:pPr>
        <w:ind w:left="4136" w:hanging="360"/>
      </w:pPr>
      <w:rPr>
        <w:rFonts w:hint="default"/>
      </w:rPr>
    </w:lvl>
    <w:lvl w:ilvl="3" w:tplc="75DE44A6">
      <w:start w:val="1"/>
      <w:numFmt w:val="bullet"/>
      <w:lvlText w:val="•"/>
      <w:lvlJc w:val="left"/>
      <w:pPr>
        <w:ind w:left="4724" w:hanging="360"/>
      </w:pPr>
      <w:rPr>
        <w:rFonts w:hint="default"/>
      </w:rPr>
    </w:lvl>
    <w:lvl w:ilvl="4" w:tplc="FC725BD6">
      <w:start w:val="1"/>
      <w:numFmt w:val="bullet"/>
      <w:lvlText w:val="•"/>
      <w:lvlJc w:val="left"/>
      <w:pPr>
        <w:ind w:left="5312" w:hanging="360"/>
      </w:pPr>
      <w:rPr>
        <w:rFonts w:hint="default"/>
      </w:rPr>
    </w:lvl>
    <w:lvl w:ilvl="5" w:tplc="913C49C2">
      <w:start w:val="1"/>
      <w:numFmt w:val="bullet"/>
      <w:lvlText w:val="•"/>
      <w:lvlJc w:val="left"/>
      <w:pPr>
        <w:ind w:left="5900" w:hanging="360"/>
      </w:pPr>
      <w:rPr>
        <w:rFonts w:hint="default"/>
      </w:rPr>
    </w:lvl>
    <w:lvl w:ilvl="6" w:tplc="13C6D0AC">
      <w:start w:val="1"/>
      <w:numFmt w:val="bullet"/>
      <w:lvlText w:val="•"/>
      <w:lvlJc w:val="left"/>
      <w:pPr>
        <w:ind w:left="6488" w:hanging="360"/>
      </w:pPr>
      <w:rPr>
        <w:rFonts w:hint="default"/>
      </w:rPr>
    </w:lvl>
    <w:lvl w:ilvl="7" w:tplc="CF8E0D5A">
      <w:start w:val="1"/>
      <w:numFmt w:val="bullet"/>
      <w:lvlText w:val="•"/>
      <w:lvlJc w:val="left"/>
      <w:pPr>
        <w:ind w:left="7076" w:hanging="360"/>
      </w:pPr>
      <w:rPr>
        <w:rFonts w:hint="default"/>
      </w:rPr>
    </w:lvl>
    <w:lvl w:ilvl="8" w:tplc="95B61166">
      <w:start w:val="1"/>
      <w:numFmt w:val="bullet"/>
      <w:lvlText w:val="•"/>
      <w:lvlJc w:val="left"/>
      <w:pPr>
        <w:ind w:left="7664" w:hanging="360"/>
      </w:pPr>
      <w:rPr>
        <w:rFonts w:hint="default"/>
      </w:rPr>
    </w:lvl>
  </w:abstractNum>
  <w:abstractNum w:abstractNumId="19"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8837D5"/>
    <w:multiLevelType w:val="hybridMultilevel"/>
    <w:tmpl w:val="1662EE98"/>
    <w:lvl w:ilvl="0" w:tplc="34EE049C">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ADB04FE"/>
    <w:multiLevelType w:val="hybridMultilevel"/>
    <w:tmpl w:val="BF1E8012"/>
    <w:lvl w:ilvl="0" w:tplc="9DE4E22E">
      <w:start w:val="1"/>
      <w:numFmt w:val="lowerLetter"/>
      <w:lvlText w:val="%1)"/>
      <w:lvlJc w:val="left"/>
      <w:pPr>
        <w:ind w:left="1800" w:hanging="360"/>
      </w:pPr>
      <w:rPr>
        <w:rFonts w:hint="default"/>
        <w:w w:val="85"/>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7DC11D4A"/>
    <w:multiLevelType w:val="multilevel"/>
    <w:tmpl w:val="0E3C802C"/>
    <w:lvl w:ilvl="0">
      <w:start w:val="12"/>
      <w:numFmt w:val="upperLetter"/>
      <w:lvlText w:val="%1"/>
      <w:lvlJc w:val="left"/>
      <w:pPr>
        <w:ind w:left="837" w:hanging="718"/>
      </w:pPr>
      <w:rPr>
        <w:rFonts w:hint="default"/>
      </w:rPr>
    </w:lvl>
    <w:lvl w:ilvl="1">
      <w:start w:val="16"/>
      <w:numFmt w:val="upperLetter"/>
      <w:lvlText w:val="%1.%2"/>
      <w:lvlJc w:val="left"/>
      <w:pPr>
        <w:ind w:left="837" w:hanging="718"/>
      </w:pPr>
      <w:rPr>
        <w:rFonts w:hint="default"/>
      </w:rPr>
    </w:lvl>
    <w:lvl w:ilvl="2">
      <w:start w:val="1"/>
      <w:numFmt w:val="upperLetter"/>
      <w:lvlText w:val="%1.%2.%3"/>
      <w:lvlJc w:val="left"/>
      <w:pPr>
        <w:ind w:left="837" w:hanging="718"/>
      </w:pPr>
      <w:rPr>
        <w:rFonts w:hint="default"/>
      </w:rPr>
    </w:lvl>
    <w:lvl w:ilvl="3">
      <w:start w:val="20"/>
      <w:numFmt w:val="upperLetter"/>
      <w:lvlText w:val="%1.%2.%3.%4"/>
      <w:lvlJc w:val="left"/>
      <w:pPr>
        <w:ind w:left="837" w:hanging="718"/>
      </w:pPr>
      <w:rPr>
        <w:rFonts w:ascii="Arial" w:eastAsia="Arial" w:hAnsi="Arial" w:hint="default"/>
        <w:spacing w:val="-1"/>
        <w:w w:val="75"/>
        <w:sz w:val="24"/>
        <w:szCs w:val="24"/>
      </w:rPr>
    </w:lvl>
    <w:lvl w:ilvl="4">
      <w:start w:val="1"/>
      <w:numFmt w:val="decimal"/>
      <w:lvlText w:val="%5."/>
      <w:lvlJc w:val="left"/>
      <w:pPr>
        <w:ind w:left="1200" w:hanging="720"/>
      </w:pPr>
      <w:rPr>
        <w:rFonts w:ascii="Arial" w:eastAsia="Arial" w:hAnsi="Arial" w:hint="default"/>
        <w:w w:val="91"/>
        <w:sz w:val="24"/>
        <w:szCs w:val="24"/>
      </w:rPr>
    </w:lvl>
    <w:lvl w:ilvl="5">
      <w:start w:val="1"/>
      <w:numFmt w:val="lowerLetter"/>
      <w:lvlText w:val="%6."/>
      <w:lvlJc w:val="left"/>
      <w:pPr>
        <w:ind w:left="1520" w:hanging="360"/>
      </w:pPr>
      <w:rPr>
        <w:rFonts w:ascii="Arial" w:eastAsia="Arial" w:hAnsi="Arial" w:hint="default"/>
        <w:w w:val="87"/>
        <w:sz w:val="24"/>
        <w:szCs w:val="24"/>
      </w:rPr>
    </w:lvl>
    <w:lvl w:ilvl="6">
      <w:start w:val="1"/>
      <w:numFmt w:val="lowerLetter"/>
      <w:pStyle w:val="ListParagraph"/>
      <w:lvlText w:val="%7)"/>
      <w:lvlJc w:val="left"/>
      <w:pPr>
        <w:ind w:left="4400" w:hanging="360"/>
      </w:pPr>
      <w:rPr>
        <w:rFonts w:ascii="Arial" w:eastAsia="Arial" w:hAnsi="Arial" w:hint="default"/>
        <w:w w:val="87"/>
        <w:sz w:val="24"/>
        <w:szCs w:val="24"/>
      </w:rPr>
    </w:lvl>
    <w:lvl w:ilvl="7">
      <w:start w:val="1"/>
      <w:numFmt w:val="bullet"/>
      <w:lvlText w:val="•"/>
      <w:lvlJc w:val="left"/>
      <w:pPr>
        <w:ind w:left="6680" w:hanging="360"/>
      </w:pPr>
      <w:rPr>
        <w:rFonts w:hint="default"/>
      </w:rPr>
    </w:lvl>
    <w:lvl w:ilvl="8">
      <w:start w:val="1"/>
      <w:numFmt w:val="bullet"/>
      <w:lvlText w:val="•"/>
      <w:lvlJc w:val="left"/>
      <w:pPr>
        <w:ind w:left="7400" w:hanging="360"/>
      </w:pPr>
      <w:rPr>
        <w:rFonts w:hint="default"/>
      </w:rPr>
    </w:lvl>
  </w:abstractNum>
  <w:abstractNum w:abstractNumId="26"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2"/>
  </w:num>
  <w:num w:numId="4">
    <w:abstractNumId w:val="7"/>
  </w:num>
  <w:num w:numId="5">
    <w:abstractNumId w:val="26"/>
  </w:num>
  <w:num w:numId="6">
    <w:abstractNumId w:val="4"/>
  </w:num>
  <w:num w:numId="7">
    <w:abstractNumId w:val="1"/>
  </w:num>
  <w:num w:numId="8">
    <w:abstractNumId w:val="21"/>
  </w:num>
  <w:num w:numId="9">
    <w:abstractNumId w:val="13"/>
  </w:num>
  <w:num w:numId="10">
    <w:abstractNumId w:val="12"/>
  </w:num>
  <w:num w:numId="11">
    <w:abstractNumId w:val="17"/>
  </w:num>
  <w:num w:numId="12">
    <w:abstractNumId w:val="23"/>
  </w:num>
  <w:num w:numId="13">
    <w:abstractNumId w:val="3"/>
  </w:num>
  <w:num w:numId="14">
    <w:abstractNumId w:val="14"/>
  </w:num>
  <w:num w:numId="15">
    <w:abstractNumId w:val="19"/>
  </w:num>
  <w:num w:numId="16">
    <w:abstractNumId w:val="16"/>
  </w:num>
  <w:num w:numId="17">
    <w:abstractNumId w:val="6"/>
  </w:num>
  <w:num w:numId="18">
    <w:abstractNumId w:val="9"/>
  </w:num>
  <w:num w:numId="19">
    <w:abstractNumId w:val="2"/>
  </w:num>
  <w:num w:numId="20">
    <w:abstractNumId w:val="0"/>
  </w:num>
  <w:num w:numId="21">
    <w:abstractNumId w:val="18"/>
  </w:num>
  <w:num w:numId="22">
    <w:abstractNumId w:val="25"/>
  </w:num>
  <w:num w:numId="23">
    <w:abstractNumId w:val="11"/>
  </w:num>
  <w:num w:numId="24">
    <w:abstractNumId w:val="10"/>
  </w:num>
  <w:num w:numId="25">
    <w:abstractNumId w:val="24"/>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398A"/>
    <w:rsid w:val="000169B4"/>
    <w:rsid w:val="000170F3"/>
    <w:rsid w:val="000173C0"/>
    <w:rsid w:val="00017DFC"/>
    <w:rsid w:val="00031C6E"/>
    <w:rsid w:val="0003783B"/>
    <w:rsid w:val="000424A6"/>
    <w:rsid w:val="00054A9F"/>
    <w:rsid w:val="00057B18"/>
    <w:rsid w:val="00075342"/>
    <w:rsid w:val="00076196"/>
    <w:rsid w:val="0008105B"/>
    <w:rsid w:val="00081B93"/>
    <w:rsid w:val="000923E6"/>
    <w:rsid w:val="0009757E"/>
    <w:rsid w:val="000A4ABB"/>
    <w:rsid w:val="000B4BFB"/>
    <w:rsid w:val="000B7936"/>
    <w:rsid w:val="000C21BB"/>
    <w:rsid w:val="000C480C"/>
    <w:rsid w:val="000C7608"/>
    <w:rsid w:val="000D6F9D"/>
    <w:rsid w:val="000D7BBD"/>
    <w:rsid w:val="00137797"/>
    <w:rsid w:val="0015057B"/>
    <w:rsid w:val="0015464A"/>
    <w:rsid w:val="001551CC"/>
    <w:rsid w:val="001562BE"/>
    <w:rsid w:val="001634FB"/>
    <w:rsid w:val="001656BC"/>
    <w:rsid w:val="001702F3"/>
    <w:rsid w:val="00172CE7"/>
    <w:rsid w:val="001765FB"/>
    <w:rsid w:val="00182765"/>
    <w:rsid w:val="00183497"/>
    <w:rsid w:val="00190DF3"/>
    <w:rsid w:val="001A0829"/>
    <w:rsid w:val="001A3C06"/>
    <w:rsid w:val="001A76EB"/>
    <w:rsid w:val="001B5CE4"/>
    <w:rsid w:val="001D6F93"/>
    <w:rsid w:val="001F179F"/>
    <w:rsid w:val="0020298E"/>
    <w:rsid w:val="00204A56"/>
    <w:rsid w:val="00205167"/>
    <w:rsid w:val="0021608D"/>
    <w:rsid w:val="00220639"/>
    <w:rsid w:val="0022133C"/>
    <w:rsid w:val="00225203"/>
    <w:rsid w:val="00226115"/>
    <w:rsid w:val="00227A29"/>
    <w:rsid w:val="002346B3"/>
    <w:rsid w:val="00235621"/>
    <w:rsid w:val="002419BB"/>
    <w:rsid w:val="002433A2"/>
    <w:rsid w:val="002446DE"/>
    <w:rsid w:val="00246A65"/>
    <w:rsid w:val="00256DFF"/>
    <w:rsid w:val="0026320F"/>
    <w:rsid w:val="002705CE"/>
    <w:rsid w:val="00277F40"/>
    <w:rsid w:val="002829CD"/>
    <w:rsid w:val="00283370"/>
    <w:rsid w:val="00293E85"/>
    <w:rsid w:val="002959D2"/>
    <w:rsid w:val="002966AA"/>
    <w:rsid w:val="002B2ED3"/>
    <w:rsid w:val="002B47E9"/>
    <w:rsid w:val="002B54C9"/>
    <w:rsid w:val="002C00E1"/>
    <w:rsid w:val="002D2254"/>
    <w:rsid w:val="002D38E7"/>
    <w:rsid w:val="002E7C9F"/>
    <w:rsid w:val="002F408D"/>
    <w:rsid w:val="002F73E5"/>
    <w:rsid w:val="003011F4"/>
    <w:rsid w:val="003051EA"/>
    <w:rsid w:val="00305578"/>
    <w:rsid w:val="00307DEE"/>
    <w:rsid w:val="00316394"/>
    <w:rsid w:val="00322161"/>
    <w:rsid w:val="00324440"/>
    <w:rsid w:val="003339E2"/>
    <w:rsid w:val="00340879"/>
    <w:rsid w:val="00345480"/>
    <w:rsid w:val="003506EA"/>
    <w:rsid w:val="00350E1B"/>
    <w:rsid w:val="003538F4"/>
    <w:rsid w:val="003620BF"/>
    <w:rsid w:val="00367CB0"/>
    <w:rsid w:val="00375BC0"/>
    <w:rsid w:val="00375F31"/>
    <w:rsid w:val="0038484F"/>
    <w:rsid w:val="003916D5"/>
    <w:rsid w:val="003918DD"/>
    <w:rsid w:val="00391DD7"/>
    <w:rsid w:val="00397A2C"/>
    <w:rsid w:val="003B236D"/>
    <w:rsid w:val="003B298B"/>
    <w:rsid w:val="003B7CE2"/>
    <w:rsid w:val="003C2E86"/>
    <w:rsid w:val="003D01A7"/>
    <w:rsid w:val="003D3375"/>
    <w:rsid w:val="003F266C"/>
    <w:rsid w:val="004014AC"/>
    <w:rsid w:val="004014AD"/>
    <w:rsid w:val="00401F7B"/>
    <w:rsid w:val="00403715"/>
    <w:rsid w:val="00420FFD"/>
    <w:rsid w:val="004233D2"/>
    <w:rsid w:val="00437DE1"/>
    <w:rsid w:val="00441A9B"/>
    <w:rsid w:val="004507E6"/>
    <w:rsid w:val="00452228"/>
    <w:rsid w:val="004568CC"/>
    <w:rsid w:val="004662FE"/>
    <w:rsid w:val="004A4461"/>
    <w:rsid w:val="004C06AB"/>
    <w:rsid w:val="004C5ADC"/>
    <w:rsid w:val="004E03A4"/>
    <w:rsid w:val="004E4C91"/>
    <w:rsid w:val="004E4CD6"/>
    <w:rsid w:val="004E7FC6"/>
    <w:rsid w:val="004F13B0"/>
    <w:rsid w:val="00505DF1"/>
    <w:rsid w:val="00513CCD"/>
    <w:rsid w:val="005176E6"/>
    <w:rsid w:val="005255D7"/>
    <w:rsid w:val="00526987"/>
    <w:rsid w:val="00530A9E"/>
    <w:rsid w:val="005425ED"/>
    <w:rsid w:val="0055024F"/>
    <w:rsid w:val="00561156"/>
    <w:rsid w:val="00562886"/>
    <w:rsid w:val="00581834"/>
    <w:rsid w:val="00581FFB"/>
    <w:rsid w:val="005832B8"/>
    <w:rsid w:val="005839FE"/>
    <w:rsid w:val="00585632"/>
    <w:rsid w:val="0058684A"/>
    <w:rsid w:val="005A3945"/>
    <w:rsid w:val="005A6B29"/>
    <w:rsid w:val="005A767F"/>
    <w:rsid w:val="005B0EFC"/>
    <w:rsid w:val="005B5DDE"/>
    <w:rsid w:val="005C7251"/>
    <w:rsid w:val="005D0D8D"/>
    <w:rsid w:val="005D1ED7"/>
    <w:rsid w:val="005E51AF"/>
    <w:rsid w:val="005F182A"/>
    <w:rsid w:val="005F7A16"/>
    <w:rsid w:val="005F7A3D"/>
    <w:rsid w:val="006002DC"/>
    <w:rsid w:val="0060505C"/>
    <w:rsid w:val="00614648"/>
    <w:rsid w:val="00616822"/>
    <w:rsid w:val="006419E7"/>
    <w:rsid w:val="00641AD3"/>
    <w:rsid w:val="00647ECC"/>
    <w:rsid w:val="006510E9"/>
    <w:rsid w:val="00653B50"/>
    <w:rsid w:val="00655F95"/>
    <w:rsid w:val="00656CC7"/>
    <w:rsid w:val="0066296A"/>
    <w:rsid w:val="00663C56"/>
    <w:rsid w:val="00665DAE"/>
    <w:rsid w:val="006664C3"/>
    <w:rsid w:val="00672241"/>
    <w:rsid w:val="00677294"/>
    <w:rsid w:val="006A119C"/>
    <w:rsid w:val="006A19B7"/>
    <w:rsid w:val="006C080E"/>
    <w:rsid w:val="006F214C"/>
    <w:rsid w:val="006F2DF2"/>
    <w:rsid w:val="006F5589"/>
    <w:rsid w:val="007057F0"/>
    <w:rsid w:val="00706196"/>
    <w:rsid w:val="00707B3B"/>
    <w:rsid w:val="00715DD1"/>
    <w:rsid w:val="00716030"/>
    <w:rsid w:val="00727F59"/>
    <w:rsid w:val="0076119A"/>
    <w:rsid w:val="00765C2D"/>
    <w:rsid w:val="00770A5F"/>
    <w:rsid w:val="00795D66"/>
    <w:rsid w:val="007A1709"/>
    <w:rsid w:val="007A2C3D"/>
    <w:rsid w:val="007B1C33"/>
    <w:rsid w:val="007B76AB"/>
    <w:rsid w:val="007C08BD"/>
    <w:rsid w:val="007E0C30"/>
    <w:rsid w:val="007F7583"/>
    <w:rsid w:val="00803089"/>
    <w:rsid w:val="008046EB"/>
    <w:rsid w:val="0080724D"/>
    <w:rsid w:val="008139B2"/>
    <w:rsid w:val="008173CF"/>
    <w:rsid w:val="00823753"/>
    <w:rsid w:val="008316DB"/>
    <w:rsid w:val="0083211C"/>
    <w:rsid w:val="00833DC0"/>
    <w:rsid w:val="00835339"/>
    <w:rsid w:val="00835A80"/>
    <w:rsid w:val="0083784B"/>
    <w:rsid w:val="00865727"/>
    <w:rsid w:val="00866681"/>
    <w:rsid w:val="008844CE"/>
    <w:rsid w:val="0089782A"/>
    <w:rsid w:val="008A0CAE"/>
    <w:rsid w:val="008A1A0C"/>
    <w:rsid w:val="008A3586"/>
    <w:rsid w:val="008B3EB4"/>
    <w:rsid w:val="008B667D"/>
    <w:rsid w:val="008C09C4"/>
    <w:rsid w:val="008C7470"/>
    <w:rsid w:val="008D3B01"/>
    <w:rsid w:val="008E147D"/>
    <w:rsid w:val="008E5B11"/>
    <w:rsid w:val="00900C5B"/>
    <w:rsid w:val="0092090D"/>
    <w:rsid w:val="00930FD3"/>
    <w:rsid w:val="009333AA"/>
    <w:rsid w:val="00935ABA"/>
    <w:rsid w:val="009445B6"/>
    <w:rsid w:val="00945F40"/>
    <w:rsid w:val="00946A18"/>
    <w:rsid w:val="00947A9A"/>
    <w:rsid w:val="00951EE2"/>
    <w:rsid w:val="0096422B"/>
    <w:rsid w:val="009650D8"/>
    <w:rsid w:val="0096626F"/>
    <w:rsid w:val="009700AA"/>
    <w:rsid w:val="009748FB"/>
    <w:rsid w:val="00976AA8"/>
    <w:rsid w:val="00981E7A"/>
    <w:rsid w:val="00990F55"/>
    <w:rsid w:val="009936CF"/>
    <w:rsid w:val="009A31C9"/>
    <w:rsid w:val="009A34A1"/>
    <w:rsid w:val="009A6A2E"/>
    <w:rsid w:val="009A6D63"/>
    <w:rsid w:val="009A73F6"/>
    <w:rsid w:val="009C4D62"/>
    <w:rsid w:val="009D0B82"/>
    <w:rsid w:val="009D5078"/>
    <w:rsid w:val="009E0DF7"/>
    <w:rsid w:val="009E202F"/>
    <w:rsid w:val="009E6983"/>
    <w:rsid w:val="009F3047"/>
    <w:rsid w:val="00A07D8A"/>
    <w:rsid w:val="00A13AC4"/>
    <w:rsid w:val="00A20E8C"/>
    <w:rsid w:val="00A448AF"/>
    <w:rsid w:val="00A44B7D"/>
    <w:rsid w:val="00A452B0"/>
    <w:rsid w:val="00A45D63"/>
    <w:rsid w:val="00A47406"/>
    <w:rsid w:val="00A53E59"/>
    <w:rsid w:val="00A53EAA"/>
    <w:rsid w:val="00A5482E"/>
    <w:rsid w:val="00A550FC"/>
    <w:rsid w:val="00A70E2F"/>
    <w:rsid w:val="00A81716"/>
    <w:rsid w:val="00A8526A"/>
    <w:rsid w:val="00A86E97"/>
    <w:rsid w:val="00A955CF"/>
    <w:rsid w:val="00AA1090"/>
    <w:rsid w:val="00AA6E2C"/>
    <w:rsid w:val="00AB07FC"/>
    <w:rsid w:val="00AB354D"/>
    <w:rsid w:val="00AB7E2E"/>
    <w:rsid w:val="00AC42C1"/>
    <w:rsid w:val="00AD29BF"/>
    <w:rsid w:val="00AD5E6E"/>
    <w:rsid w:val="00AE075F"/>
    <w:rsid w:val="00AE1098"/>
    <w:rsid w:val="00AE2F88"/>
    <w:rsid w:val="00AE6366"/>
    <w:rsid w:val="00B157E1"/>
    <w:rsid w:val="00B16A05"/>
    <w:rsid w:val="00B2190B"/>
    <w:rsid w:val="00B225A1"/>
    <w:rsid w:val="00B25ACB"/>
    <w:rsid w:val="00B25ECF"/>
    <w:rsid w:val="00B35686"/>
    <w:rsid w:val="00B51EBA"/>
    <w:rsid w:val="00B5261C"/>
    <w:rsid w:val="00B547A4"/>
    <w:rsid w:val="00B5585B"/>
    <w:rsid w:val="00B62606"/>
    <w:rsid w:val="00B6431E"/>
    <w:rsid w:val="00B67AB9"/>
    <w:rsid w:val="00B702CE"/>
    <w:rsid w:val="00B721A7"/>
    <w:rsid w:val="00B73739"/>
    <w:rsid w:val="00B77B07"/>
    <w:rsid w:val="00B818DE"/>
    <w:rsid w:val="00B92BA3"/>
    <w:rsid w:val="00BA5F87"/>
    <w:rsid w:val="00BB1683"/>
    <w:rsid w:val="00BC335B"/>
    <w:rsid w:val="00BC66D9"/>
    <w:rsid w:val="00BE0FA0"/>
    <w:rsid w:val="00BF497A"/>
    <w:rsid w:val="00BF7426"/>
    <w:rsid w:val="00C02B28"/>
    <w:rsid w:val="00C350BA"/>
    <w:rsid w:val="00C64645"/>
    <w:rsid w:val="00C81559"/>
    <w:rsid w:val="00C83BD6"/>
    <w:rsid w:val="00C92977"/>
    <w:rsid w:val="00CC269B"/>
    <w:rsid w:val="00CC29F3"/>
    <w:rsid w:val="00CC5C59"/>
    <w:rsid w:val="00CC7FE9"/>
    <w:rsid w:val="00CD235D"/>
    <w:rsid w:val="00CD5591"/>
    <w:rsid w:val="00CE10CC"/>
    <w:rsid w:val="00CE28B6"/>
    <w:rsid w:val="00CF3536"/>
    <w:rsid w:val="00CF3F96"/>
    <w:rsid w:val="00CF4C37"/>
    <w:rsid w:val="00CF55CF"/>
    <w:rsid w:val="00D008AB"/>
    <w:rsid w:val="00D00968"/>
    <w:rsid w:val="00D11C1E"/>
    <w:rsid w:val="00D30F49"/>
    <w:rsid w:val="00D322D0"/>
    <w:rsid w:val="00D32AE5"/>
    <w:rsid w:val="00D32E75"/>
    <w:rsid w:val="00D42D9F"/>
    <w:rsid w:val="00D650DD"/>
    <w:rsid w:val="00D66856"/>
    <w:rsid w:val="00D725C0"/>
    <w:rsid w:val="00D76186"/>
    <w:rsid w:val="00D76968"/>
    <w:rsid w:val="00D83C03"/>
    <w:rsid w:val="00D8571F"/>
    <w:rsid w:val="00D90F52"/>
    <w:rsid w:val="00D91064"/>
    <w:rsid w:val="00DA6EE7"/>
    <w:rsid w:val="00DB023D"/>
    <w:rsid w:val="00DB16DE"/>
    <w:rsid w:val="00DB1E88"/>
    <w:rsid w:val="00DB49FE"/>
    <w:rsid w:val="00DD35F5"/>
    <w:rsid w:val="00DD4338"/>
    <w:rsid w:val="00DD4CB4"/>
    <w:rsid w:val="00DD6665"/>
    <w:rsid w:val="00DE62BC"/>
    <w:rsid w:val="00DF75FB"/>
    <w:rsid w:val="00E11D71"/>
    <w:rsid w:val="00E12DE7"/>
    <w:rsid w:val="00E15446"/>
    <w:rsid w:val="00E40778"/>
    <w:rsid w:val="00E4148F"/>
    <w:rsid w:val="00E45C87"/>
    <w:rsid w:val="00E51DCB"/>
    <w:rsid w:val="00E5336E"/>
    <w:rsid w:val="00E61478"/>
    <w:rsid w:val="00E65759"/>
    <w:rsid w:val="00E73226"/>
    <w:rsid w:val="00E75833"/>
    <w:rsid w:val="00E85D53"/>
    <w:rsid w:val="00E87A9B"/>
    <w:rsid w:val="00E92B74"/>
    <w:rsid w:val="00EA73B7"/>
    <w:rsid w:val="00EB3E73"/>
    <w:rsid w:val="00EC1739"/>
    <w:rsid w:val="00EC181A"/>
    <w:rsid w:val="00ED2431"/>
    <w:rsid w:val="00EE4BA3"/>
    <w:rsid w:val="00EF7452"/>
    <w:rsid w:val="00F20B8D"/>
    <w:rsid w:val="00F376E5"/>
    <w:rsid w:val="00F404B1"/>
    <w:rsid w:val="00F408C2"/>
    <w:rsid w:val="00F548C9"/>
    <w:rsid w:val="00F62A53"/>
    <w:rsid w:val="00F76AAC"/>
    <w:rsid w:val="00F76E36"/>
    <w:rsid w:val="00F90029"/>
    <w:rsid w:val="00F9597B"/>
    <w:rsid w:val="00FA016B"/>
    <w:rsid w:val="00FC0626"/>
    <w:rsid w:val="00FC5582"/>
    <w:rsid w:val="00FD10D9"/>
    <w:rsid w:val="00FD4182"/>
    <w:rsid w:val="00FE3524"/>
    <w:rsid w:val="00FE3641"/>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1DF3AC"/>
  <w15:docId w15:val="{469505DE-996B-432D-8B80-0755B0F1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48AF"/>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aliases w:val="Page#"/>
    <w:basedOn w:val="Normal"/>
    <w:link w:val="HeaderChar"/>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1"/>
    <w:qFormat/>
    <w:rsid w:val="00561156"/>
    <w:pPr>
      <w:widowControl w:val="0"/>
      <w:numPr>
        <w:ilvl w:val="6"/>
        <w:numId w:val="22"/>
      </w:numPr>
      <w:spacing w:line="254" w:lineRule="auto"/>
      <w:ind w:right="116" w:hanging="1800"/>
      <w:contextualSpacing w:val="0"/>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CF3536"/>
    <w:pPr>
      <w:widowControl w:val="0"/>
      <w:numPr>
        <w:numId w:val="11"/>
      </w:numPr>
      <w:spacing w:before="120" w:after="120" w:line="360" w:lineRule="auto"/>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Page# Char"/>
    <w:link w:val="Header"/>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tyleofClause">
    <w:name w:val="StyleofClause"/>
    <w:basedOn w:val="PartiesCounselAgent"/>
    <w:autoRedefine/>
    <w:rsid w:val="00204A56"/>
    <w:pPr>
      <w:jc w:val="both"/>
    </w:pPr>
  </w:style>
  <w:style w:type="paragraph" w:customStyle="1" w:styleId="ombquote">
    <w:name w:val="omb quote"/>
    <w:basedOn w:val="DecisionBody"/>
    <w:link w:val="ombquoteChar"/>
    <w:qFormat/>
    <w:rsid w:val="00CF3536"/>
    <w:pPr>
      <w:numPr>
        <w:numId w:val="0"/>
      </w:numPr>
      <w:spacing w:line="240" w:lineRule="auto"/>
      <w:ind w:left="1440"/>
    </w:pPr>
    <w:rPr>
      <w:rFonts w:cs="Arial"/>
      <w:sz w:val="20"/>
      <w:szCs w:val="20"/>
    </w:rPr>
  </w:style>
  <w:style w:type="character" w:customStyle="1" w:styleId="PartiesCounselAgentChar">
    <w:name w:val="Parties/Counsel*/Agent Char"/>
    <w:basedOn w:val="DefaultParagraphFont"/>
    <w:link w:val="PartiesCounselAgent"/>
    <w:rsid w:val="00CF3536"/>
    <w:rPr>
      <w:rFonts w:ascii="Arial" w:hAnsi="Arial"/>
      <w:sz w:val="24"/>
      <w:szCs w:val="24"/>
      <w:lang w:eastAsia="en-US"/>
    </w:rPr>
  </w:style>
  <w:style w:type="character" w:customStyle="1" w:styleId="DecisionBodyChar">
    <w:name w:val="DecisionBody Char"/>
    <w:basedOn w:val="PartiesCounselAgentChar"/>
    <w:link w:val="DecisionBody"/>
    <w:rsid w:val="00CF3536"/>
    <w:rPr>
      <w:rFonts w:ascii="Arial" w:hAnsi="Arial"/>
      <w:bCs/>
      <w:sz w:val="24"/>
      <w:szCs w:val="24"/>
      <w:lang w:eastAsia="en-US"/>
    </w:rPr>
  </w:style>
  <w:style w:type="character" w:customStyle="1" w:styleId="ombquoteChar">
    <w:name w:val="omb quote Char"/>
    <w:basedOn w:val="DecisionBodyChar"/>
    <w:link w:val="ombquote"/>
    <w:rsid w:val="00CF3536"/>
    <w:rPr>
      <w:rFonts w:ascii="Arial" w:hAnsi="Arial" w:cs="Arial"/>
      <w:bCs/>
      <w:sz w:val="24"/>
      <w:szCs w:val="24"/>
      <w:lang w:eastAsia="en-US"/>
    </w:rPr>
  </w:style>
  <w:style w:type="paragraph" w:styleId="Date">
    <w:name w:val="Date"/>
    <w:basedOn w:val="Normal"/>
    <w:next w:val="Normal"/>
    <w:link w:val="DateChar"/>
    <w:unhideWhenUsed/>
    <w:rsid w:val="007B76AB"/>
    <w:rPr>
      <w:rFonts w:ascii="Arial" w:hAnsi="Arial"/>
    </w:rPr>
  </w:style>
  <w:style w:type="character" w:customStyle="1" w:styleId="DateChar">
    <w:name w:val="Date Char"/>
    <w:basedOn w:val="DefaultParagraphFont"/>
    <w:link w:val="Date"/>
    <w:rsid w:val="007B76AB"/>
    <w:rPr>
      <w:rFonts w:ascii="Arial" w:hAnsi="Arial"/>
      <w:sz w:val="24"/>
      <w:szCs w:val="24"/>
      <w:lang w:val="en-US" w:eastAsia="en-US"/>
    </w:rPr>
  </w:style>
  <w:style w:type="character" w:styleId="Strong">
    <w:name w:val="Strong"/>
    <w:qFormat/>
    <w:rsid w:val="007B76AB"/>
    <w:rPr>
      <w:b/>
      <w:bCs/>
    </w:rPr>
  </w:style>
  <w:style w:type="paragraph" w:styleId="BodyText">
    <w:name w:val="Body Text"/>
    <w:basedOn w:val="Normal"/>
    <w:link w:val="BodyTextChar"/>
    <w:uiPriority w:val="1"/>
    <w:qFormat/>
    <w:rsid w:val="003538F4"/>
    <w:pPr>
      <w:widowControl w:val="0"/>
      <w:ind w:left="120"/>
    </w:pPr>
    <w:rPr>
      <w:rFonts w:ascii="Arial" w:eastAsia="Arial" w:hAnsi="Arial" w:cstheme="minorBidi"/>
    </w:rPr>
  </w:style>
  <w:style w:type="character" w:customStyle="1" w:styleId="BodyTextChar">
    <w:name w:val="Body Text Char"/>
    <w:basedOn w:val="DefaultParagraphFont"/>
    <w:link w:val="BodyText"/>
    <w:uiPriority w:val="1"/>
    <w:rsid w:val="003538F4"/>
    <w:rPr>
      <w:rFonts w:ascii="Arial" w:eastAsia="Arial" w:hAnsi="Arial" w:cstheme="minorBidi"/>
      <w:sz w:val="24"/>
      <w:szCs w:val="24"/>
      <w:lang w:val="en-US" w:eastAsia="en-US"/>
    </w:rPr>
  </w:style>
  <w:style w:type="character" w:styleId="CommentReference">
    <w:name w:val="annotation reference"/>
    <w:basedOn w:val="DefaultParagraphFont"/>
    <w:semiHidden/>
    <w:unhideWhenUsed/>
    <w:rsid w:val="005F7A3D"/>
    <w:rPr>
      <w:sz w:val="16"/>
      <w:szCs w:val="16"/>
    </w:rPr>
  </w:style>
  <w:style w:type="paragraph" w:styleId="CommentText">
    <w:name w:val="annotation text"/>
    <w:basedOn w:val="Normal"/>
    <w:link w:val="CommentTextChar"/>
    <w:semiHidden/>
    <w:unhideWhenUsed/>
    <w:rsid w:val="005F7A3D"/>
    <w:rPr>
      <w:sz w:val="20"/>
      <w:szCs w:val="20"/>
    </w:rPr>
  </w:style>
  <w:style w:type="character" w:customStyle="1" w:styleId="CommentTextChar">
    <w:name w:val="Comment Text Char"/>
    <w:basedOn w:val="DefaultParagraphFont"/>
    <w:link w:val="CommentText"/>
    <w:semiHidden/>
    <w:rsid w:val="005F7A3D"/>
    <w:rPr>
      <w:lang w:val="en-US" w:eastAsia="en-US"/>
    </w:rPr>
  </w:style>
  <w:style w:type="paragraph" w:styleId="CommentSubject">
    <w:name w:val="annotation subject"/>
    <w:basedOn w:val="CommentText"/>
    <w:next w:val="CommentText"/>
    <w:link w:val="CommentSubjectChar"/>
    <w:semiHidden/>
    <w:unhideWhenUsed/>
    <w:rsid w:val="005F7A3D"/>
    <w:rPr>
      <w:b/>
      <w:bCs/>
    </w:rPr>
  </w:style>
  <w:style w:type="character" w:customStyle="1" w:styleId="CommentSubjectChar">
    <w:name w:val="Comment Subject Char"/>
    <w:basedOn w:val="CommentTextChar"/>
    <w:link w:val="CommentSubject"/>
    <w:semiHidden/>
    <w:rsid w:val="005F7A3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1660</Words>
  <Characters>8912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Schiller, Susan (MAG)</dc:creator>
  <cp:lastModifiedBy>Pilon, Kelly (MAG)</cp:lastModifiedBy>
  <cp:revision>3</cp:revision>
  <cp:lastPrinted>2019-08-15T12:46:00Z</cp:lastPrinted>
  <dcterms:created xsi:type="dcterms:W3CDTF">2019-08-15T12:45:00Z</dcterms:created>
  <dcterms:modified xsi:type="dcterms:W3CDTF">2019-08-15T12:55:00Z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Susan.Schiller@ontario.ca</vt:lpwstr>
  </property>
  <property fmtid="{D5CDD505-2E9C-101B-9397-08002B2CF9AE}" pid="5" name="MSIP_Label_034a106e-6316-442c-ad35-738afd673d2b_SetDate">
    <vt:lpwstr>2018-12-28T16:25:37.5792416Z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