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6" w:rsidRDefault="00204A56" w:rsidP="005A767F">
      <w:pPr>
        <w:rPr>
          <w:rFonts w:ascii="Arial" w:hAnsi="Arial" w:cs="Arial"/>
          <w:lang w:val="en-CA"/>
        </w:rPr>
      </w:pPr>
      <w:bookmarkStart w:id="0" w:name="Appearances"/>
    </w:p>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D11C1E" w:rsidRPr="001E764F" w:rsidTr="00154F31">
        <w:trPr>
          <w:trHeight w:val="281"/>
        </w:trPr>
        <w:tc>
          <w:tcPr>
            <w:tcW w:w="5778" w:type="dxa"/>
          </w:tcPr>
          <w:p w:rsidR="00D11C1E" w:rsidRPr="001E764F" w:rsidRDefault="00D11C1E" w:rsidP="00BD1BB1">
            <w:pPr>
              <w:rPr>
                <w:rFonts w:ascii="Arial" w:hAnsi="Arial" w:cs="Arial"/>
                <w:b/>
                <w:sz w:val="16"/>
                <w:szCs w:val="16"/>
              </w:rPr>
            </w:pPr>
            <w:bookmarkStart w:id="1" w:name="DecisionDeliveredBy"/>
            <w:bookmarkEnd w:id="0"/>
          </w:p>
        </w:tc>
        <w:tc>
          <w:tcPr>
            <w:tcW w:w="3828" w:type="dxa"/>
            <w:vMerge w:val="restart"/>
          </w:tcPr>
          <w:p w:rsidR="00D11C1E" w:rsidRPr="001E764F" w:rsidRDefault="00D11C1E" w:rsidP="00BD1BB1">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9264" behindDoc="0" locked="0" layoutInCell="1" allowOverlap="1" wp14:anchorId="7142908B" wp14:editId="21B02779">
                  <wp:simplePos x="0" y="0"/>
                  <wp:positionH relativeFrom="column">
                    <wp:align>center</wp:align>
                  </wp:positionH>
                  <wp:positionV relativeFrom="paragraph">
                    <wp:posOffset>80010</wp:posOffset>
                  </wp:positionV>
                  <wp:extent cx="1188720"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1C1E" w:rsidRPr="001E764F" w:rsidTr="00154F31">
        <w:tc>
          <w:tcPr>
            <w:tcW w:w="5778" w:type="dxa"/>
          </w:tcPr>
          <w:p w:rsidR="00D11C1E" w:rsidRPr="001E764F" w:rsidRDefault="00D11C1E" w:rsidP="00BD1BB1">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D11C1E" w:rsidRPr="001E764F" w:rsidRDefault="00D11C1E" w:rsidP="00BD1BB1">
            <w:pPr>
              <w:rPr>
                <w:rFonts w:ascii="Arial" w:hAnsi="Arial" w:cs="Arial"/>
                <w:b/>
                <w:sz w:val="32"/>
                <w:szCs w:val="32"/>
              </w:rPr>
            </w:pPr>
          </w:p>
        </w:tc>
      </w:tr>
      <w:tr w:rsidR="00D11C1E" w:rsidRPr="001E764F" w:rsidTr="00154F31">
        <w:trPr>
          <w:trHeight w:val="1865"/>
        </w:trPr>
        <w:tc>
          <w:tcPr>
            <w:tcW w:w="5778" w:type="dxa"/>
          </w:tcPr>
          <w:p w:rsidR="00D11C1E" w:rsidRPr="001E764F" w:rsidRDefault="00D11C1E" w:rsidP="00BD1BB1">
            <w:pPr>
              <w:rPr>
                <w:rFonts w:ascii="Arial" w:hAnsi="Arial" w:cs="Arial"/>
                <w:sz w:val="32"/>
                <w:szCs w:val="32"/>
                <w:lang w:val="fr-CA"/>
              </w:rPr>
            </w:pPr>
            <w:r>
              <w:rPr>
                <w:rFonts w:ascii="Arial" w:hAnsi="Arial" w:cs="Arial"/>
                <w:sz w:val="32"/>
                <w:szCs w:val="32"/>
                <w:lang w:val="fr-CA"/>
              </w:rPr>
              <w:t>Tribunal d’appel de l’aménagement local</w:t>
            </w:r>
          </w:p>
          <w:p w:rsidR="00D11C1E" w:rsidRPr="001E764F" w:rsidRDefault="00D11C1E" w:rsidP="00BD1BB1">
            <w:pPr>
              <w:rPr>
                <w:rFonts w:ascii="Arial" w:hAnsi="Arial" w:cs="Arial"/>
                <w:sz w:val="32"/>
                <w:szCs w:val="32"/>
                <w:lang w:val="fr-CA"/>
              </w:rPr>
            </w:pPr>
          </w:p>
          <w:p w:rsidR="00D11C1E" w:rsidRPr="001E764F" w:rsidRDefault="00D11C1E" w:rsidP="00BD1BB1">
            <w:pPr>
              <w:rPr>
                <w:rFonts w:ascii="Arial" w:hAnsi="Arial" w:cs="Arial"/>
                <w:sz w:val="32"/>
                <w:szCs w:val="32"/>
                <w:lang w:val="fr-CA"/>
              </w:rPr>
            </w:pPr>
          </w:p>
        </w:tc>
        <w:tc>
          <w:tcPr>
            <w:tcW w:w="3828" w:type="dxa"/>
            <w:vMerge/>
          </w:tcPr>
          <w:p w:rsidR="00D11C1E" w:rsidRPr="001E764F" w:rsidRDefault="00D11C1E" w:rsidP="00BD1BB1">
            <w:pPr>
              <w:rPr>
                <w:rFonts w:ascii="Arial" w:hAnsi="Arial" w:cs="Arial"/>
                <w:sz w:val="32"/>
                <w:szCs w:val="32"/>
                <w:lang w:val="fr-CA"/>
              </w:rPr>
            </w:pPr>
          </w:p>
        </w:tc>
      </w:tr>
    </w:tbl>
    <w:p w:rsidR="00D11C1E" w:rsidRPr="00D8393F" w:rsidRDefault="00D11C1E" w:rsidP="007B76AB">
      <w:pPr>
        <w:rPr>
          <w:rFonts w:ascii="Arial" w:hAnsi="Arial" w:cs="Arial"/>
          <w:sz w:val="32"/>
          <w:szCs w:val="32"/>
          <w:lang w:val="fr-CA"/>
        </w:rPr>
      </w:pPr>
    </w:p>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rsidTr="00AB6FEF">
        <w:tc>
          <w:tcPr>
            <w:tcW w:w="1818" w:type="dxa"/>
            <w:shd w:val="clear" w:color="auto" w:fill="auto"/>
          </w:tcPr>
          <w:p w:rsidR="007B76AB" w:rsidRPr="004704FF" w:rsidRDefault="007B76AB" w:rsidP="00AB6FEF">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rsidR="007B76AB" w:rsidRPr="002D0A30" w:rsidRDefault="002D0A30" w:rsidP="00AB6FEF">
            <w:pPr>
              <w:rPr>
                <w:rFonts w:ascii="Arial" w:hAnsi="Arial" w:cs="Arial"/>
                <w:color w:val="000000" w:themeColor="text1"/>
                <w:lang w:val="en-CA"/>
              </w:rPr>
            </w:pPr>
            <w:r>
              <w:rPr>
                <w:rFonts w:ascii="Arial" w:hAnsi="Arial" w:cs="Arial"/>
                <w:color w:val="000000" w:themeColor="text1"/>
                <w:lang w:val="en-CA"/>
              </w:rPr>
              <w:t>February 28, 2019</w:t>
            </w:r>
            <w:bookmarkStart w:id="2" w:name="_GoBack"/>
            <w:bookmarkEnd w:id="2"/>
          </w:p>
        </w:tc>
        <w:tc>
          <w:tcPr>
            <w:tcW w:w="1843" w:type="dxa"/>
            <w:shd w:val="clear" w:color="auto" w:fill="auto"/>
          </w:tcPr>
          <w:p w:rsidR="007B76AB" w:rsidRPr="004704FF" w:rsidRDefault="007B76AB" w:rsidP="00AB6FEF">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roofErr w:type="gramStart"/>
            <w:r w:rsidRPr="004704FF">
              <w:rPr>
                <w:rFonts w:ascii="Arial" w:hAnsi="Arial" w:cs="Arial"/>
                <w:b/>
                <w:lang w:val="en-CA"/>
              </w:rPr>
              <w:t>.:</w:t>
            </w:r>
            <w:proofErr w:type="gramEnd"/>
          </w:p>
        </w:tc>
        <w:tc>
          <w:tcPr>
            <w:tcW w:w="1843" w:type="dxa"/>
            <w:shd w:val="clear" w:color="auto" w:fill="auto"/>
            <w:vAlign w:val="center"/>
          </w:tcPr>
          <w:p w:rsidR="007B76AB" w:rsidRPr="004704FF" w:rsidRDefault="00EE03CA" w:rsidP="00EE03CA">
            <w:pPr>
              <w:jc w:val="center"/>
              <w:rPr>
                <w:rFonts w:ascii="Arial" w:hAnsi="Arial" w:cs="Arial"/>
                <w:lang w:val="en-CA"/>
              </w:rPr>
            </w:pPr>
            <w:r>
              <w:rPr>
                <w:rFonts w:ascii="Arial" w:hAnsi="Arial" w:cs="Arial"/>
                <w:lang w:val="en-CA"/>
              </w:rPr>
              <w:t>DC180010</w:t>
            </w:r>
          </w:p>
        </w:tc>
      </w:tr>
    </w:tbl>
    <w:p w:rsidR="007B76AB" w:rsidRDefault="007B76AB" w:rsidP="007B76AB">
      <w:pPr>
        <w:pStyle w:val="Header"/>
        <w:tabs>
          <w:tab w:val="left" w:pos="720"/>
        </w:tabs>
        <w:rPr>
          <w:rFonts w:ascii="Arial" w:hAnsi="Arial" w:cs="Arial"/>
          <w:b/>
          <w:lang w:val="en-CA"/>
        </w:rPr>
      </w:pPr>
    </w:p>
    <w:p w:rsidR="00397A2C" w:rsidRDefault="00397A2C" w:rsidP="007B76AB">
      <w:pPr>
        <w:pStyle w:val="Header"/>
        <w:tabs>
          <w:tab w:val="left" w:pos="720"/>
        </w:tabs>
        <w:rPr>
          <w:rFonts w:ascii="Arial" w:hAnsi="Arial" w:cs="Arial"/>
          <w:b/>
          <w:lang w:val="en-CA"/>
        </w:rPr>
      </w:pPr>
    </w:p>
    <w:p w:rsidR="00D11C1E" w:rsidRPr="00250221" w:rsidRDefault="00D11C1E" w:rsidP="00D11C1E">
      <w:pPr>
        <w:jc w:val="both"/>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rsidR="007B76AB" w:rsidRDefault="007B76AB" w:rsidP="007B76AB">
      <w:pPr>
        <w:pStyle w:val="StyleofClause"/>
        <w:rPr>
          <w:lang w:val="en-US"/>
        </w:rPr>
      </w:pPr>
    </w:p>
    <w:tbl>
      <w:tblPr>
        <w:tblW w:w="0" w:type="auto"/>
        <w:tblLook w:val="04A0" w:firstRow="1" w:lastRow="0" w:firstColumn="1" w:lastColumn="0" w:noHBand="0" w:noVBand="1"/>
      </w:tblPr>
      <w:tblGrid>
        <w:gridCol w:w="3936"/>
        <w:gridCol w:w="5640"/>
      </w:tblGrid>
      <w:tr w:rsidR="00154F31" w:rsidTr="00DC600C">
        <w:tc>
          <w:tcPr>
            <w:tcW w:w="9576" w:type="dxa"/>
            <w:gridSpan w:val="2"/>
          </w:tcPr>
          <w:p w:rsidR="00154F31" w:rsidRPr="00154F31" w:rsidRDefault="00154F31">
            <w:pPr>
              <w:rPr>
                <w:rFonts w:ascii="Arial" w:hAnsi="Arial" w:cs="Arial"/>
                <w:color w:val="000000"/>
              </w:rPr>
            </w:pPr>
            <w:r w:rsidRPr="00154F31">
              <w:rPr>
                <w:rFonts w:ascii="Arial" w:hAnsi="Arial" w:cs="Arial"/>
                <w:b/>
              </w:rPr>
              <w:t xml:space="preserve">PROCEEDING COMMENCED UNDER </w:t>
            </w:r>
            <w:r w:rsidRPr="00154F31">
              <w:rPr>
                <w:rFonts w:ascii="Arial" w:hAnsi="Arial" w:cs="Arial"/>
              </w:rPr>
              <w:t xml:space="preserve">subsection 22(1) of the </w:t>
            </w:r>
            <w:r w:rsidRPr="00154F31">
              <w:rPr>
                <w:rFonts w:ascii="Arial" w:hAnsi="Arial" w:cs="Arial"/>
                <w:i/>
                <w:iCs/>
                <w:color w:val="000000"/>
              </w:rPr>
              <w:t>Development Charges Act</w:t>
            </w:r>
            <w:r w:rsidRPr="00154F31">
              <w:rPr>
                <w:rFonts w:ascii="Arial" w:hAnsi="Arial" w:cs="Arial"/>
                <w:color w:val="000000"/>
              </w:rPr>
              <w:t>, 1997, S.O. 1997, c. 27</w:t>
            </w:r>
          </w:p>
          <w:p w:rsidR="00154F31" w:rsidRPr="00154F31" w:rsidRDefault="00154F31">
            <w:pPr>
              <w:rPr>
                <w:rFonts w:ascii="Arial" w:hAnsi="Arial" w:cs="Arial"/>
              </w:rPr>
            </w:pPr>
          </w:p>
        </w:tc>
      </w:tr>
      <w:tr w:rsidR="00154F31" w:rsidTr="00DC600C">
        <w:tc>
          <w:tcPr>
            <w:tcW w:w="3936" w:type="dxa"/>
            <w:hideMark/>
          </w:tcPr>
          <w:p w:rsidR="00154F31" w:rsidRPr="00154F31" w:rsidRDefault="00154F31">
            <w:pPr>
              <w:rPr>
                <w:rFonts w:ascii="Arial" w:hAnsi="Arial" w:cs="Arial"/>
              </w:rPr>
            </w:pPr>
            <w:r w:rsidRPr="00154F31">
              <w:rPr>
                <w:rFonts w:ascii="Arial" w:hAnsi="Arial" w:cs="Arial"/>
              </w:rPr>
              <w:t>Appellant:</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Andy Stone</w:t>
            </w:r>
          </w:p>
        </w:tc>
      </w:tr>
      <w:tr w:rsidR="00154F31" w:rsidTr="00DC600C">
        <w:tc>
          <w:tcPr>
            <w:tcW w:w="3936" w:type="dxa"/>
            <w:hideMark/>
          </w:tcPr>
          <w:p w:rsidR="00154F31" w:rsidRPr="00154F31" w:rsidRDefault="00154F31">
            <w:pPr>
              <w:rPr>
                <w:rFonts w:ascii="Arial" w:hAnsi="Arial" w:cs="Arial"/>
              </w:rPr>
            </w:pPr>
            <w:r w:rsidRPr="00154F31">
              <w:rPr>
                <w:rFonts w:ascii="Arial" w:hAnsi="Arial" w:cs="Arial"/>
              </w:rPr>
              <w:t>Subject:</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Complaint against a Development Charge imposed under the authority of Development Charges By-law No.14-153</w:t>
            </w:r>
          </w:p>
        </w:tc>
      </w:tr>
      <w:tr w:rsidR="00154F31" w:rsidTr="00DC600C">
        <w:tc>
          <w:tcPr>
            <w:tcW w:w="3936" w:type="dxa"/>
            <w:hideMark/>
          </w:tcPr>
          <w:p w:rsidR="00154F31" w:rsidRPr="00154F31" w:rsidRDefault="00154F31">
            <w:pPr>
              <w:ind w:right="-565"/>
              <w:rPr>
                <w:rFonts w:ascii="Arial" w:hAnsi="Arial" w:cs="Arial"/>
              </w:rPr>
            </w:pPr>
            <w:r w:rsidRPr="00154F31">
              <w:rPr>
                <w:rFonts w:ascii="Arial" w:hAnsi="Arial" w:cs="Arial"/>
              </w:rPr>
              <w:t>Property Address/Description:</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390 Aberdeen Avenue</w:t>
            </w:r>
          </w:p>
        </w:tc>
      </w:tr>
      <w:tr w:rsidR="00154F31" w:rsidTr="00DC600C">
        <w:tc>
          <w:tcPr>
            <w:tcW w:w="3936" w:type="dxa"/>
            <w:hideMark/>
          </w:tcPr>
          <w:p w:rsidR="00154F31" w:rsidRPr="00154F31" w:rsidRDefault="00154F31">
            <w:pPr>
              <w:rPr>
                <w:rFonts w:ascii="Arial" w:hAnsi="Arial" w:cs="Arial"/>
              </w:rPr>
            </w:pPr>
            <w:r w:rsidRPr="00154F31">
              <w:rPr>
                <w:rFonts w:ascii="Arial" w:hAnsi="Arial" w:cs="Arial"/>
              </w:rPr>
              <w:t>Municipality:</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City of Hamilton</w:t>
            </w:r>
          </w:p>
        </w:tc>
      </w:tr>
      <w:tr w:rsidR="00154F31" w:rsidTr="00DC600C">
        <w:tc>
          <w:tcPr>
            <w:tcW w:w="3936" w:type="dxa"/>
            <w:hideMark/>
          </w:tcPr>
          <w:p w:rsidR="00154F31" w:rsidRPr="00154F31" w:rsidRDefault="00154F31">
            <w:pPr>
              <w:rPr>
                <w:rFonts w:ascii="Arial" w:hAnsi="Arial" w:cs="Arial"/>
              </w:rPr>
            </w:pPr>
            <w:r w:rsidRPr="00154F31">
              <w:rPr>
                <w:rFonts w:ascii="Arial" w:hAnsi="Arial" w:cs="Arial"/>
              </w:rPr>
              <w:t xml:space="preserve">LPAT Case No.: </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DC180010</w:t>
            </w:r>
          </w:p>
        </w:tc>
      </w:tr>
      <w:tr w:rsidR="00154F31" w:rsidTr="00DC600C">
        <w:tc>
          <w:tcPr>
            <w:tcW w:w="3936" w:type="dxa"/>
            <w:hideMark/>
          </w:tcPr>
          <w:p w:rsidR="00154F31" w:rsidRPr="00154F31" w:rsidRDefault="00154F31">
            <w:pPr>
              <w:rPr>
                <w:rFonts w:ascii="Arial" w:hAnsi="Arial" w:cs="Arial"/>
              </w:rPr>
            </w:pPr>
            <w:r w:rsidRPr="00154F31">
              <w:rPr>
                <w:rFonts w:ascii="Arial" w:hAnsi="Arial" w:cs="Arial"/>
              </w:rPr>
              <w:t xml:space="preserve">LPAT File No.: </w:t>
            </w:r>
          </w:p>
        </w:tc>
        <w:tc>
          <w:tcPr>
            <w:tcW w:w="5640" w:type="dxa"/>
            <w:hideMark/>
          </w:tcPr>
          <w:p w:rsidR="00154F31" w:rsidRPr="00154F31" w:rsidRDefault="00154F31" w:rsidP="002D0A30">
            <w:pPr>
              <w:ind w:left="317"/>
              <w:rPr>
                <w:rFonts w:ascii="Arial" w:hAnsi="Arial" w:cs="Arial"/>
              </w:rPr>
            </w:pPr>
            <w:r w:rsidRPr="00154F31">
              <w:rPr>
                <w:rFonts w:ascii="Arial" w:hAnsi="Arial" w:cs="Arial"/>
              </w:rPr>
              <w:t>DC180010</w:t>
            </w:r>
          </w:p>
        </w:tc>
      </w:tr>
    </w:tbl>
    <w:p w:rsidR="00154F31" w:rsidRDefault="00154F31" w:rsidP="007B76AB">
      <w:pPr>
        <w:pStyle w:val="StyleofClause"/>
        <w:rPr>
          <w:lang w:val="en-US"/>
        </w:rPr>
      </w:pPr>
    </w:p>
    <w:tbl>
      <w:tblPr>
        <w:tblW w:w="9606" w:type="dxa"/>
        <w:tblLook w:val="04A0" w:firstRow="1" w:lastRow="0" w:firstColumn="1" w:lastColumn="0" w:noHBand="0" w:noVBand="1"/>
      </w:tblPr>
      <w:tblGrid>
        <w:gridCol w:w="3936"/>
        <w:gridCol w:w="5670"/>
      </w:tblGrid>
      <w:tr w:rsidR="00673E95" w:rsidTr="00DC600C">
        <w:trPr>
          <w:cantSplit/>
          <w:trHeight w:val="732"/>
        </w:trPr>
        <w:tc>
          <w:tcPr>
            <w:tcW w:w="9606" w:type="dxa"/>
            <w:gridSpan w:val="2"/>
            <w:hideMark/>
          </w:tcPr>
          <w:p w:rsidR="00673E95" w:rsidRDefault="00673E95" w:rsidP="00FB2BB1">
            <w:pPr>
              <w:rPr>
                <w:rFonts w:ascii="Arial" w:hAnsi="Arial" w:cs="Arial"/>
                <w:i/>
              </w:rPr>
            </w:pPr>
            <w:r>
              <w:rPr>
                <w:rFonts w:ascii="Arial" w:hAnsi="Arial" w:cs="Arial"/>
                <w:b/>
              </w:rPr>
              <w:t xml:space="preserve">PROCEEDING COMMENCED UNDER </w:t>
            </w:r>
            <w:r>
              <w:rPr>
                <w:rFonts w:ascii="Arial" w:hAnsi="Arial" w:cs="Arial"/>
              </w:rPr>
              <w:t xml:space="preserve">subsection 24(5) of the </w:t>
            </w:r>
            <w:r w:rsidR="00DC600C">
              <w:rPr>
                <w:rFonts w:ascii="Arial" w:hAnsi="Arial" w:cs="Arial"/>
                <w:i/>
              </w:rPr>
              <w:t xml:space="preserve">Development Charges </w:t>
            </w:r>
            <w:r>
              <w:rPr>
                <w:rFonts w:ascii="Arial" w:hAnsi="Arial" w:cs="Arial"/>
                <w:i/>
              </w:rPr>
              <w:t>Act</w:t>
            </w:r>
            <w:r w:rsidR="00F25D24">
              <w:rPr>
                <w:rFonts w:ascii="Arial" w:hAnsi="Arial" w:cs="Arial"/>
                <w:i/>
              </w:rPr>
              <w:t xml:space="preserve">, </w:t>
            </w:r>
            <w:r>
              <w:rPr>
                <w:rFonts w:ascii="Arial" w:hAnsi="Arial" w:cs="Arial"/>
              </w:rPr>
              <w:t>1997,</w:t>
            </w:r>
            <w:r w:rsidR="00DC600C">
              <w:rPr>
                <w:rFonts w:ascii="Arial" w:hAnsi="Arial" w:cs="Arial"/>
              </w:rPr>
              <w:t xml:space="preserve"> S.O. 1997,</w:t>
            </w:r>
            <w:r>
              <w:rPr>
                <w:rFonts w:ascii="Arial" w:hAnsi="Arial" w:cs="Arial"/>
              </w:rPr>
              <w:t xml:space="preserve"> c. 27 and Rule 10 of the Tribunal’s </w:t>
            </w:r>
            <w:r>
              <w:rPr>
                <w:rFonts w:ascii="Arial" w:hAnsi="Arial" w:cs="Arial"/>
                <w:i/>
              </w:rPr>
              <w:t>Rules of Practice and Procedure</w:t>
            </w:r>
          </w:p>
          <w:p w:rsidR="00F25D24" w:rsidRDefault="00F25D24" w:rsidP="00FB2BB1">
            <w:pPr>
              <w:rPr>
                <w:rFonts w:ascii="Arial" w:hAnsi="Arial" w:cs="Arial"/>
                <w:i/>
                <w:sz w:val="22"/>
              </w:rPr>
            </w:pPr>
          </w:p>
        </w:tc>
      </w:tr>
      <w:tr w:rsidR="00673E95" w:rsidTr="00DC600C">
        <w:tc>
          <w:tcPr>
            <w:tcW w:w="3936" w:type="dxa"/>
            <w:hideMark/>
          </w:tcPr>
          <w:p w:rsidR="00673E95" w:rsidRDefault="00673E95" w:rsidP="00FB2BB1">
            <w:pPr>
              <w:rPr>
                <w:rFonts w:ascii="Arial" w:hAnsi="Arial" w:cs="Arial"/>
                <w:sz w:val="22"/>
              </w:rPr>
            </w:pPr>
            <w:r>
              <w:rPr>
                <w:rFonts w:ascii="Arial" w:hAnsi="Arial" w:cs="Arial"/>
              </w:rPr>
              <w:t>Motion by:</w:t>
            </w:r>
          </w:p>
        </w:tc>
        <w:tc>
          <w:tcPr>
            <w:tcW w:w="5670" w:type="dxa"/>
            <w:hideMark/>
          </w:tcPr>
          <w:p w:rsidR="00673E95" w:rsidRDefault="00673E95" w:rsidP="002D0A30">
            <w:pPr>
              <w:ind w:left="317"/>
              <w:rPr>
                <w:rFonts w:ascii="Arial" w:hAnsi="Arial" w:cs="Arial"/>
                <w:sz w:val="22"/>
              </w:rPr>
            </w:pPr>
            <w:r>
              <w:rPr>
                <w:rFonts w:ascii="Arial" w:hAnsi="Arial" w:cs="Arial"/>
              </w:rPr>
              <w:t>City of Hamilton</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Purpose of Motion:</w:t>
            </w:r>
          </w:p>
        </w:tc>
        <w:tc>
          <w:tcPr>
            <w:tcW w:w="5670" w:type="dxa"/>
            <w:hideMark/>
          </w:tcPr>
          <w:p w:rsidR="00673E95" w:rsidRDefault="00673E95" w:rsidP="002D0A30">
            <w:pPr>
              <w:ind w:left="317"/>
              <w:rPr>
                <w:rFonts w:ascii="Arial" w:hAnsi="Arial" w:cs="Arial"/>
                <w:sz w:val="22"/>
              </w:rPr>
            </w:pPr>
            <w:r>
              <w:rPr>
                <w:rFonts w:ascii="Arial" w:hAnsi="Arial" w:cs="Arial"/>
              </w:rPr>
              <w:t>Request for an Order Dismissing the Appeal</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Appellant:</w:t>
            </w:r>
          </w:p>
        </w:tc>
        <w:tc>
          <w:tcPr>
            <w:tcW w:w="5670" w:type="dxa"/>
            <w:hideMark/>
          </w:tcPr>
          <w:p w:rsidR="00673E95" w:rsidRDefault="00673E95" w:rsidP="002D0A30">
            <w:pPr>
              <w:ind w:left="317"/>
              <w:rPr>
                <w:rFonts w:ascii="Arial" w:hAnsi="Arial" w:cs="Arial"/>
                <w:sz w:val="22"/>
              </w:rPr>
            </w:pPr>
            <w:r>
              <w:rPr>
                <w:rFonts w:ascii="Arial" w:hAnsi="Arial" w:cs="Arial"/>
              </w:rPr>
              <w:t>Andy Stone</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Subject:</w:t>
            </w:r>
          </w:p>
        </w:tc>
        <w:tc>
          <w:tcPr>
            <w:tcW w:w="5670" w:type="dxa"/>
            <w:hideMark/>
          </w:tcPr>
          <w:p w:rsidR="00673E95" w:rsidRDefault="00673E95" w:rsidP="002D0A30">
            <w:pPr>
              <w:ind w:left="317"/>
              <w:rPr>
                <w:rFonts w:ascii="Arial" w:hAnsi="Arial" w:cs="Arial"/>
                <w:sz w:val="22"/>
              </w:rPr>
            </w:pPr>
            <w:r>
              <w:rPr>
                <w:rFonts w:ascii="Arial" w:hAnsi="Arial" w:cs="Arial"/>
              </w:rPr>
              <w:t>By-law No. 14-153</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 xml:space="preserve">Municipality: </w:t>
            </w:r>
          </w:p>
        </w:tc>
        <w:tc>
          <w:tcPr>
            <w:tcW w:w="5670" w:type="dxa"/>
            <w:hideMark/>
          </w:tcPr>
          <w:p w:rsidR="00673E95" w:rsidRDefault="00673E95" w:rsidP="002D0A30">
            <w:pPr>
              <w:ind w:left="317"/>
              <w:rPr>
                <w:rFonts w:ascii="Arial" w:hAnsi="Arial" w:cs="Arial"/>
                <w:sz w:val="22"/>
              </w:rPr>
            </w:pPr>
            <w:r>
              <w:rPr>
                <w:rFonts w:ascii="Arial" w:hAnsi="Arial" w:cs="Arial"/>
              </w:rPr>
              <w:t>City of Hamilton</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 xml:space="preserve">LPAT Case No.: </w:t>
            </w:r>
          </w:p>
        </w:tc>
        <w:tc>
          <w:tcPr>
            <w:tcW w:w="5670" w:type="dxa"/>
            <w:hideMark/>
          </w:tcPr>
          <w:p w:rsidR="00673E95" w:rsidRDefault="00673E95" w:rsidP="002D0A30">
            <w:pPr>
              <w:ind w:left="317"/>
              <w:rPr>
                <w:rFonts w:ascii="Arial" w:hAnsi="Arial" w:cs="Arial"/>
                <w:sz w:val="22"/>
              </w:rPr>
            </w:pPr>
            <w:r>
              <w:rPr>
                <w:rFonts w:ascii="Arial" w:hAnsi="Arial" w:cs="Arial"/>
              </w:rPr>
              <w:t>DC180010</w:t>
            </w:r>
          </w:p>
        </w:tc>
      </w:tr>
      <w:tr w:rsidR="00673E95" w:rsidTr="00DC600C">
        <w:tc>
          <w:tcPr>
            <w:tcW w:w="3936" w:type="dxa"/>
            <w:hideMark/>
          </w:tcPr>
          <w:p w:rsidR="00673E95" w:rsidRDefault="00673E95" w:rsidP="00FB2BB1">
            <w:pPr>
              <w:rPr>
                <w:rFonts w:ascii="Arial" w:hAnsi="Arial" w:cs="Arial"/>
                <w:sz w:val="22"/>
              </w:rPr>
            </w:pPr>
            <w:r>
              <w:rPr>
                <w:rFonts w:ascii="Arial" w:hAnsi="Arial" w:cs="Arial"/>
              </w:rPr>
              <w:t xml:space="preserve">LPAT File No.: </w:t>
            </w:r>
          </w:p>
        </w:tc>
        <w:tc>
          <w:tcPr>
            <w:tcW w:w="5670" w:type="dxa"/>
            <w:hideMark/>
          </w:tcPr>
          <w:p w:rsidR="00673E95" w:rsidRDefault="00673E95" w:rsidP="002D0A30">
            <w:pPr>
              <w:ind w:left="317"/>
              <w:rPr>
                <w:rFonts w:ascii="Arial" w:hAnsi="Arial" w:cs="Arial"/>
                <w:sz w:val="22"/>
              </w:rPr>
            </w:pPr>
            <w:r>
              <w:rPr>
                <w:rFonts w:ascii="Arial" w:hAnsi="Arial" w:cs="Arial"/>
              </w:rPr>
              <w:t>DC180010</w:t>
            </w:r>
          </w:p>
        </w:tc>
      </w:tr>
    </w:tbl>
    <w:p w:rsidR="00397A2C" w:rsidRDefault="00397A2C" w:rsidP="007B76AB">
      <w:pPr>
        <w:rPr>
          <w:rFonts w:ascii="Arial" w:hAnsi="Arial" w:cs="Arial"/>
          <w:lang w:val="en-CA"/>
        </w:rPr>
      </w:pPr>
    </w:p>
    <w:p w:rsidR="007B76AB" w:rsidRPr="007C245D" w:rsidRDefault="007B76AB" w:rsidP="007B76AB">
      <w:pPr>
        <w:rPr>
          <w:vanish/>
        </w:rPr>
      </w:pPr>
    </w:p>
    <w:tbl>
      <w:tblPr>
        <w:tblW w:w="9464" w:type="dxa"/>
        <w:tblLook w:val="0000" w:firstRow="0" w:lastRow="0" w:firstColumn="0" w:lastColumn="0" w:noHBand="0" w:noVBand="0"/>
      </w:tblPr>
      <w:tblGrid>
        <w:gridCol w:w="4248"/>
        <w:gridCol w:w="5216"/>
      </w:tblGrid>
      <w:tr w:rsidR="007B76AB" w:rsidRPr="004704FF" w:rsidTr="00AB6FEF">
        <w:tc>
          <w:tcPr>
            <w:tcW w:w="4248" w:type="dxa"/>
          </w:tcPr>
          <w:p w:rsidR="00EC7FA6" w:rsidRDefault="00EC7FA6" w:rsidP="00EC7FA6">
            <w:pPr>
              <w:rPr>
                <w:rFonts w:ascii="Arial" w:hAnsi="Arial" w:cs="Arial"/>
                <w:b/>
              </w:rPr>
            </w:pPr>
          </w:p>
          <w:p w:rsidR="00EC7FA6" w:rsidRDefault="00EC7FA6" w:rsidP="00EC7FA6">
            <w:pPr>
              <w:rPr>
                <w:rFonts w:ascii="Arial" w:hAnsi="Arial" w:cs="Arial"/>
              </w:rPr>
            </w:pPr>
            <w:r w:rsidRPr="0066296A">
              <w:rPr>
                <w:rFonts w:ascii="Arial" w:hAnsi="Arial" w:cs="Arial"/>
                <w:b/>
              </w:rPr>
              <w:t>Heard:</w:t>
            </w:r>
            <w:r w:rsidRPr="0066296A">
              <w:rPr>
                <w:rFonts w:ascii="Arial" w:hAnsi="Arial" w:cs="Arial"/>
                <w:b/>
              </w:rPr>
              <w:tab/>
            </w:r>
          </w:p>
          <w:p w:rsidR="00EC7FA6" w:rsidRDefault="00EC7FA6" w:rsidP="00EC7FA6">
            <w:pPr>
              <w:rPr>
                <w:rFonts w:ascii="Arial" w:hAnsi="Arial" w:cs="Arial"/>
              </w:rPr>
            </w:pPr>
          </w:p>
          <w:p w:rsidR="00F25D24" w:rsidRDefault="00F25D24" w:rsidP="00AB6FEF">
            <w:pPr>
              <w:rPr>
                <w:rFonts w:ascii="Arial" w:hAnsi="Arial" w:cs="Arial"/>
                <w:b/>
                <w:lang w:val="en-CA"/>
              </w:rPr>
            </w:pPr>
          </w:p>
          <w:p w:rsidR="007B76AB" w:rsidRPr="004704FF" w:rsidRDefault="007B76AB" w:rsidP="00AB6FEF">
            <w:pPr>
              <w:rPr>
                <w:rFonts w:ascii="Arial" w:hAnsi="Arial" w:cs="Arial"/>
                <w:b/>
                <w:u w:val="single"/>
                <w:lang w:val="en-CA"/>
              </w:rPr>
            </w:pPr>
            <w:r w:rsidRPr="004704FF">
              <w:rPr>
                <w:rFonts w:ascii="Arial" w:hAnsi="Arial" w:cs="Arial"/>
                <w:b/>
                <w:lang w:val="en-CA"/>
              </w:rPr>
              <w:lastRenderedPageBreak/>
              <w:t>APPEARANCES:</w:t>
            </w:r>
          </w:p>
        </w:tc>
        <w:tc>
          <w:tcPr>
            <w:tcW w:w="5216" w:type="dxa"/>
          </w:tcPr>
          <w:p w:rsidR="00EC7FA6" w:rsidRDefault="00EC7FA6" w:rsidP="00EC7FA6">
            <w:pPr>
              <w:tabs>
                <w:tab w:val="left" w:pos="4248"/>
              </w:tabs>
              <w:rPr>
                <w:rFonts w:ascii="Arial" w:hAnsi="Arial" w:cs="Arial"/>
              </w:rPr>
            </w:pPr>
          </w:p>
          <w:p w:rsidR="00EC7FA6" w:rsidRPr="005A767F" w:rsidRDefault="00EC7FA6" w:rsidP="00EC7FA6">
            <w:pPr>
              <w:tabs>
                <w:tab w:val="left" w:pos="4248"/>
              </w:tabs>
              <w:rPr>
                <w:rFonts w:ascii="Arial" w:hAnsi="Arial" w:cs="Arial"/>
              </w:rPr>
            </w:pPr>
            <w:r>
              <w:rPr>
                <w:rFonts w:ascii="Arial" w:hAnsi="Arial" w:cs="Arial"/>
              </w:rPr>
              <w:t>Written Submissions</w:t>
            </w:r>
          </w:p>
          <w:p w:rsidR="00EC7FA6" w:rsidRPr="004704FF" w:rsidRDefault="00EC7FA6"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5216" w:type="dxa"/>
          </w:tcPr>
          <w:p w:rsidR="007B76AB" w:rsidRPr="004704FF" w:rsidRDefault="007B76AB" w:rsidP="00AB6FEF">
            <w:pPr>
              <w:tabs>
                <w:tab w:val="left" w:pos="3402"/>
              </w:tabs>
              <w:rPr>
                <w:rFonts w:ascii="Arial" w:hAnsi="Arial" w:cs="Arial"/>
                <w:b/>
                <w:u w:val="single"/>
                <w:lang w:val="en-CA"/>
              </w:rPr>
            </w:pPr>
            <w:bookmarkStart w:id="4" w:name="CounselAgent"/>
            <w:r w:rsidRPr="004704FF">
              <w:rPr>
                <w:rFonts w:ascii="Arial" w:hAnsi="Arial" w:cs="Arial"/>
                <w:b/>
                <w:u w:val="single"/>
                <w:lang w:val="en-CA"/>
              </w:rPr>
              <w:t>Counsel</w:t>
            </w:r>
            <w:bookmarkEnd w:id="4"/>
            <w:r w:rsidR="00282FA9">
              <w:rPr>
                <w:rFonts w:ascii="Arial" w:hAnsi="Arial" w:cs="Arial"/>
                <w:b/>
                <w:u w:val="single"/>
                <w:lang w:val="en-CA"/>
              </w:rPr>
              <w:t>*/Representative</w:t>
            </w:r>
          </w:p>
        </w:tc>
      </w:tr>
      <w:tr w:rsidR="007B76AB" w:rsidRPr="004704FF" w:rsidTr="00AB6FEF">
        <w:tc>
          <w:tcPr>
            <w:tcW w:w="4248" w:type="dxa"/>
          </w:tcPr>
          <w:p w:rsidR="007B76AB" w:rsidRDefault="007B76AB" w:rsidP="00AB6FEF">
            <w:pPr>
              <w:pStyle w:val="PartiesCounselAgent"/>
              <w:tabs>
                <w:tab w:val="left" w:pos="3402"/>
              </w:tabs>
              <w:rPr>
                <w:rFonts w:cs="Arial"/>
                <w:lang w:eastAsia="en-CA"/>
              </w:rPr>
            </w:pPr>
          </w:p>
          <w:p w:rsidR="00282FA9" w:rsidRPr="004704FF" w:rsidRDefault="00282FA9" w:rsidP="00AB6FEF">
            <w:pPr>
              <w:pStyle w:val="PartiesCounselAgent"/>
              <w:tabs>
                <w:tab w:val="left" w:pos="3402"/>
              </w:tabs>
              <w:rPr>
                <w:rFonts w:cs="Arial"/>
                <w:lang w:eastAsia="en-CA"/>
              </w:rPr>
            </w:pPr>
            <w:r>
              <w:rPr>
                <w:rFonts w:cs="Arial"/>
                <w:lang w:eastAsia="en-CA"/>
              </w:rPr>
              <w:t>Andy Stone</w:t>
            </w:r>
          </w:p>
        </w:tc>
        <w:tc>
          <w:tcPr>
            <w:tcW w:w="5216" w:type="dxa"/>
          </w:tcPr>
          <w:p w:rsidR="007B76AB" w:rsidRDefault="007B76AB" w:rsidP="00AB6FEF">
            <w:pPr>
              <w:pStyle w:val="PartiesCounselAgent"/>
              <w:tabs>
                <w:tab w:val="left" w:pos="3402"/>
              </w:tabs>
              <w:rPr>
                <w:rFonts w:cs="Arial"/>
                <w:lang w:eastAsia="en-CA"/>
              </w:rPr>
            </w:pPr>
          </w:p>
          <w:p w:rsidR="00282FA9" w:rsidRPr="004704FF" w:rsidRDefault="00282FA9" w:rsidP="00AB6FEF">
            <w:pPr>
              <w:pStyle w:val="PartiesCounselAgent"/>
              <w:tabs>
                <w:tab w:val="left" w:pos="3402"/>
              </w:tabs>
              <w:rPr>
                <w:rFonts w:cs="Arial"/>
                <w:lang w:eastAsia="en-CA"/>
              </w:rPr>
            </w:pPr>
            <w:r>
              <w:rPr>
                <w:rFonts w:cs="Arial"/>
                <w:lang w:eastAsia="en-CA"/>
              </w:rPr>
              <w:t>Self-represented</w:t>
            </w:r>
          </w:p>
        </w:tc>
      </w:tr>
      <w:tr w:rsidR="007B76AB" w:rsidRPr="004704FF" w:rsidTr="00AB6FEF">
        <w:tc>
          <w:tcPr>
            <w:tcW w:w="4248" w:type="dxa"/>
          </w:tcPr>
          <w:p w:rsidR="007B76AB" w:rsidRPr="004704FF" w:rsidRDefault="007B76AB" w:rsidP="00AB6FEF">
            <w:pPr>
              <w:pStyle w:val="PartiesCounselAgent"/>
              <w:tabs>
                <w:tab w:val="left" w:pos="3402"/>
              </w:tabs>
              <w:rPr>
                <w:rFonts w:cs="Arial"/>
              </w:rPr>
            </w:pPr>
          </w:p>
        </w:tc>
        <w:tc>
          <w:tcPr>
            <w:tcW w:w="5216" w:type="dxa"/>
          </w:tcPr>
          <w:p w:rsidR="007B76AB" w:rsidRPr="004704FF" w:rsidRDefault="007B76AB" w:rsidP="00AB6FEF">
            <w:pPr>
              <w:pStyle w:val="PartiesCounselAgent"/>
              <w:tabs>
                <w:tab w:val="left" w:pos="3402"/>
              </w:tabs>
              <w:rPr>
                <w:rFonts w:cs="Arial"/>
              </w:rPr>
            </w:pPr>
          </w:p>
        </w:tc>
      </w:tr>
      <w:tr w:rsidR="007B76AB" w:rsidRPr="004704FF" w:rsidTr="00AB6FEF">
        <w:tc>
          <w:tcPr>
            <w:tcW w:w="4248" w:type="dxa"/>
          </w:tcPr>
          <w:p w:rsidR="007B76AB" w:rsidRPr="004704FF" w:rsidRDefault="00282FA9" w:rsidP="00AB6FEF">
            <w:pPr>
              <w:tabs>
                <w:tab w:val="left" w:pos="3402"/>
              </w:tabs>
              <w:rPr>
                <w:rFonts w:ascii="Arial" w:hAnsi="Arial" w:cs="Arial"/>
                <w:lang w:val="en-CA" w:eastAsia="en-CA"/>
              </w:rPr>
            </w:pPr>
            <w:r>
              <w:rPr>
                <w:rFonts w:ascii="Arial" w:hAnsi="Arial" w:cs="Arial"/>
                <w:lang w:val="en-CA" w:eastAsia="en-CA"/>
              </w:rPr>
              <w:t>City of Hamilton</w:t>
            </w:r>
          </w:p>
        </w:tc>
        <w:tc>
          <w:tcPr>
            <w:tcW w:w="5216" w:type="dxa"/>
          </w:tcPr>
          <w:p w:rsidR="007B76AB" w:rsidRPr="004704FF" w:rsidRDefault="00282FA9" w:rsidP="00AB6FEF">
            <w:pPr>
              <w:pStyle w:val="PartiesCounselAgent"/>
              <w:tabs>
                <w:tab w:val="left" w:pos="3402"/>
              </w:tabs>
              <w:rPr>
                <w:rFonts w:cs="Arial"/>
              </w:rPr>
            </w:pPr>
            <w:r>
              <w:rPr>
                <w:rFonts w:cs="Arial"/>
              </w:rPr>
              <w:t xml:space="preserve">M. </w:t>
            </w:r>
            <w:proofErr w:type="spellStart"/>
            <w:r>
              <w:rPr>
                <w:rFonts w:cs="Arial"/>
              </w:rPr>
              <w:t>Kovacevic</w:t>
            </w:r>
            <w:proofErr w:type="spellEnd"/>
            <w:r w:rsidR="00154F31">
              <w:rPr>
                <w:rFonts w:cs="Arial"/>
              </w:rPr>
              <w:t>*</w:t>
            </w:r>
          </w:p>
        </w:tc>
      </w:tr>
    </w:tbl>
    <w:p w:rsidR="007B76AB" w:rsidRDefault="007B76AB" w:rsidP="007B76AB">
      <w:pPr>
        <w:pStyle w:val="DecisionDeliveredby"/>
        <w:pBdr>
          <w:bottom w:val="single" w:sz="4" w:space="1" w:color="auto"/>
        </w:pBdr>
        <w:rPr>
          <w:rFonts w:cs="Arial"/>
        </w:rPr>
      </w:pPr>
    </w:p>
    <w:p w:rsidR="00EC7FA6" w:rsidRDefault="00EC7FA6" w:rsidP="007B76AB">
      <w:pPr>
        <w:pStyle w:val="DecisionDeliveredby"/>
        <w:pBdr>
          <w:bottom w:val="single" w:sz="4" w:space="1" w:color="auto"/>
        </w:pBdr>
        <w:rPr>
          <w:rFonts w:cs="Arial"/>
        </w:rPr>
      </w:pPr>
    </w:p>
    <w:p w:rsidR="007B76AB" w:rsidRDefault="007B76AB" w:rsidP="007B76AB">
      <w:pPr>
        <w:pStyle w:val="DecisionDeliveredby"/>
        <w:pBdr>
          <w:bottom w:val="single" w:sz="4" w:space="1" w:color="auto"/>
        </w:pBdr>
        <w:rPr>
          <w:rFonts w:cs="Arial"/>
        </w:rPr>
      </w:pPr>
      <w:r w:rsidRPr="004704FF">
        <w:rPr>
          <w:rFonts w:cs="Arial"/>
        </w:rPr>
        <w:t>DECISION DELIVERED BY SUSAN de AVELLAR SCHILLER AND</w:t>
      </w:r>
      <w:r w:rsidR="00D11C1E">
        <w:rPr>
          <w:rFonts w:cs="Arial"/>
        </w:rPr>
        <w:t xml:space="preserve"> ORDER OF THE TRIBUNAL</w:t>
      </w:r>
    </w:p>
    <w:p w:rsidR="007B76AB" w:rsidRPr="004704FF" w:rsidRDefault="00CE6268" w:rsidP="007B76AB">
      <w:pPr>
        <w:pStyle w:val="DecisionDeliveredby"/>
        <w:spacing w:beforeLines="150" w:before="360" w:afterLines="150" w:after="360" w:line="360" w:lineRule="auto"/>
        <w:rPr>
          <w:rFonts w:cs="Arial"/>
          <w:b w:val="0"/>
        </w:rPr>
      </w:pPr>
      <w:r>
        <w:rPr>
          <w:rFonts w:cs="Arial"/>
        </w:rPr>
        <w:t xml:space="preserve">BACKGROUND </w:t>
      </w:r>
    </w:p>
    <w:p w:rsidR="00CE6268" w:rsidRDefault="00CE6268" w:rsidP="00CE6268">
      <w:pPr>
        <w:pStyle w:val="DecisionBody"/>
        <w:spacing w:beforeLines="150" w:before="360" w:afterLines="150" w:after="360"/>
        <w:rPr>
          <w:rFonts w:cs="Arial"/>
        </w:rPr>
      </w:pPr>
      <w:r>
        <w:rPr>
          <w:rFonts w:cs="Arial"/>
        </w:rPr>
        <w:t xml:space="preserve">This is a written motion to dismiss the appeal of Andy Stone (“Appellant”). The motion is brought by the City of Hamilton (“City”) </w:t>
      </w:r>
      <w:r w:rsidR="00673E95">
        <w:rPr>
          <w:rFonts w:cs="Arial"/>
        </w:rPr>
        <w:t xml:space="preserve">to dismiss the appeal filed by the Appellant </w:t>
      </w:r>
      <w:r>
        <w:rPr>
          <w:rFonts w:cs="Arial"/>
        </w:rPr>
        <w:t>pursuant to s.</w:t>
      </w:r>
      <w:r w:rsidR="00154F31">
        <w:rPr>
          <w:rFonts w:cs="Arial"/>
        </w:rPr>
        <w:t xml:space="preserve"> </w:t>
      </w:r>
      <w:r>
        <w:rPr>
          <w:rFonts w:cs="Arial"/>
        </w:rPr>
        <w:t xml:space="preserve">22(1) of the </w:t>
      </w:r>
      <w:r>
        <w:rPr>
          <w:rFonts w:cs="Arial"/>
          <w:i/>
        </w:rPr>
        <w:t>Development Charges Act</w:t>
      </w:r>
      <w:r>
        <w:rPr>
          <w:rFonts w:cs="Arial"/>
        </w:rPr>
        <w:t>,</w:t>
      </w:r>
      <w:r>
        <w:rPr>
          <w:rFonts w:cs="Arial"/>
          <w:i/>
        </w:rPr>
        <w:t xml:space="preserve"> 1997, </w:t>
      </w:r>
      <w:r>
        <w:rPr>
          <w:rFonts w:cs="Arial"/>
        </w:rPr>
        <w:t xml:space="preserve"> S.O. </w:t>
      </w:r>
      <w:r w:rsidR="00F25D24">
        <w:rPr>
          <w:rFonts w:cs="Arial"/>
        </w:rPr>
        <w:t>1</w:t>
      </w:r>
      <w:r>
        <w:rPr>
          <w:rFonts w:cs="Arial"/>
        </w:rPr>
        <w:t>997, c. 27 (“Act”).</w:t>
      </w:r>
    </w:p>
    <w:p w:rsidR="00CE6268" w:rsidRDefault="00CE6268" w:rsidP="00CE6268">
      <w:pPr>
        <w:pStyle w:val="DecisionBody"/>
        <w:spacing w:beforeLines="150" w:before="360" w:afterLines="150" w:after="360"/>
        <w:rPr>
          <w:rFonts w:cs="Arial"/>
        </w:rPr>
      </w:pPr>
      <w:r>
        <w:rPr>
          <w:rFonts w:cs="Arial"/>
        </w:rPr>
        <w:t xml:space="preserve">This written motion was brought in accordance with the Tribunal’s </w:t>
      </w:r>
      <w:r>
        <w:rPr>
          <w:rFonts w:cs="Arial"/>
          <w:i/>
        </w:rPr>
        <w:t xml:space="preserve">Rules of Practice and Procedure, </w:t>
      </w:r>
      <w:r>
        <w:rPr>
          <w:rFonts w:cs="Arial"/>
        </w:rPr>
        <w:t>effective April 3, 2018 (“Tribunal Rules”), specifically Tribunal Rule 10.</w:t>
      </w:r>
    </w:p>
    <w:p w:rsidR="005F7E8E" w:rsidRPr="00CE6268" w:rsidRDefault="005F7E8E" w:rsidP="00CE6268">
      <w:pPr>
        <w:pStyle w:val="DecisionBody"/>
        <w:spacing w:beforeLines="150" w:before="360" w:afterLines="150" w:after="360"/>
        <w:rPr>
          <w:rFonts w:cs="Arial"/>
        </w:rPr>
      </w:pPr>
      <w:r>
        <w:rPr>
          <w:rFonts w:cs="Arial"/>
        </w:rPr>
        <w:t>In accordance with the requirements of the Act, and in accordance with the Tribunal Rules, the Appellant was given a full opportunity to file a written Response to the Motion, and did so. As a result, the Tribunal had before</w:t>
      </w:r>
      <w:r w:rsidR="00EA171E">
        <w:rPr>
          <w:rFonts w:cs="Arial"/>
        </w:rPr>
        <w:t xml:space="preserve"> it</w:t>
      </w:r>
      <w:r>
        <w:rPr>
          <w:rFonts w:cs="Arial"/>
        </w:rPr>
        <w:t xml:space="preserve"> the Motion, the Response to the Motion and the City’s Reply to the Response.</w:t>
      </w:r>
    </w:p>
    <w:p w:rsidR="00000B2C" w:rsidRDefault="008B3208" w:rsidP="00000B2C">
      <w:pPr>
        <w:pStyle w:val="DecisionBody"/>
        <w:spacing w:beforeLines="150" w:before="360" w:afterLines="150" w:after="360"/>
        <w:rPr>
          <w:rFonts w:cs="Arial"/>
        </w:rPr>
      </w:pPr>
      <w:r>
        <w:rPr>
          <w:rFonts w:cs="Arial"/>
        </w:rPr>
        <w:t>Andy Stone and Karen Dearness (together “Owners”) converted an existing detached accessory structure to a detached single dwelling unit</w:t>
      </w:r>
      <w:r w:rsidR="00000B2C">
        <w:rPr>
          <w:rFonts w:cs="Arial"/>
        </w:rPr>
        <w:t xml:space="preserve"> at 390 Aberdeen Avenue (“Property”) in the City of Hamilton (“City”)</w:t>
      </w:r>
      <w:r>
        <w:rPr>
          <w:rFonts w:cs="Arial"/>
        </w:rPr>
        <w:t>. Four development c</w:t>
      </w:r>
      <w:r w:rsidR="00567365">
        <w:rPr>
          <w:rFonts w:cs="Arial"/>
        </w:rPr>
        <w:t>harge by-laws are in effect for</w:t>
      </w:r>
      <w:r w:rsidR="00000B2C">
        <w:rPr>
          <w:rFonts w:cs="Arial"/>
        </w:rPr>
        <w:t xml:space="preserve"> the area in which this Property is located. They are</w:t>
      </w:r>
      <w:r w:rsidR="00154F31">
        <w:rPr>
          <w:rFonts w:cs="Arial"/>
        </w:rPr>
        <w:t>:</w:t>
      </w:r>
      <w:r w:rsidR="00000B2C">
        <w:rPr>
          <w:rFonts w:cs="Arial"/>
        </w:rPr>
        <w:t xml:space="preserve"> </w:t>
      </w:r>
    </w:p>
    <w:p w:rsidR="00000B2C" w:rsidRDefault="00000B2C" w:rsidP="00154F31">
      <w:pPr>
        <w:pStyle w:val="DecisionBody"/>
        <w:numPr>
          <w:ilvl w:val="1"/>
          <w:numId w:val="11"/>
        </w:numPr>
        <w:spacing w:beforeLines="150" w:before="360" w:afterLines="150" w:after="360"/>
        <w:ind w:left="1134"/>
        <w:rPr>
          <w:rFonts w:cs="Arial"/>
        </w:rPr>
      </w:pPr>
      <w:r>
        <w:rPr>
          <w:rFonts w:cs="Arial"/>
        </w:rPr>
        <w:t>City of Hamilton By-law No. 14-153 (“City DC By-law”), the general by-law regarding development and applicable to lands within the City.</w:t>
      </w:r>
    </w:p>
    <w:p w:rsidR="00000B2C" w:rsidRDefault="00000B2C" w:rsidP="00154F31">
      <w:pPr>
        <w:pStyle w:val="DecisionBody"/>
        <w:numPr>
          <w:ilvl w:val="1"/>
          <w:numId w:val="11"/>
        </w:numPr>
        <w:spacing w:beforeLines="150" w:before="360" w:afterLines="150" w:after="360"/>
        <w:ind w:left="1134"/>
        <w:rPr>
          <w:rFonts w:cs="Arial"/>
        </w:rPr>
      </w:pPr>
      <w:r>
        <w:rPr>
          <w:rFonts w:cs="Arial"/>
        </w:rPr>
        <w:lastRenderedPageBreak/>
        <w:t>City of Hamilton By-law No. 11-174 (“GO Transit DC By-law”), a targeted by-law for development charges to pay for increased needs for GO Transit Service arising from development within the City.</w:t>
      </w:r>
    </w:p>
    <w:p w:rsidR="00000B2C" w:rsidRDefault="00000B2C" w:rsidP="00154F31">
      <w:pPr>
        <w:pStyle w:val="DecisionBody"/>
        <w:numPr>
          <w:ilvl w:val="1"/>
          <w:numId w:val="11"/>
        </w:numPr>
        <w:spacing w:beforeLines="150" w:before="360" w:afterLines="150" w:after="360"/>
        <w:ind w:left="1134"/>
        <w:rPr>
          <w:rFonts w:cs="Arial"/>
        </w:rPr>
      </w:pPr>
      <w:r>
        <w:rPr>
          <w:rFonts w:cs="Arial"/>
        </w:rPr>
        <w:t xml:space="preserve">Hamilton-Wentworth Catholic District School Board Education Development </w:t>
      </w:r>
      <w:r w:rsidR="00B113AF">
        <w:rPr>
          <w:rFonts w:cs="Arial"/>
        </w:rPr>
        <w:t>Charges</w:t>
      </w:r>
      <w:r>
        <w:rPr>
          <w:rFonts w:cs="Arial"/>
        </w:rPr>
        <w:t xml:space="preserve"> By-law </w:t>
      </w:r>
      <w:r w:rsidR="00154F31">
        <w:rPr>
          <w:rFonts w:cs="Arial"/>
        </w:rPr>
        <w:t xml:space="preserve">No. </w:t>
      </w:r>
      <w:r>
        <w:rPr>
          <w:rFonts w:cs="Arial"/>
        </w:rPr>
        <w:t>2014 (“Separate School DC By-law”).</w:t>
      </w:r>
    </w:p>
    <w:p w:rsidR="00000B2C" w:rsidRPr="00000B2C" w:rsidRDefault="00000B2C" w:rsidP="00154F31">
      <w:pPr>
        <w:pStyle w:val="DecisionBody"/>
        <w:numPr>
          <w:ilvl w:val="1"/>
          <w:numId w:val="11"/>
        </w:numPr>
        <w:spacing w:beforeLines="150" w:before="360" w:afterLines="150" w:after="360"/>
        <w:ind w:left="1134"/>
        <w:rPr>
          <w:rFonts w:cs="Arial"/>
        </w:rPr>
      </w:pPr>
      <w:r>
        <w:rPr>
          <w:rFonts w:cs="Arial"/>
        </w:rPr>
        <w:t xml:space="preserve">Hamilton-Wentworth District </w:t>
      </w:r>
      <w:r w:rsidR="00B113AF">
        <w:rPr>
          <w:rFonts w:cs="Arial"/>
        </w:rPr>
        <w:t>School</w:t>
      </w:r>
      <w:r>
        <w:rPr>
          <w:rFonts w:cs="Arial"/>
        </w:rPr>
        <w:t xml:space="preserve"> Board Education Development Charges By-law </w:t>
      </w:r>
      <w:r w:rsidR="00154F31">
        <w:rPr>
          <w:rFonts w:cs="Arial"/>
        </w:rPr>
        <w:t xml:space="preserve">No. </w:t>
      </w:r>
      <w:r>
        <w:rPr>
          <w:rFonts w:cs="Arial"/>
        </w:rPr>
        <w:t>14-1 (“Public School DC By-law”).</w:t>
      </w:r>
    </w:p>
    <w:p w:rsidR="00DB73D9" w:rsidRDefault="00DB73D9" w:rsidP="00B90E8A">
      <w:pPr>
        <w:pStyle w:val="DecisionBody"/>
        <w:spacing w:beforeLines="150" w:before="360" w:afterLines="150" w:after="360"/>
        <w:rPr>
          <w:rFonts w:cs="Arial"/>
        </w:rPr>
      </w:pPr>
      <w:r>
        <w:rPr>
          <w:rFonts w:cs="Arial"/>
        </w:rPr>
        <w:t xml:space="preserve">For ease in reading this </w:t>
      </w:r>
      <w:r w:rsidR="00CB2504">
        <w:rPr>
          <w:rFonts w:cs="Arial"/>
        </w:rPr>
        <w:t>D</w:t>
      </w:r>
      <w:r>
        <w:rPr>
          <w:rFonts w:cs="Arial"/>
        </w:rPr>
        <w:t>ecision, the Tribunal will refer to the City DC By-law together with the GO Transit DC By-law as the City DC By-laws. Similarly, the Tribunal will refer to the Separate School DC By-law together with the Public School DC By-law as the Education D</w:t>
      </w:r>
      <w:r w:rsidR="00B90E8A">
        <w:rPr>
          <w:rFonts w:cs="Arial"/>
        </w:rPr>
        <w:t>C By-laws.</w:t>
      </w:r>
    </w:p>
    <w:p w:rsidR="00CE6268" w:rsidRPr="00CE6268" w:rsidRDefault="00CE6268" w:rsidP="00CE6268">
      <w:pPr>
        <w:pStyle w:val="DecisionBody"/>
        <w:numPr>
          <w:ilvl w:val="0"/>
          <w:numId w:val="0"/>
        </w:numPr>
        <w:spacing w:beforeLines="150" w:before="360" w:afterLines="150" w:after="360"/>
        <w:rPr>
          <w:rStyle w:val="Strong"/>
        </w:rPr>
      </w:pPr>
      <w:r>
        <w:rPr>
          <w:rStyle w:val="Strong"/>
        </w:rPr>
        <w:t>LEGISLATIVE CONTEXT</w:t>
      </w:r>
    </w:p>
    <w:p w:rsidR="00282FA9" w:rsidRDefault="00282FA9" w:rsidP="007B76AB">
      <w:pPr>
        <w:pStyle w:val="DecisionBody"/>
        <w:spacing w:beforeLines="150" w:before="360" w:afterLines="150" w:after="360"/>
        <w:rPr>
          <w:rFonts w:cs="Arial"/>
        </w:rPr>
      </w:pPr>
      <w:r>
        <w:rPr>
          <w:rFonts w:cs="Arial"/>
        </w:rPr>
        <w:t>This is an appeal made pursuant to s. 22(1) of the</w:t>
      </w:r>
      <w:r w:rsidR="00CE6268">
        <w:rPr>
          <w:rFonts w:cs="Arial"/>
        </w:rPr>
        <w:t xml:space="preserve"> Act.</w:t>
      </w:r>
      <w:r w:rsidR="008B3208">
        <w:rPr>
          <w:rFonts w:cs="Arial"/>
        </w:rPr>
        <w:t xml:space="preserve"> </w:t>
      </w:r>
      <w:r w:rsidR="00B90E8A">
        <w:rPr>
          <w:rFonts w:cs="Arial"/>
        </w:rPr>
        <w:t xml:space="preserve"> An appeal under this section is an appeal by a complainant of the decision of the municipality on a complaint regarding the application of a development charge by-law. The requirements for a complaint, including the statutory grounds for a complaint, are set out in s. 20(1) of the Act.</w:t>
      </w:r>
    </w:p>
    <w:p w:rsidR="00B90E8A" w:rsidRDefault="00B90E8A" w:rsidP="007B76AB">
      <w:pPr>
        <w:pStyle w:val="DecisionBody"/>
        <w:spacing w:beforeLines="150" w:before="360" w:afterLines="150" w:after="360"/>
        <w:rPr>
          <w:rFonts w:cs="Arial"/>
        </w:rPr>
      </w:pPr>
      <w:r>
        <w:rPr>
          <w:rFonts w:cs="Arial"/>
        </w:rPr>
        <w:t>Section 20(1) sets out three grounds for a complaint:</w:t>
      </w:r>
    </w:p>
    <w:p w:rsidR="00B90E8A" w:rsidRDefault="004C7CC1" w:rsidP="00CB2504">
      <w:pPr>
        <w:pStyle w:val="DecisionBody"/>
        <w:numPr>
          <w:ilvl w:val="1"/>
          <w:numId w:val="11"/>
        </w:numPr>
        <w:spacing w:beforeLines="150" w:before="360" w:afterLines="150" w:after="360"/>
        <w:ind w:left="1134"/>
        <w:rPr>
          <w:rFonts w:cs="Arial"/>
        </w:rPr>
      </w:pPr>
      <w:r>
        <w:rPr>
          <w:rFonts w:cs="Arial"/>
        </w:rPr>
        <w:t>t</w:t>
      </w:r>
      <w:r w:rsidR="00B90E8A">
        <w:rPr>
          <w:rFonts w:cs="Arial"/>
        </w:rPr>
        <w:t>he amount of the development charge was incorrectly determined</w:t>
      </w:r>
      <w:r>
        <w:rPr>
          <w:rFonts w:cs="Arial"/>
        </w:rPr>
        <w:t>;</w:t>
      </w:r>
    </w:p>
    <w:p w:rsidR="004C7CC1" w:rsidRDefault="004C7CC1" w:rsidP="00CB2504">
      <w:pPr>
        <w:pStyle w:val="DecisionBody"/>
        <w:numPr>
          <w:ilvl w:val="1"/>
          <w:numId w:val="11"/>
        </w:numPr>
        <w:spacing w:beforeLines="150" w:before="360" w:afterLines="150" w:after="360"/>
        <w:ind w:left="1134"/>
        <w:rPr>
          <w:rFonts w:cs="Arial"/>
        </w:rPr>
      </w:pPr>
      <w:r>
        <w:rPr>
          <w:rFonts w:cs="Arial"/>
        </w:rPr>
        <w:t>whether a credit is available to be used against the development charge or the amount of the credit or the service for which the credit was given was incorrectly determined; or</w:t>
      </w:r>
    </w:p>
    <w:p w:rsidR="004C7CC1" w:rsidRDefault="004C7CC1" w:rsidP="00CB2504">
      <w:pPr>
        <w:pStyle w:val="DecisionBody"/>
        <w:numPr>
          <w:ilvl w:val="1"/>
          <w:numId w:val="11"/>
        </w:numPr>
        <w:spacing w:beforeLines="150" w:before="360" w:afterLines="150" w:after="360"/>
        <w:ind w:left="1134"/>
        <w:rPr>
          <w:rFonts w:cs="Arial"/>
        </w:rPr>
      </w:pPr>
      <w:proofErr w:type="gramStart"/>
      <w:r>
        <w:rPr>
          <w:rFonts w:cs="Arial"/>
        </w:rPr>
        <w:t>there</w:t>
      </w:r>
      <w:proofErr w:type="gramEnd"/>
      <w:r>
        <w:rPr>
          <w:rFonts w:cs="Arial"/>
        </w:rPr>
        <w:t xml:space="preserve"> was an error in the application of the development charge by-law.</w:t>
      </w:r>
    </w:p>
    <w:p w:rsidR="004C7CC1" w:rsidRDefault="00ED2911" w:rsidP="007B76AB">
      <w:pPr>
        <w:pStyle w:val="DecisionBody"/>
        <w:spacing w:beforeLines="150" w:before="360" w:afterLines="150" w:after="360"/>
        <w:rPr>
          <w:rFonts w:cs="Arial"/>
        </w:rPr>
      </w:pPr>
      <w:r>
        <w:rPr>
          <w:rFonts w:cs="Arial"/>
        </w:rPr>
        <w:lastRenderedPageBreak/>
        <w:t xml:space="preserve">The grounds set out in the </w:t>
      </w:r>
      <w:r w:rsidR="00B113AF">
        <w:rPr>
          <w:rFonts w:cs="Arial"/>
        </w:rPr>
        <w:t>Act are very specific and quite</w:t>
      </w:r>
      <w:r w:rsidR="004C7CC1">
        <w:rPr>
          <w:rFonts w:cs="Arial"/>
        </w:rPr>
        <w:t xml:space="preserve"> focused.</w:t>
      </w:r>
      <w:r>
        <w:rPr>
          <w:rFonts w:cs="Arial"/>
        </w:rPr>
        <w:t xml:space="preserve"> They do not include a request to be exempt from a development charge by-law nor do they include a request to create a new category </w:t>
      </w:r>
      <w:r w:rsidR="00CD02D3">
        <w:rPr>
          <w:rFonts w:cs="Arial"/>
        </w:rPr>
        <w:t>of</w:t>
      </w:r>
      <w:r>
        <w:rPr>
          <w:rFonts w:cs="Arial"/>
        </w:rPr>
        <w:t xml:space="preserve"> residential development</w:t>
      </w:r>
      <w:r w:rsidR="00CD02D3">
        <w:rPr>
          <w:rFonts w:cs="Arial"/>
        </w:rPr>
        <w:t xml:space="preserve"> not now found in the development charge by-law.</w:t>
      </w:r>
    </w:p>
    <w:p w:rsidR="00EA5C31" w:rsidRDefault="00EA5C31" w:rsidP="007B76AB">
      <w:pPr>
        <w:pStyle w:val="DecisionBody"/>
        <w:spacing w:beforeLines="150" w:before="360" w:afterLines="150" w:after="360"/>
        <w:rPr>
          <w:rFonts w:cs="Arial"/>
        </w:rPr>
      </w:pPr>
      <w:r>
        <w:rPr>
          <w:rFonts w:cs="Arial"/>
        </w:rPr>
        <w:t xml:space="preserve">Section 21(1) of the Act specifies the period in which the complainant may appeal the decision of the municipality on the complaint. </w:t>
      </w:r>
      <w:r w:rsidR="003E4585">
        <w:rPr>
          <w:rFonts w:cs="Arial"/>
        </w:rPr>
        <w:t>The Act states that the last day for appealing the decision is “…40 days after the decision is made…”</w:t>
      </w:r>
    </w:p>
    <w:p w:rsidR="003E4585" w:rsidRDefault="003E4585" w:rsidP="007B76AB">
      <w:pPr>
        <w:pStyle w:val="DecisionBody"/>
        <w:spacing w:beforeLines="150" w:before="360" w:afterLines="150" w:after="360"/>
        <w:rPr>
          <w:rFonts w:cs="Arial"/>
        </w:rPr>
      </w:pPr>
      <w:r>
        <w:rPr>
          <w:rFonts w:cs="Arial"/>
        </w:rPr>
        <w:t>Finally, s</w:t>
      </w:r>
      <w:r w:rsidR="00CB2504">
        <w:rPr>
          <w:rFonts w:cs="Arial"/>
        </w:rPr>
        <w:t>.</w:t>
      </w:r>
      <w:r>
        <w:rPr>
          <w:rFonts w:cs="Arial"/>
        </w:rPr>
        <w:t xml:space="preserve"> 24(5) of the Act provides that the Tribunal may dismiss the appeal without holding a full hearing if the Tribunal “…is of the opinion that the complaint set out in the notice of appeal is insufficient…”</w:t>
      </w:r>
    </w:p>
    <w:p w:rsidR="00FC43D0" w:rsidRPr="00FC43D0" w:rsidRDefault="00FC43D0" w:rsidP="00FC43D0">
      <w:pPr>
        <w:pStyle w:val="DecisionBody"/>
        <w:numPr>
          <w:ilvl w:val="0"/>
          <w:numId w:val="0"/>
        </w:numPr>
        <w:spacing w:beforeLines="150" w:before="360" w:afterLines="150" w:after="360"/>
        <w:rPr>
          <w:rStyle w:val="Strong"/>
        </w:rPr>
      </w:pPr>
      <w:r>
        <w:rPr>
          <w:rStyle w:val="Strong"/>
        </w:rPr>
        <w:t>ANALYSIS AND FINDINGS</w:t>
      </w:r>
    </w:p>
    <w:p w:rsidR="00056CFD" w:rsidRDefault="00056CFD" w:rsidP="007B76AB">
      <w:pPr>
        <w:pStyle w:val="DecisionBody"/>
        <w:spacing w:beforeLines="150" w:before="360" w:afterLines="150" w:after="360"/>
        <w:rPr>
          <w:rFonts w:cs="Arial"/>
        </w:rPr>
      </w:pPr>
      <w:r>
        <w:rPr>
          <w:rFonts w:cs="Arial"/>
        </w:rPr>
        <w:t>The Appellant made a request to the City to reduce the fees to be paid. The request for a reduction</w:t>
      </w:r>
      <w:r w:rsidR="00F862A2">
        <w:rPr>
          <w:rFonts w:cs="Arial"/>
        </w:rPr>
        <w:t xml:space="preserve"> or exemption</w:t>
      </w:r>
      <w:r>
        <w:rPr>
          <w:rFonts w:cs="Arial"/>
        </w:rPr>
        <w:t xml:space="preserve"> was policy driven. The Appellant suggested that the form of housing created on the Property offered a new approach to the provision of affordable housing with intensification by way of a second detached </w:t>
      </w:r>
      <w:r w:rsidR="002A7873">
        <w:rPr>
          <w:rFonts w:cs="Arial"/>
        </w:rPr>
        <w:t>single dwelling unit on a single lot. The Appellant takes the position that this form of intensification should be recognized with a reduction</w:t>
      </w:r>
      <w:r w:rsidR="00F862A2">
        <w:rPr>
          <w:rFonts w:cs="Arial"/>
        </w:rPr>
        <w:t xml:space="preserve"> in,</w:t>
      </w:r>
      <w:r w:rsidR="002A7873">
        <w:rPr>
          <w:rFonts w:cs="Arial"/>
        </w:rPr>
        <w:t xml:space="preserve"> </w:t>
      </w:r>
      <w:r w:rsidR="00F862A2">
        <w:rPr>
          <w:rFonts w:cs="Arial"/>
        </w:rPr>
        <w:t>or exemption from,</w:t>
      </w:r>
      <w:r w:rsidR="002A7873">
        <w:rPr>
          <w:rFonts w:cs="Arial"/>
        </w:rPr>
        <w:t xml:space="preserve"> the amount of development charges to be paid.</w:t>
      </w:r>
    </w:p>
    <w:p w:rsidR="00050E9E" w:rsidRDefault="00050E9E" w:rsidP="007B76AB">
      <w:pPr>
        <w:pStyle w:val="DecisionBody"/>
        <w:spacing w:beforeLines="150" w:before="360" w:afterLines="150" w:after="360"/>
        <w:rPr>
          <w:rFonts w:cs="Arial"/>
        </w:rPr>
      </w:pPr>
      <w:r>
        <w:rPr>
          <w:rFonts w:cs="Arial"/>
        </w:rPr>
        <w:t>The City refused the Appellant’s request.</w:t>
      </w:r>
    </w:p>
    <w:p w:rsidR="002A7873" w:rsidRDefault="002A7873" w:rsidP="007B76AB">
      <w:pPr>
        <w:pStyle w:val="DecisionBody"/>
        <w:spacing w:beforeLines="150" w:before="360" w:afterLines="150" w:after="360"/>
        <w:rPr>
          <w:rFonts w:cs="Arial"/>
        </w:rPr>
      </w:pPr>
      <w:r>
        <w:rPr>
          <w:rFonts w:cs="Arial"/>
        </w:rPr>
        <w:t>In effect, through the appeal of this request, the Appellant is asking the Tribunal to substitute its policy preference for that of the City. The Tribunal’s role is to implement the specific requirements of the Act, not to alter development charge policy decisions of the City where there has been no deviation from the requirements of the Act.</w:t>
      </w:r>
    </w:p>
    <w:p w:rsidR="001B02BD" w:rsidRDefault="001B02BD" w:rsidP="007B76AB">
      <w:pPr>
        <w:pStyle w:val="DecisionBody"/>
        <w:spacing w:beforeLines="150" w:before="360" w:afterLines="150" w:after="360"/>
        <w:rPr>
          <w:rFonts w:cs="Arial"/>
        </w:rPr>
      </w:pPr>
      <w:r>
        <w:rPr>
          <w:rFonts w:cs="Arial"/>
        </w:rPr>
        <w:t xml:space="preserve">In this case, the evidence before the Tribunal is that the Appellant applied for and received an amendment to the applicable zoning by-law to convert an existing detached </w:t>
      </w:r>
      <w:r>
        <w:rPr>
          <w:rFonts w:cs="Arial"/>
        </w:rPr>
        <w:lastRenderedPageBreak/>
        <w:t xml:space="preserve">structure into a separate dwelling unit </w:t>
      </w:r>
      <w:r w:rsidR="007D1670">
        <w:rPr>
          <w:rFonts w:cs="Arial"/>
        </w:rPr>
        <w:t>on the Property that already had one single detached dwelling.</w:t>
      </w:r>
    </w:p>
    <w:p w:rsidR="007D1670" w:rsidRDefault="007D1670" w:rsidP="007B76AB">
      <w:pPr>
        <w:pStyle w:val="DecisionBody"/>
        <w:spacing w:beforeLines="150" w:before="360" w:afterLines="150" w:after="360"/>
        <w:rPr>
          <w:rFonts w:cs="Arial"/>
        </w:rPr>
      </w:pPr>
      <w:r>
        <w:rPr>
          <w:rFonts w:cs="Arial"/>
        </w:rPr>
        <w:t>The City takes the position that the Appellant was advised that the full development charge and parkland dedication fee would be payable. The Appellant then elected to proceed and paid the fees required. The development charges had been stated clearly in the respective by-laws, which were in full force and effect and not appealed by the Appellant in this matter.</w:t>
      </w:r>
    </w:p>
    <w:p w:rsidR="002A7873" w:rsidRDefault="007D1670" w:rsidP="007B76AB">
      <w:pPr>
        <w:pStyle w:val="DecisionBody"/>
        <w:spacing w:beforeLines="150" w:before="360" w:afterLines="150" w:after="360"/>
        <w:rPr>
          <w:rFonts w:cs="Arial"/>
        </w:rPr>
      </w:pPr>
      <w:r>
        <w:rPr>
          <w:rFonts w:cs="Arial"/>
        </w:rPr>
        <w:t>In the matter now before the Tribunal, t</w:t>
      </w:r>
      <w:r w:rsidR="002A7873">
        <w:rPr>
          <w:rFonts w:cs="Arial"/>
        </w:rPr>
        <w:t>he Appellant did not complain that the development charge had been incorrectly determined</w:t>
      </w:r>
      <w:r w:rsidR="001B02BD">
        <w:rPr>
          <w:rFonts w:cs="Arial"/>
        </w:rPr>
        <w:t xml:space="preserve"> and</w:t>
      </w:r>
      <w:r w:rsidR="002A7873">
        <w:rPr>
          <w:rFonts w:cs="Arial"/>
        </w:rPr>
        <w:t xml:space="preserve"> did not assert that there was any credit available to be applied to the development charge or that the application of the credit was incorrectly determined</w:t>
      </w:r>
      <w:r w:rsidR="001B02BD">
        <w:rPr>
          <w:rFonts w:cs="Arial"/>
        </w:rPr>
        <w:t>. Although the Appellant has suggested that the City should have an additional category that recognizes the form of development that has occurred on the Property</w:t>
      </w:r>
      <w:r w:rsidR="002A7873">
        <w:rPr>
          <w:rFonts w:cs="Arial"/>
        </w:rPr>
        <w:t xml:space="preserve"> </w:t>
      </w:r>
      <w:r w:rsidR="001B02BD">
        <w:rPr>
          <w:rFonts w:cs="Arial"/>
        </w:rPr>
        <w:t>with the addition of the single detached dwelling, or should simply exempt that development, the Appellant did not assert that the calculation of the development charge owing was not correctly applied in terms of the existing categories within the City DC By-laws.</w:t>
      </w:r>
    </w:p>
    <w:p w:rsidR="001B02BD" w:rsidRDefault="001B02BD" w:rsidP="007B76AB">
      <w:pPr>
        <w:pStyle w:val="DecisionBody"/>
        <w:spacing w:beforeLines="150" w:before="360" w:afterLines="150" w:after="360"/>
        <w:rPr>
          <w:rFonts w:cs="Arial"/>
        </w:rPr>
      </w:pPr>
      <w:r>
        <w:rPr>
          <w:rFonts w:cs="Arial"/>
        </w:rPr>
        <w:t>The</w:t>
      </w:r>
      <w:r w:rsidR="00050E9E">
        <w:rPr>
          <w:rFonts w:cs="Arial"/>
        </w:rPr>
        <w:t xml:space="preserve"> Tribunal finds</w:t>
      </w:r>
      <w:r w:rsidR="007169AC">
        <w:rPr>
          <w:rFonts w:cs="Arial"/>
        </w:rPr>
        <w:t xml:space="preserve"> </w:t>
      </w:r>
      <w:r w:rsidR="00050E9E">
        <w:rPr>
          <w:rFonts w:cs="Arial"/>
        </w:rPr>
        <w:t>that no complaint within the meaning of the Act was made</w:t>
      </w:r>
      <w:r w:rsidR="007169AC">
        <w:rPr>
          <w:rFonts w:cs="Arial"/>
        </w:rPr>
        <w:t xml:space="preserve"> and, pursuant to s. 24(5) of the Act, the Tribunal is of the opinion that the complaint set out in the notice of appeal is insufficient</w:t>
      </w:r>
      <w:r w:rsidR="00050E9E">
        <w:rPr>
          <w:rFonts w:cs="Arial"/>
        </w:rPr>
        <w:t>.</w:t>
      </w:r>
      <w:r w:rsidR="00F862A2">
        <w:rPr>
          <w:rFonts w:cs="Arial"/>
        </w:rPr>
        <w:t xml:space="preserve"> </w:t>
      </w:r>
      <w:r>
        <w:rPr>
          <w:rFonts w:cs="Arial"/>
        </w:rPr>
        <w:t xml:space="preserve"> </w:t>
      </w:r>
    </w:p>
    <w:p w:rsidR="00050E9E" w:rsidRDefault="00050E9E" w:rsidP="007B76AB">
      <w:pPr>
        <w:pStyle w:val="DecisionBody"/>
        <w:spacing w:beforeLines="150" w:before="360" w:afterLines="150" w:after="360"/>
        <w:rPr>
          <w:rFonts w:cs="Arial"/>
        </w:rPr>
      </w:pPr>
      <w:r>
        <w:rPr>
          <w:rFonts w:cs="Arial"/>
        </w:rPr>
        <w:t xml:space="preserve">Additionally, s. 21(1) of the Act requires that the last day for an appeal to be filed is </w:t>
      </w:r>
      <w:r w:rsidR="007169AC">
        <w:rPr>
          <w:rFonts w:cs="Arial"/>
        </w:rPr>
        <w:t xml:space="preserve">“…the day that is 40 days after the day the decision is made.” The Appellant does not dispute that the appeal was not made within this statutory time period. Rather, the Appellant suggests that the 40-day requirement was confusing and thought it meant 40 business days. </w:t>
      </w:r>
    </w:p>
    <w:p w:rsidR="007169AC" w:rsidRDefault="007169AC" w:rsidP="007B76AB">
      <w:pPr>
        <w:pStyle w:val="DecisionBody"/>
        <w:spacing w:beforeLines="150" w:before="360" w:afterLines="150" w:after="360"/>
        <w:rPr>
          <w:rFonts w:cs="Arial"/>
        </w:rPr>
      </w:pPr>
      <w:r>
        <w:rPr>
          <w:rFonts w:cs="Arial"/>
        </w:rPr>
        <w:t xml:space="preserve">The statutory requirement is clear and specific. The Tribunal has no jurisdiction in this case to alter the 40-day requirement. The appeal was filed late. </w:t>
      </w:r>
    </w:p>
    <w:p w:rsidR="007B76AB" w:rsidRPr="007B76AB" w:rsidRDefault="007B76AB" w:rsidP="00CB2504">
      <w:pPr>
        <w:pStyle w:val="DecisionBody"/>
        <w:numPr>
          <w:ilvl w:val="0"/>
          <w:numId w:val="0"/>
        </w:numPr>
        <w:spacing w:beforeLines="150" w:before="360" w:afterLines="150" w:after="360"/>
        <w:rPr>
          <w:rStyle w:val="Strong"/>
        </w:rPr>
      </w:pPr>
      <w:r>
        <w:rPr>
          <w:rStyle w:val="Strong"/>
        </w:rPr>
        <w:lastRenderedPageBreak/>
        <w:t>ORDER</w:t>
      </w:r>
    </w:p>
    <w:p w:rsidR="007B76AB" w:rsidRDefault="00B113AF" w:rsidP="007B76AB">
      <w:pPr>
        <w:pStyle w:val="DecisionBody"/>
        <w:spacing w:beforeLines="150" w:before="360" w:afterLines="150" w:after="360"/>
        <w:rPr>
          <w:rFonts w:cs="Arial"/>
        </w:rPr>
      </w:pPr>
      <w:r>
        <w:rPr>
          <w:rFonts w:cs="Arial"/>
        </w:rPr>
        <w:t>The Tribunal orders that the appeal by Andy Stone is dismissed.</w:t>
      </w:r>
    </w:p>
    <w:p w:rsidR="007B76AB" w:rsidRDefault="007B76AB" w:rsidP="007B76AB">
      <w:pPr>
        <w:pStyle w:val="Member"/>
        <w:jc w:val="right"/>
      </w:pPr>
      <w:r w:rsidRPr="004704FF">
        <w:t xml:space="preserve">“Susan de </w:t>
      </w:r>
      <w:proofErr w:type="spellStart"/>
      <w:r w:rsidRPr="004704FF">
        <w:t>Avellar</w:t>
      </w:r>
      <w:proofErr w:type="spellEnd"/>
      <w:r w:rsidRPr="004704FF">
        <w:t xml:space="preserve"> Schiller”</w:t>
      </w:r>
    </w:p>
    <w:p w:rsidR="007B76AB" w:rsidRPr="004704FF" w:rsidRDefault="007B76AB" w:rsidP="007B76AB">
      <w:pPr>
        <w:pStyle w:val="Member"/>
        <w:jc w:val="right"/>
      </w:pPr>
    </w:p>
    <w:p w:rsidR="007B76AB" w:rsidRPr="004704FF" w:rsidRDefault="007B76AB" w:rsidP="007B76AB">
      <w:pPr>
        <w:pStyle w:val="Member"/>
        <w:jc w:val="right"/>
      </w:pPr>
    </w:p>
    <w:p w:rsidR="007B76AB" w:rsidRPr="004704FF" w:rsidRDefault="007B76AB" w:rsidP="007B76AB">
      <w:pPr>
        <w:pStyle w:val="Member"/>
        <w:jc w:val="right"/>
        <w:rPr>
          <w:i w:val="0"/>
        </w:rPr>
      </w:pPr>
      <w:r w:rsidRPr="004704FF">
        <w:rPr>
          <w:i w:val="0"/>
        </w:rPr>
        <w:t>SUSAN de AVELLAR SCHILLER</w:t>
      </w:r>
    </w:p>
    <w:p w:rsidR="007B76AB" w:rsidRDefault="007B76AB" w:rsidP="007B76AB">
      <w:pPr>
        <w:pStyle w:val="Member"/>
        <w:jc w:val="right"/>
        <w:rPr>
          <w:i w:val="0"/>
        </w:rPr>
      </w:pPr>
      <w:r>
        <w:rPr>
          <w:i w:val="0"/>
        </w:rPr>
        <w:t>VICE-</w:t>
      </w:r>
      <w:r w:rsidRPr="004704FF">
        <w:rPr>
          <w:i w:val="0"/>
        </w:rPr>
        <w:t>CHAIR</w:t>
      </w: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B113AF" w:rsidRDefault="00B113AF" w:rsidP="007B76AB">
      <w:pPr>
        <w:pStyle w:val="Member"/>
        <w:jc w:val="right"/>
        <w:rPr>
          <w:i w:val="0"/>
        </w:rPr>
      </w:pPr>
    </w:p>
    <w:p w:rsidR="00EC7FA6" w:rsidRDefault="00EC7FA6" w:rsidP="007B76AB">
      <w:pPr>
        <w:pStyle w:val="Member"/>
        <w:jc w:val="right"/>
        <w:rPr>
          <w:i w:val="0"/>
        </w:rPr>
      </w:pPr>
    </w:p>
    <w:p w:rsidR="00EC7FA6" w:rsidRDefault="00EC7FA6" w:rsidP="007B76AB">
      <w:pPr>
        <w:pStyle w:val="Member"/>
        <w:jc w:val="right"/>
        <w:rPr>
          <w:i w:val="0"/>
        </w:rPr>
      </w:pPr>
    </w:p>
    <w:p w:rsidR="00EC7FA6" w:rsidRDefault="00EC7FA6" w:rsidP="007B76AB">
      <w:pPr>
        <w:pStyle w:val="Member"/>
        <w:jc w:val="right"/>
        <w:rPr>
          <w:i w:val="0"/>
        </w:rPr>
      </w:pPr>
    </w:p>
    <w:p w:rsidR="00EC7FA6" w:rsidRDefault="00EC7FA6" w:rsidP="007B76AB">
      <w:pPr>
        <w:pStyle w:val="Member"/>
        <w:jc w:val="right"/>
        <w:rPr>
          <w:i w:val="0"/>
        </w:rPr>
      </w:pPr>
    </w:p>
    <w:p w:rsidR="00CB2504" w:rsidRDefault="00CB2504" w:rsidP="007B76AB">
      <w:pPr>
        <w:pStyle w:val="Member"/>
        <w:jc w:val="right"/>
        <w:rPr>
          <w:i w:val="0"/>
        </w:rPr>
      </w:pPr>
    </w:p>
    <w:p w:rsidR="00CB2504" w:rsidRDefault="00CB2504" w:rsidP="007B76AB">
      <w:pPr>
        <w:pStyle w:val="Member"/>
        <w:jc w:val="right"/>
        <w:rPr>
          <w:i w:val="0"/>
        </w:rPr>
      </w:pPr>
    </w:p>
    <w:p w:rsidR="00CB2504" w:rsidRDefault="00CB2504" w:rsidP="007B76AB">
      <w:pPr>
        <w:pStyle w:val="Member"/>
        <w:jc w:val="right"/>
        <w:rPr>
          <w:i w:val="0"/>
        </w:rPr>
      </w:pPr>
    </w:p>
    <w:p w:rsidR="00CB2504" w:rsidRDefault="00CB2504"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rsidR="007B76AB" w:rsidRDefault="007B76AB" w:rsidP="007B76AB">
      <w:pPr>
        <w:jc w:val="center"/>
        <w:rPr>
          <w:rFonts w:ascii="Arial" w:hAnsi="Arial" w:cs="Arial"/>
          <w:lang w:eastAsia="en-CA"/>
        </w:rPr>
      </w:pPr>
      <w:proofErr w:type="gramStart"/>
      <w:r>
        <w:rPr>
          <w:rFonts w:ascii="Arial" w:hAnsi="Arial" w:cs="Arial"/>
          <w:lang w:eastAsia="en-CA"/>
        </w:rPr>
        <w:t>please</w:t>
      </w:r>
      <w:proofErr w:type="gramEnd"/>
      <w:r>
        <w:rPr>
          <w:rFonts w:ascii="Arial" w:hAnsi="Arial" w:cs="Arial"/>
          <w:lang w:eastAsia="en-CA"/>
        </w:rPr>
        <w:t xml:space="preserve"> visit www.elto.gov.on.ca to view the attachment in PDF format.</w:t>
      </w:r>
    </w:p>
    <w:p w:rsidR="007B76AB" w:rsidRDefault="007B76AB" w:rsidP="007B76AB">
      <w:pPr>
        <w:pStyle w:val="Member"/>
        <w:jc w:val="right"/>
        <w:rPr>
          <w:i w:val="0"/>
        </w:rPr>
      </w:pPr>
    </w:p>
    <w:p w:rsidR="007B76AB" w:rsidRPr="004704FF" w:rsidRDefault="007B76AB" w:rsidP="007B76AB">
      <w:pPr>
        <w:pStyle w:val="Member"/>
        <w:jc w:val="right"/>
        <w:rPr>
          <w:i w:val="0"/>
        </w:rPr>
      </w:pPr>
    </w:p>
    <w:p w:rsidR="007B76AB" w:rsidRPr="004704FF" w:rsidRDefault="00D11C1E" w:rsidP="007B76AB">
      <w:pPr>
        <w:keepLines/>
        <w:jc w:val="center"/>
        <w:rPr>
          <w:rFonts w:ascii="Arial" w:hAnsi="Arial" w:cs="Arial"/>
          <w:b/>
          <w:lang w:val="en-CA"/>
        </w:rPr>
      </w:pPr>
      <w:r>
        <w:rPr>
          <w:rFonts w:ascii="Arial" w:hAnsi="Arial" w:cs="Arial"/>
          <w:b/>
          <w:lang w:val="en-CA"/>
        </w:rPr>
        <w:t>Local Planning Appeal Tribunal</w:t>
      </w:r>
    </w:p>
    <w:p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Tribunals Ontario</w:t>
      </w:r>
      <w:r w:rsidR="00154F31">
        <w:rPr>
          <w:rFonts w:ascii="Arial" w:hAnsi="Arial" w:cs="Arial"/>
          <w:lang w:val="en-CA"/>
        </w:rPr>
        <w:t xml:space="preserve"> - </w:t>
      </w:r>
      <w:r w:rsidR="00FC5582">
        <w:rPr>
          <w:rFonts w:ascii="Arial" w:hAnsi="Arial" w:cs="Arial"/>
          <w:lang w:val="en-CA"/>
        </w:rPr>
        <w:t>Environment and Land Division</w:t>
      </w:r>
    </w:p>
    <w:p w:rsidR="007B76AB" w:rsidRPr="004704FF" w:rsidRDefault="007B76AB" w:rsidP="007B76AB">
      <w:pPr>
        <w:pStyle w:val="Footer"/>
        <w:jc w:val="center"/>
        <w:rPr>
          <w:rFonts w:ascii="Arial" w:hAnsi="Arial" w:cs="Arial"/>
          <w:lang w:val="en-CA"/>
        </w:rPr>
      </w:pPr>
      <w:r w:rsidRPr="004704FF">
        <w:rPr>
          <w:rFonts w:ascii="Arial" w:hAnsi="Arial" w:cs="Arial"/>
          <w:lang w:val="en-CA"/>
        </w:rPr>
        <w:t xml:space="preserve">Website: </w:t>
      </w:r>
      <w:proofErr w:type="gramStart"/>
      <w:r w:rsidRPr="004704FF">
        <w:rPr>
          <w:rFonts w:ascii="Arial" w:hAnsi="Arial" w:cs="Arial"/>
          <w:lang w:val="en-CA"/>
        </w:rPr>
        <w:t>www.elto.gov.on.ca  Telephone</w:t>
      </w:r>
      <w:proofErr w:type="gramEnd"/>
      <w:r w:rsidRPr="004704FF">
        <w:rPr>
          <w:rFonts w:ascii="Arial" w:hAnsi="Arial" w:cs="Arial"/>
          <w:lang w:val="en-CA"/>
        </w:rPr>
        <w:t>: 416-212-6349  Toll Free: 1-866-448-2248</w:t>
      </w:r>
      <w:bookmarkEnd w:id="1"/>
    </w:p>
    <w:sectPr w:rsidR="007B76AB" w:rsidRPr="004704F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97" w:rsidRDefault="00934497">
      <w:r>
        <w:separator/>
      </w:r>
    </w:p>
  </w:endnote>
  <w:endnote w:type="continuationSeparator" w:id="0">
    <w:p w:rsidR="00934497" w:rsidRDefault="0093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97" w:rsidRDefault="00934497">
      <w:r>
        <w:separator/>
      </w:r>
    </w:p>
  </w:footnote>
  <w:footnote w:type="continuationSeparator" w:id="0">
    <w:p w:rsidR="00934497" w:rsidRDefault="0093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054CC6">
      <w:rPr>
        <w:rFonts w:ascii="Arial" w:hAnsi="Arial" w:cs="Arial"/>
        <w:noProof/>
      </w:rPr>
      <w:t>6</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00282FA9">
      <w:rPr>
        <w:rFonts w:ascii="Arial" w:hAnsi="Arial" w:cs="Arial"/>
        <w:noProof/>
      </w:rPr>
      <w:t>DC180010</w:t>
    </w:r>
  </w:p>
  <w:p w:rsidR="00EC7FA6" w:rsidRDefault="00EC7FA6"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7"/>
  </w:num>
  <w:num w:numId="5">
    <w:abstractNumId w:val="19"/>
  </w:num>
  <w:num w:numId="6">
    <w:abstractNumId w:val="4"/>
  </w:num>
  <w:num w:numId="7">
    <w:abstractNumId w:val="1"/>
  </w:num>
  <w:num w:numId="8">
    <w:abstractNumId w:val="16"/>
  </w:num>
  <w:num w:numId="9">
    <w:abstractNumId w:val="10"/>
  </w:num>
  <w:num w:numId="10">
    <w:abstractNumId w:val="9"/>
  </w:num>
  <w:num w:numId="11">
    <w:abstractNumId w:val="14"/>
  </w:num>
  <w:num w:numId="12">
    <w:abstractNumId w:val="18"/>
  </w:num>
  <w:num w:numId="13">
    <w:abstractNumId w:val="3"/>
  </w:num>
  <w:num w:numId="14">
    <w:abstractNumId w:val="11"/>
  </w:num>
  <w:num w:numId="15">
    <w:abstractNumId w:val="15"/>
  </w:num>
  <w:num w:numId="16">
    <w:abstractNumId w:val="13"/>
  </w:num>
  <w:num w:numId="17">
    <w:abstractNumId w:val="6"/>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0B2C"/>
    <w:rsid w:val="0001398A"/>
    <w:rsid w:val="000169B4"/>
    <w:rsid w:val="000170F3"/>
    <w:rsid w:val="000173C0"/>
    <w:rsid w:val="00017DFC"/>
    <w:rsid w:val="00031C6E"/>
    <w:rsid w:val="0003783B"/>
    <w:rsid w:val="000424A6"/>
    <w:rsid w:val="00050E9E"/>
    <w:rsid w:val="00054A9F"/>
    <w:rsid w:val="00054CC6"/>
    <w:rsid w:val="00056CFD"/>
    <w:rsid w:val="00057B18"/>
    <w:rsid w:val="00075342"/>
    <w:rsid w:val="00076196"/>
    <w:rsid w:val="0008105B"/>
    <w:rsid w:val="00081B93"/>
    <w:rsid w:val="000923E6"/>
    <w:rsid w:val="0009757E"/>
    <w:rsid w:val="000B4BFB"/>
    <w:rsid w:val="000C21BB"/>
    <w:rsid w:val="000C480C"/>
    <w:rsid w:val="000C7608"/>
    <w:rsid w:val="000D6F9D"/>
    <w:rsid w:val="000D7BBD"/>
    <w:rsid w:val="00137797"/>
    <w:rsid w:val="00154F31"/>
    <w:rsid w:val="001551CC"/>
    <w:rsid w:val="001562BE"/>
    <w:rsid w:val="001634FB"/>
    <w:rsid w:val="001656BC"/>
    <w:rsid w:val="001702F3"/>
    <w:rsid w:val="00172CE7"/>
    <w:rsid w:val="001765FB"/>
    <w:rsid w:val="00182765"/>
    <w:rsid w:val="00183497"/>
    <w:rsid w:val="00190DF3"/>
    <w:rsid w:val="001A0829"/>
    <w:rsid w:val="001A3C06"/>
    <w:rsid w:val="001A76EB"/>
    <w:rsid w:val="001B02BD"/>
    <w:rsid w:val="001B5CE4"/>
    <w:rsid w:val="001D6F93"/>
    <w:rsid w:val="001F179F"/>
    <w:rsid w:val="0020298E"/>
    <w:rsid w:val="00204A56"/>
    <w:rsid w:val="00205167"/>
    <w:rsid w:val="0021608D"/>
    <w:rsid w:val="00220639"/>
    <w:rsid w:val="0022133C"/>
    <w:rsid w:val="00225203"/>
    <w:rsid w:val="00226115"/>
    <w:rsid w:val="00231D6E"/>
    <w:rsid w:val="002346B3"/>
    <w:rsid w:val="00235621"/>
    <w:rsid w:val="002419BB"/>
    <w:rsid w:val="002433A2"/>
    <w:rsid w:val="002446DE"/>
    <w:rsid w:val="00246A65"/>
    <w:rsid w:val="0026320F"/>
    <w:rsid w:val="002705CE"/>
    <w:rsid w:val="00277F40"/>
    <w:rsid w:val="00282FA9"/>
    <w:rsid w:val="00283370"/>
    <w:rsid w:val="00293E85"/>
    <w:rsid w:val="002959D2"/>
    <w:rsid w:val="002A7873"/>
    <w:rsid w:val="002B47E9"/>
    <w:rsid w:val="002C00E1"/>
    <w:rsid w:val="002D0A30"/>
    <w:rsid w:val="002D2254"/>
    <w:rsid w:val="002D38E7"/>
    <w:rsid w:val="002E7C9F"/>
    <w:rsid w:val="002F73E5"/>
    <w:rsid w:val="003011F4"/>
    <w:rsid w:val="003051EA"/>
    <w:rsid w:val="00305578"/>
    <w:rsid w:val="00307DEE"/>
    <w:rsid w:val="00316394"/>
    <w:rsid w:val="00322161"/>
    <w:rsid w:val="00324440"/>
    <w:rsid w:val="00340879"/>
    <w:rsid w:val="00345480"/>
    <w:rsid w:val="003506EA"/>
    <w:rsid w:val="00350E1B"/>
    <w:rsid w:val="003620BF"/>
    <w:rsid w:val="00367CB0"/>
    <w:rsid w:val="00375BC0"/>
    <w:rsid w:val="00375F31"/>
    <w:rsid w:val="0038484F"/>
    <w:rsid w:val="003916D5"/>
    <w:rsid w:val="003918DD"/>
    <w:rsid w:val="00391DD7"/>
    <w:rsid w:val="00397A2C"/>
    <w:rsid w:val="003B236D"/>
    <w:rsid w:val="003B298B"/>
    <w:rsid w:val="003B7CE2"/>
    <w:rsid w:val="003C2E86"/>
    <w:rsid w:val="003D3375"/>
    <w:rsid w:val="003E4585"/>
    <w:rsid w:val="003F266C"/>
    <w:rsid w:val="00401F7B"/>
    <w:rsid w:val="00403715"/>
    <w:rsid w:val="00420FFD"/>
    <w:rsid w:val="004233D2"/>
    <w:rsid w:val="00441A9B"/>
    <w:rsid w:val="004507E6"/>
    <w:rsid w:val="00452228"/>
    <w:rsid w:val="004568CC"/>
    <w:rsid w:val="004662FE"/>
    <w:rsid w:val="004A4461"/>
    <w:rsid w:val="004C06AB"/>
    <w:rsid w:val="004C5ADC"/>
    <w:rsid w:val="004C7CC1"/>
    <w:rsid w:val="004E03A4"/>
    <w:rsid w:val="004E4C91"/>
    <w:rsid w:val="004E4CD6"/>
    <w:rsid w:val="004E7FC6"/>
    <w:rsid w:val="004F13B0"/>
    <w:rsid w:val="00505DF1"/>
    <w:rsid w:val="00512B01"/>
    <w:rsid w:val="00513CCD"/>
    <w:rsid w:val="005176E6"/>
    <w:rsid w:val="00526987"/>
    <w:rsid w:val="00530A9E"/>
    <w:rsid w:val="005425ED"/>
    <w:rsid w:val="0055024F"/>
    <w:rsid w:val="00567365"/>
    <w:rsid w:val="00581834"/>
    <w:rsid w:val="00581FFB"/>
    <w:rsid w:val="005832B8"/>
    <w:rsid w:val="005839FE"/>
    <w:rsid w:val="00585632"/>
    <w:rsid w:val="0058684A"/>
    <w:rsid w:val="005A6B29"/>
    <w:rsid w:val="005A767F"/>
    <w:rsid w:val="005B0EFC"/>
    <w:rsid w:val="005B5DDE"/>
    <w:rsid w:val="005C7251"/>
    <w:rsid w:val="005D0D8D"/>
    <w:rsid w:val="005D1ED7"/>
    <w:rsid w:val="005E51AF"/>
    <w:rsid w:val="005F182A"/>
    <w:rsid w:val="005F7A16"/>
    <w:rsid w:val="005F7E8E"/>
    <w:rsid w:val="006002DC"/>
    <w:rsid w:val="00602833"/>
    <w:rsid w:val="0060505C"/>
    <w:rsid w:val="00614648"/>
    <w:rsid w:val="00616822"/>
    <w:rsid w:val="006405C4"/>
    <w:rsid w:val="006419E7"/>
    <w:rsid w:val="00641AD3"/>
    <w:rsid w:val="00647ECC"/>
    <w:rsid w:val="006510E9"/>
    <w:rsid w:val="00653B50"/>
    <w:rsid w:val="00655F95"/>
    <w:rsid w:val="00656CC7"/>
    <w:rsid w:val="0066296A"/>
    <w:rsid w:val="00663C56"/>
    <w:rsid w:val="00665DAE"/>
    <w:rsid w:val="006664C3"/>
    <w:rsid w:val="00673E95"/>
    <w:rsid w:val="00677294"/>
    <w:rsid w:val="006A119C"/>
    <w:rsid w:val="006A19B7"/>
    <w:rsid w:val="006F214C"/>
    <w:rsid w:val="006F2DF2"/>
    <w:rsid w:val="006F5589"/>
    <w:rsid w:val="007057F0"/>
    <w:rsid w:val="00706196"/>
    <w:rsid w:val="00707B3B"/>
    <w:rsid w:val="00715DD1"/>
    <w:rsid w:val="00716030"/>
    <w:rsid w:val="007169AC"/>
    <w:rsid w:val="0076119A"/>
    <w:rsid w:val="00765C2D"/>
    <w:rsid w:val="00793170"/>
    <w:rsid w:val="00795D66"/>
    <w:rsid w:val="007A1709"/>
    <w:rsid w:val="007A2C3D"/>
    <w:rsid w:val="007B1C33"/>
    <w:rsid w:val="007B76AB"/>
    <w:rsid w:val="007C08BD"/>
    <w:rsid w:val="007D1670"/>
    <w:rsid w:val="007E0C30"/>
    <w:rsid w:val="007F7583"/>
    <w:rsid w:val="008046EB"/>
    <w:rsid w:val="0080724D"/>
    <w:rsid w:val="008173CF"/>
    <w:rsid w:val="00823753"/>
    <w:rsid w:val="008316DB"/>
    <w:rsid w:val="0083211C"/>
    <w:rsid w:val="00833DC0"/>
    <w:rsid w:val="00835A80"/>
    <w:rsid w:val="00865727"/>
    <w:rsid w:val="00866681"/>
    <w:rsid w:val="0089782A"/>
    <w:rsid w:val="008A0CAE"/>
    <w:rsid w:val="008A1A0C"/>
    <w:rsid w:val="008A3586"/>
    <w:rsid w:val="008B3208"/>
    <w:rsid w:val="008B3EB4"/>
    <w:rsid w:val="008B667D"/>
    <w:rsid w:val="008C09C4"/>
    <w:rsid w:val="008C7470"/>
    <w:rsid w:val="008D3B01"/>
    <w:rsid w:val="008D5ED4"/>
    <w:rsid w:val="008E147D"/>
    <w:rsid w:val="008E5B11"/>
    <w:rsid w:val="00900C5B"/>
    <w:rsid w:val="0092090D"/>
    <w:rsid w:val="00930FD3"/>
    <w:rsid w:val="009333AA"/>
    <w:rsid w:val="00934497"/>
    <w:rsid w:val="00935ABA"/>
    <w:rsid w:val="00945F40"/>
    <w:rsid w:val="00947A9A"/>
    <w:rsid w:val="00951EE2"/>
    <w:rsid w:val="0096422B"/>
    <w:rsid w:val="009650D8"/>
    <w:rsid w:val="009748FB"/>
    <w:rsid w:val="00976AA8"/>
    <w:rsid w:val="00981E7A"/>
    <w:rsid w:val="00990F55"/>
    <w:rsid w:val="009936CF"/>
    <w:rsid w:val="009A31C9"/>
    <w:rsid w:val="009A34A1"/>
    <w:rsid w:val="009A6A2E"/>
    <w:rsid w:val="009A6D63"/>
    <w:rsid w:val="009A73F6"/>
    <w:rsid w:val="009C4D62"/>
    <w:rsid w:val="009D0B82"/>
    <w:rsid w:val="009D5078"/>
    <w:rsid w:val="009E0DF7"/>
    <w:rsid w:val="009E202F"/>
    <w:rsid w:val="009E6983"/>
    <w:rsid w:val="009F3047"/>
    <w:rsid w:val="009F4A6B"/>
    <w:rsid w:val="00A07D8A"/>
    <w:rsid w:val="00A13AC4"/>
    <w:rsid w:val="00A20E8C"/>
    <w:rsid w:val="00A3449E"/>
    <w:rsid w:val="00A448AF"/>
    <w:rsid w:val="00A452B0"/>
    <w:rsid w:val="00A45D63"/>
    <w:rsid w:val="00A47406"/>
    <w:rsid w:val="00A53EAA"/>
    <w:rsid w:val="00A5482E"/>
    <w:rsid w:val="00A550FC"/>
    <w:rsid w:val="00A70E2F"/>
    <w:rsid w:val="00A81716"/>
    <w:rsid w:val="00A86E97"/>
    <w:rsid w:val="00A955CF"/>
    <w:rsid w:val="00AA1090"/>
    <w:rsid w:val="00AA6E2C"/>
    <w:rsid w:val="00AB07FC"/>
    <w:rsid w:val="00AB7E2E"/>
    <w:rsid w:val="00AD29BF"/>
    <w:rsid w:val="00AD5E6E"/>
    <w:rsid w:val="00AE075F"/>
    <w:rsid w:val="00AE1098"/>
    <w:rsid w:val="00AE6366"/>
    <w:rsid w:val="00B05425"/>
    <w:rsid w:val="00B113AF"/>
    <w:rsid w:val="00B157E1"/>
    <w:rsid w:val="00B16A05"/>
    <w:rsid w:val="00B225A1"/>
    <w:rsid w:val="00B25ACB"/>
    <w:rsid w:val="00B25ECF"/>
    <w:rsid w:val="00B35686"/>
    <w:rsid w:val="00B51EBA"/>
    <w:rsid w:val="00B5261C"/>
    <w:rsid w:val="00B5585B"/>
    <w:rsid w:val="00B62606"/>
    <w:rsid w:val="00B6431E"/>
    <w:rsid w:val="00B67AB9"/>
    <w:rsid w:val="00B702CE"/>
    <w:rsid w:val="00B721A7"/>
    <w:rsid w:val="00B73739"/>
    <w:rsid w:val="00B77B07"/>
    <w:rsid w:val="00B818DE"/>
    <w:rsid w:val="00B90E8A"/>
    <w:rsid w:val="00B92BA3"/>
    <w:rsid w:val="00BA5F87"/>
    <w:rsid w:val="00BB1683"/>
    <w:rsid w:val="00BC66D9"/>
    <w:rsid w:val="00BE0FA0"/>
    <w:rsid w:val="00BF497A"/>
    <w:rsid w:val="00BF7426"/>
    <w:rsid w:val="00C02B28"/>
    <w:rsid w:val="00C64645"/>
    <w:rsid w:val="00C83BD6"/>
    <w:rsid w:val="00C92977"/>
    <w:rsid w:val="00C97D6F"/>
    <w:rsid w:val="00CB2504"/>
    <w:rsid w:val="00CC269B"/>
    <w:rsid w:val="00CC29F3"/>
    <w:rsid w:val="00CC5C59"/>
    <w:rsid w:val="00CD02D3"/>
    <w:rsid w:val="00CD235D"/>
    <w:rsid w:val="00CD5591"/>
    <w:rsid w:val="00CE10CC"/>
    <w:rsid w:val="00CE28B6"/>
    <w:rsid w:val="00CE6268"/>
    <w:rsid w:val="00CF3536"/>
    <w:rsid w:val="00CF3F96"/>
    <w:rsid w:val="00CF4C37"/>
    <w:rsid w:val="00CF55CF"/>
    <w:rsid w:val="00D008AB"/>
    <w:rsid w:val="00D00968"/>
    <w:rsid w:val="00D11C1E"/>
    <w:rsid w:val="00D212D6"/>
    <w:rsid w:val="00D30F49"/>
    <w:rsid w:val="00D42D9F"/>
    <w:rsid w:val="00D66856"/>
    <w:rsid w:val="00D725C0"/>
    <w:rsid w:val="00D76186"/>
    <w:rsid w:val="00D76968"/>
    <w:rsid w:val="00D83C03"/>
    <w:rsid w:val="00D8571F"/>
    <w:rsid w:val="00D90F52"/>
    <w:rsid w:val="00D91064"/>
    <w:rsid w:val="00DB023D"/>
    <w:rsid w:val="00DB16DE"/>
    <w:rsid w:val="00DB1E88"/>
    <w:rsid w:val="00DB49FE"/>
    <w:rsid w:val="00DB73D9"/>
    <w:rsid w:val="00DC600C"/>
    <w:rsid w:val="00DD35F5"/>
    <w:rsid w:val="00DD4CB4"/>
    <w:rsid w:val="00DD6665"/>
    <w:rsid w:val="00DE62BC"/>
    <w:rsid w:val="00DF75FB"/>
    <w:rsid w:val="00E11D71"/>
    <w:rsid w:val="00E12DE7"/>
    <w:rsid w:val="00E15446"/>
    <w:rsid w:val="00E20EBB"/>
    <w:rsid w:val="00E40778"/>
    <w:rsid w:val="00E4148F"/>
    <w:rsid w:val="00E45C87"/>
    <w:rsid w:val="00E5336E"/>
    <w:rsid w:val="00E65759"/>
    <w:rsid w:val="00E73226"/>
    <w:rsid w:val="00E75833"/>
    <w:rsid w:val="00E87A9B"/>
    <w:rsid w:val="00E92B74"/>
    <w:rsid w:val="00EA171E"/>
    <w:rsid w:val="00EA5C31"/>
    <w:rsid w:val="00EA73B7"/>
    <w:rsid w:val="00EB3E73"/>
    <w:rsid w:val="00EC1739"/>
    <w:rsid w:val="00EC181A"/>
    <w:rsid w:val="00EC7FA6"/>
    <w:rsid w:val="00ED2911"/>
    <w:rsid w:val="00EE03CA"/>
    <w:rsid w:val="00EE4096"/>
    <w:rsid w:val="00EE4BA3"/>
    <w:rsid w:val="00EF7452"/>
    <w:rsid w:val="00F20B8D"/>
    <w:rsid w:val="00F25D24"/>
    <w:rsid w:val="00F376E5"/>
    <w:rsid w:val="00F404B1"/>
    <w:rsid w:val="00F408C2"/>
    <w:rsid w:val="00F548C9"/>
    <w:rsid w:val="00F76E36"/>
    <w:rsid w:val="00F862A2"/>
    <w:rsid w:val="00F90029"/>
    <w:rsid w:val="00F9597B"/>
    <w:rsid w:val="00FA016B"/>
    <w:rsid w:val="00FC170A"/>
    <w:rsid w:val="00FC43D0"/>
    <w:rsid w:val="00FC5582"/>
    <w:rsid w:val="00FD10D9"/>
    <w:rsid w:val="00FD4182"/>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 w:type="character" w:styleId="CommentReference">
    <w:name w:val="annotation reference"/>
    <w:basedOn w:val="DefaultParagraphFont"/>
    <w:rsid w:val="00154F31"/>
    <w:rPr>
      <w:sz w:val="16"/>
      <w:szCs w:val="16"/>
    </w:rPr>
  </w:style>
  <w:style w:type="paragraph" w:styleId="CommentText">
    <w:name w:val="annotation text"/>
    <w:basedOn w:val="Normal"/>
    <w:link w:val="CommentTextChar"/>
    <w:rsid w:val="00154F31"/>
    <w:rPr>
      <w:sz w:val="20"/>
      <w:szCs w:val="20"/>
    </w:rPr>
  </w:style>
  <w:style w:type="character" w:customStyle="1" w:styleId="CommentTextChar">
    <w:name w:val="Comment Text Char"/>
    <w:basedOn w:val="DefaultParagraphFont"/>
    <w:link w:val="CommentText"/>
    <w:rsid w:val="00154F31"/>
    <w:rPr>
      <w:lang w:val="en-US" w:eastAsia="en-US"/>
    </w:rPr>
  </w:style>
  <w:style w:type="paragraph" w:styleId="CommentSubject">
    <w:name w:val="annotation subject"/>
    <w:basedOn w:val="CommentText"/>
    <w:next w:val="CommentText"/>
    <w:link w:val="CommentSubjectChar"/>
    <w:rsid w:val="00154F31"/>
    <w:rPr>
      <w:b/>
      <w:bCs/>
    </w:rPr>
  </w:style>
  <w:style w:type="character" w:customStyle="1" w:styleId="CommentSubjectChar">
    <w:name w:val="Comment Subject Char"/>
    <w:basedOn w:val="CommentTextChar"/>
    <w:link w:val="CommentSubject"/>
    <w:rsid w:val="00154F3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 w:type="character" w:styleId="CommentReference">
    <w:name w:val="annotation reference"/>
    <w:basedOn w:val="DefaultParagraphFont"/>
    <w:rsid w:val="00154F31"/>
    <w:rPr>
      <w:sz w:val="16"/>
      <w:szCs w:val="16"/>
    </w:rPr>
  </w:style>
  <w:style w:type="paragraph" w:styleId="CommentText">
    <w:name w:val="annotation text"/>
    <w:basedOn w:val="Normal"/>
    <w:link w:val="CommentTextChar"/>
    <w:rsid w:val="00154F31"/>
    <w:rPr>
      <w:sz w:val="20"/>
      <w:szCs w:val="20"/>
    </w:rPr>
  </w:style>
  <w:style w:type="character" w:customStyle="1" w:styleId="CommentTextChar">
    <w:name w:val="Comment Text Char"/>
    <w:basedOn w:val="DefaultParagraphFont"/>
    <w:link w:val="CommentText"/>
    <w:rsid w:val="00154F31"/>
    <w:rPr>
      <w:lang w:val="en-US" w:eastAsia="en-US"/>
    </w:rPr>
  </w:style>
  <w:style w:type="paragraph" w:styleId="CommentSubject">
    <w:name w:val="annotation subject"/>
    <w:basedOn w:val="CommentText"/>
    <w:next w:val="CommentText"/>
    <w:link w:val="CommentSubjectChar"/>
    <w:rsid w:val="00154F31"/>
    <w:rPr>
      <w:b/>
      <w:bCs/>
    </w:rPr>
  </w:style>
  <w:style w:type="character" w:customStyle="1" w:styleId="CommentSubjectChar">
    <w:name w:val="Comment Subject Char"/>
    <w:basedOn w:val="CommentTextChar"/>
    <w:link w:val="CommentSubject"/>
    <w:rsid w:val="00154F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799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2019-02-28T19:02:00Z</cp:lastPrinted>
  <dcterms:created xsi:type="dcterms:W3CDTF">2019-02-28T19:02:00Z</dcterms:created>
  <dcterms:modified xsi:type="dcterms:W3CDTF">2019-02-28T19:03:00Z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Susan.Schiller@ontario.ca</vt:lpwstr>
  </property>
  <property fmtid="{D5CDD505-2E9C-101B-9397-08002B2CF9AE}" pid="5" name="MSIP_Label_034a106e-6316-442c-ad35-738afd673d2b_SetDate">
    <vt:lpwstr>2018-12-28T16:25:37.5792416Z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