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D419B6">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0E8A406B" wp14:editId="68D609C2">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D419B6">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D419B6">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D419B6">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316AB1" w:rsidP="002159B4">
            <w:pPr>
              <w:rPr>
                <w:rFonts w:ascii="Arial" w:hAnsi="Arial" w:cs="Arial"/>
              </w:rPr>
            </w:pPr>
            <w:r>
              <w:rPr>
                <w:rFonts w:ascii="Arial" w:hAnsi="Arial" w:cs="Arial"/>
              </w:rPr>
              <w:t>October 26, 2018</w:t>
            </w:r>
            <w:bookmarkStart w:id="1" w:name="_GoBack"/>
            <w:bookmarkEnd w:id="1"/>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773AAF" w:rsidP="00280925">
            <w:pPr>
              <w:jc w:val="right"/>
              <w:rPr>
                <w:rFonts w:ascii="Arial" w:hAnsi="Arial" w:cs="Arial"/>
              </w:rPr>
            </w:pPr>
            <w:r>
              <w:rPr>
                <w:rFonts w:ascii="Arial" w:hAnsi="Arial" w:cs="Arial"/>
              </w:rPr>
              <w:t>MM160020</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D419B6">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270AAE">
      <w:pPr>
        <w:rPr>
          <w:rFonts w:ascii="Arial" w:hAnsi="Arial" w:cs="Arial"/>
          <w:highlight w:val="yellow"/>
        </w:rPr>
      </w:pPr>
    </w:p>
    <w:tbl>
      <w:tblPr>
        <w:tblW w:w="9558" w:type="dxa"/>
        <w:tblLook w:val="00A0" w:firstRow="1" w:lastRow="0" w:firstColumn="1" w:lastColumn="0" w:noHBand="0" w:noVBand="0"/>
      </w:tblPr>
      <w:tblGrid>
        <w:gridCol w:w="4338"/>
        <w:gridCol w:w="5220"/>
      </w:tblGrid>
      <w:tr w:rsidR="00D419B6" w:rsidTr="00D419B6">
        <w:tc>
          <w:tcPr>
            <w:tcW w:w="9558" w:type="dxa"/>
            <w:gridSpan w:val="2"/>
          </w:tcPr>
          <w:p w:rsidR="00D419B6" w:rsidRDefault="00D419B6">
            <w:pPr>
              <w:rPr>
                <w:rFonts w:ascii="Arial" w:hAnsi="Arial" w:cs="Arial"/>
              </w:rPr>
            </w:pPr>
            <w:r>
              <w:rPr>
                <w:rFonts w:ascii="Arial" w:hAnsi="Arial" w:cs="Arial"/>
                <w:b/>
              </w:rPr>
              <w:t xml:space="preserve">PROCEEDING COMMENCED UNDER </w:t>
            </w:r>
            <w:r>
              <w:rPr>
                <w:rFonts w:ascii="Arial" w:hAnsi="Arial" w:cs="Arial"/>
              </w:rPr>
              <w:t xml:space="preserve">subsection 41(4) of the </w:t>
            </w:r>
            <w:r>
              <w:rPr>
                <w:rFonts w:ascii="Arial" w:hAnsi="Arial" w:cs="Arial"/>
                <w:i/>
                <w:iCs/>
              </w:rPr>
              <w:t>Ontario Heritage Act</w:t>
            </w:r>
            <w:r>
              <w:rPr>
                <w:rFonts w:ascii="Arial" w:hAnsi="Arial" w:cs="Arial"/>
              </w:rPr>
              <w:t>, R.S.O. 1990, c. O. 18, as amended</w:t>
            </w:r>
          </w:p>
          <w:p w:rsidR="00D419B6" w:rsidRDefault="00D419B6">
            <w:pPr>
              <w:rPr>
                <w:rFonts w:ascii="Arial" w:hAnsi="Arial" w:cs="Arial"/>
              </w:rPr>
            </w:pP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1623037 Ontario Limited</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Allied Properties REIT</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Church-Lombard Developments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proofErr w:type="spellStart"/>
            <w:r>
              <w:rPr>
                <w:rFonts w:ascii="Arial" w:hAnsi="Arial" w:cs="Arial"/>
              </w:rPr>
              <w:t>Citipark</w:t>
            </w:r>
            <w:proofErr w:type="spellEnd"/>
            <w:r>
              <w:rPr>
                <w:rFonts w:ascii="Arial" w:hAnsi="Arial" w:cs="Arial"/>
              </w:rPr>
              <w:t xml:space="preserve">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Emerald Valley Developments Inc. Et Al</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First Gulf King Street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First Gulf Ontario Street Corporation</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Great West Life Realty Advisors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proofErr w:type="spellStart"/>
            <w:r>
              <w:rPr>
                <w:rFonts w:ascii="Arial" w:hAnsi="Arial" w:cs="Arial"/>
              </w:rPr>
              <w:t>Larco</w:t>
            </w:r>
            <w:proofErr w:type="spellEnd"/>
            <w:r>
              <w:rPr>
                <w:rFonts w:ascii="Arial" w:hAnsi="Arial" w:cs="Arial"/>
              </w:rPr>
              <w:t xml:space="preserve"> Investments Ltd.</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Market Street Block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MTCC 1177 (Imperial Lofts)</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Northam Realty Advisors Ltd</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proofErr w:type="spellStart"/>
            <w:r>
              <w:rPr>
                <w:rFonts w:ascii="Arial" w:hAnsi="Arial" w:cs="Arial"/>
              </w:rPr>
              <w:t>NorthWest</w:t>
            </w:r>
            <w:proofErr w:type="spellEnd"/>
            <w:r>
              <w:rPr>
                <w:rFonts w:ascii="Arial" w:hAnsi="Arial" w:cs="Arial"/>
              </w:rPr>
              <w:t xml:space="preserve"> Value Partners Inc.</w:t>
            </w:r>
          </w:p>
        </w:tc>
      </w:tr>
      <w:tr w:rsidR="00D419B6" w:rsidTr="00D419B6">
        <w:tc>
          <w:tcPr>
            <w:tcW w:w="4338" w:type="dxa"/>
            <w:hideMark/>
          </w:tcPr>
          <w:p w:rsidR="00D419B6" w:rsidRDefault="00D419B6">
            <w:pPr>
              <w:rPr>
                <w:rFonts w:ascii="Arial" w:hAnsi="Arial" w:cs="Arial"/>
              </w:rPr>
            </w:pPr>
            <w:r>
              <w:rPr>
                <w:rFonts w:ascii="Arial" w:hAnsi="Arial" w:cs="Arial"/>
              </w:rPr>
              <w:t>Appellant:</w:t>
            </w:r>
          </w:p>
        </w:tc>
        <w:tc>
          <w:tcPr>
            <w:tcW w:w="5220" w:type="dxa"/>
            <w:hideMark/>
          </w:tcPr>
          <w:p w:rsidR="00D419B6" w:rsidRDefault="00D419B6">
            <w:pPr>
              <w:rPr>
                <w:rFonts w:ascii="Arial" w:hAnsi="Arial" w:cs="Arial"/>
              </w:rPr>
            </w:pPr>
            <w:r>
              <w:rPr>
                <w:rFonts w:ascii="Arial" w:hAnsi="Arial" w:cs="Arial"/>
              </w:rPr>
              <w:t>Premium Properties Limited</w:t>
            </w:r>
          </w:p>
        </w:tc>
      </w:tr>
      <w:tr w:rsidR="00D419B6" w:rsidTr="00D419B6">
        <w:tc>
          <w:tcPr>
            <w:tcW w:w="4338" w:type="dxa"/>
            <w:hideMark/>
          </w:tcPr>
          <w:p w:rsidR="00D419B6" w:rsidRDefault="00D419B6">
            <w:pPr>
              <w:rPr>
                <w:rFonts w:ascii="Arial" w:hAnsi="Arial" w:cs="Arial"/>
              </w:rPr>
            </w:pPr>
            <w:r>
              <w:rPr>
                <w:rFonts w:ascii="Arial" w:hAnsi="Arial" w:cs="Arial"/>
              </w:rPr>
              <w:t>Subject:</w:t>
            </w:r>
          </w:p>
        </w:tc>
        <w:tc>
          <w:tcPr>
            <w:tcW w:w="5220" w:type="dxa"/>
            <w:hideMark/>
          </w:tcPr>
          <w:p w:rsidR="00D419B6" w:rsidRDefault="00D419B6">
            <w:pPr>
              <w:rPr>
                <w:rFonts w:ascii="Arial" w:hAnsi="Arial" w:cs="Arial"/>
              </w:rPr>
            </w:pPr>
            <w:r>
              <w:rPr>
                <w:rFonts w:ascii="Arial" w:hAnsi="Arial" w:cs="Arial"/>
              </w:rPr>
              <w:t xml:space="preserve">By-law 1328- 2015 (St. Lawrence </w:t>
            </w:r>
            <w:proofErr w:type="spellStart"/>
            <w:r>
              <w:rPr>
                <w:rFonts w:ascii="Arial" w:hAnsi="Arial" w:cs="Arial"/>
              </w:rPr>
              <w:t>Neighbourhood</w:t>
            </w:r>
            <w:proofErr w:type="spellEnd"/>
            <w:r>
              <w:rPr>
                <w:rFonts w:ascii="Arial" w:hAnsi="Arial" w:cs="Arial"/>
              </w:rPr>
              <w:t xml:space="preserve"> Heritage Conservation District)</w:t>
            </w:r>
          </w:p>
        </w:tc>
      </w:tr>
      <w:tr w:rsidR="00D419B6" w:rsidTr="00D419B6">
        <w:tc>
          <w:tcPr>
            <w:tcW w:w="4338" w:type="dxa"/>
            <w:hideMark/>
          </w:tcPr>
          <w:p w:rsidR="00D419B6" w:rsidRDefault="00D419B6">
            <w:pPr>
              <w:rPr>
                <w:rFonts w:ascii="Arial" w:hAnsi="Arial" w:cs="Arial"/>
              </w:rPr>
            </w:pPr>
            <w:r>
              <w:rPr>
                <w:rFonts w:ascii="Arial" w:hAnsi="Arial" w:cs="Arial"/>
              </w:rPr>
              <w:t>Municipality:</w:t>
            </w:r>
          </w:p>
        </w:tc>
        <w:tc>
          <w:tcPr>
            <w:tcW w:w="5220" w:type="dxa"/>
            <w:hideMark/>
          </w:tcPr>
          <w:p w:rsidR="00D419B6" w:rsidRDefault="00D419B6">
            <w:pPr>
              <w:rPr>
                <w:rFonts w:ascii="Arial" w:hAnsi="Arial" w:cs="Arial"/>
              </w:rPr>
            </w:pPr>
            <w:r>
              <w:rPr>
                <w:rFonts w:ascii="Arial" w:hAnsi="Arial" w:cs="Arial"/>
              </w:rPr>
              <w:t>City of Toronto</w:t>
            </w:r>
          </w:p>
        </w:tc>
      </w:tr>
      <w:tr w:rsidR="00D419B6" w:rsidTr="00D419B6">
        <w:tc>
          <w:tcPr>
            <w:tcW w:w="4338" w:type="dxa"/>
            <w:hideMark/>
          </w:tcPr>
          <w:p w:rsidR="00D419B6" w:rsidRDefault="00D419B6">
            <w:pPr>
              <w:rPr>
                <w:rFonts w:ascii="Arial" w:hAnsi="Arial" w:cs="Arial"/>
              </w:rPr>
            </w:pPr>
            <w:r>
              <w:rPr>
                <w:rFonts w:ascii="Arial" w:hAnsi="Arial" w:cs="Arial"/>
              </w:rPr>
              <w:t>OMB Case No.:</w:t>
            </w:r>
          </w:p>
        </w:tc>
        <w:tc>
          <w:tcPr>
            <w:tcW w:w="5220" w:type="dxa"/>
            <w:hideMark/>
          </w:tcPr>
          <w:p w:rsidR="00D419B6" w:rsidRDefault="00D419B6">
            <w:pPr>
              <w:rPr>
                <w:rFonts w:ascii="Arial" w:hAnsi="Arial" w:cs="Arial"/>
              </w:rPr>
            </w:pPr>
            <w:r>
              <w:rPr>
                <w:rFonts w:ascii="Arial" w:hAnsi="Arial" w:cs="Arial"/>
              </w:rPr>
              <w:t>MM160020</w:t>
            </w:r>
          </w:p>
        </w:tc>
      </w:tr>
      <w:tr w:rsidR="00D419B6" w:rsidTr="00D419B6">
        <w:tc>
          <w:tcPr>
            <w:tcW w:w="4338" w:type="dxa"/>
            <w:hideMark/>
          </w:tcPr>
          <w:p w:rsidR="00D419B6" w:rsidRDefault="00D419B6">
            <w:pPr>
              <w:rPr>
                <w:rFonts w:ascii="Arial" w:hAnsi="Arial" w:cs="Arial"/>
              </w:rPr>
            </w:pPr>
            <w:r>
              <w:rPr>
                <w:rFonts w:ascii="Arial" w:hAnsi="Arial" w:cs="Arial"/>
              </w:rPr>
              <w:t>OMB File No.:</w:t>
            </w:r>
          </w:p>
        </w:tc>
        <w:tc>
          <w:tcPr>
            <w:tcW w:w="5220" w:type="dxa"/>
            <w:hideMark/>
          </w:tcPr>
          <w:p w:rsidR="00D419B6" w:rsidRDefault="00D419B6">
            <w:pPr>
              <w:rPr>
                <w:rFonts w:ascii="Arial" w:hAnsi="Arial" w:cs="Arial"/>
              </w:rPr>
            </w:pPr>
            <w:r>
              <w:rPr>
                <w:rFonts w:ascii="Arial" w:hAnsi="Arial" w:cs="Arial"/>
              </w:rPr>
              <w:t>MM160020</w:t>
            </w:r>
          </w:p>
        </w:tc>
      </w:tr>
      <w:tr w:rsidR="00D419B6" w:rsidTr="00D419B6">
        <w:tc>
          <w:tcPr>
            <w:tcW w:w="4338" w:type="dxa"/>
            <w:hideMark/>
          </w:tcPr>
          <w:p w:rsidR="00D419B6" w:rsidRDefault="00D419B6">
            <w:pPr>
              <w:rPr>
                <w:rFonts w:ascii="Arial" w:hAnsi="Arial" w:cs="Arial"/>
              </w:rPr>
            </w:pPr>
            <w:r>
              <w:rPr>
                <w:rFonts w:ascii="Arial" w:hAnsi="Arial" w:cs="Arial"/>
              </w:rPr>
              <w:t>Case Name:</w:t>
            </w:r>
          </w:p>
        </w:tc>
        <w:tc>
          <w:tcPr>
            <w:tcW w:w="5220" w:type="dxa"/>
            <w:hideMark/>
          </w:tcPr>
          <w:p w:rsidR="00D419B6" w:rsidRDefault="00D419B6">
            <w:pPr>
              <w:rPr>
                <w:rFonts w:ascii="Arial" w:hAnsi="Arial" w:cs="Arial"/>
              </w:rPr>
            </w:pPr>
            <w:r>
              <w:rPr>
                <w:rFonts w:ascii="Arial" w:hAnsi="Arial" w:cs="Arial"/>
              </w:rPr>
              <w:t>Allied Properties REIT v. Toronto (City)</w:t>
            </w:r>
          </w:p>
        </w:tc>
      </w:tr>
    </w:tbl>
    <w:p w:rsidR="001D67CE" w:rsidRPr="001E764F" w:rsidRDefault="001D67CE" w:rsidP="00270AAE">
      <w:pPr>
        <w:rPr>
          <w:rFonts w:ascii="Arial" w:hAnsi="Arial" w:cs="Arial"/>
        </w:rPr>
      </w:pPr>
    </w:p>
    <w:p w:rsidR="00F46275" w:rsidRDefault="00F46275"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D419B6">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D419B6" w:rsidP="00270AAE">
            <w:pPr>
              <w:rPr>
                <w:rFonts w:ascii="Arial" w:hAnsi="Arial" w:cs="Arial"/>
              </w:rPr>
            </w:pPr>
            <w:r>
              <w:rPr>
                <w:rFonts w:ascii="Arial" w:hAnsi="Arial" w:cs="Arial"/>
              </w:rPr>
              <w:t>September 12, 2018 in Toronto, Ontario</w:t>
            </w:r>
          </w:p>
        </w:tc>
      </w:tr>
    </w:tbl>
    <w:p w:rsidR="00D419B6" w:rsidRDefault="00D419B6" w:rsidP="00270AAE">
      <w:pPr>
        <w:rPr>
          <w:rFonts w:ascii="Arial" w:hAnsi="Arial" w:cs="Arial"/>
        </w:rPr>
      </w:pPr>
    </w:p>
    <w:p w:rsidR="00D419B6" w:rsidRDefault="00D419B6" w:rsidP="00270AAE">
      <w:pPr>
        <w:rPr>
          <w:rFonts w:ascii="Arial" w:hAnsi="Arial" w:cs="Arial"/>
        </w:rPr>
      </w:pPr>
    </w:p>
    <w:p w:rsidR="00D419B6" w:rsidRDefault="00D419B6" w:rsidP="00270AAE">
      <w:pPr>
        <w:rPr>
          <w:rFonts w:ascii="Arial" w:hAnsi="Arial" w:cs="Arial"/>
        </w:rPr>
      </w:pPr>
    </w:p>
    <w:p w:rsidR="00D419B6" w:rsidRPr="001E764F" w:rsidRDefault="00D419B6"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D419B6">
        <w:tc>
          <w:tcPr>
            <w:tcW w:w="4361" w:type="dxa"/>
          </w:tcPr>
          <w:bookmarkEnd w:id="0"/>
          <w:p w:rsidR="0089782A" w:rsidRPr="00C940BC" w:rsidRDefault="0089782A" w:rsidP="00270AAE">
            <w:pPr>
              <w:rPr>
                <w:rFonts w:ascii="Arial" w:hAnsi="Arial" w:cs="Arial"/>
              </w:rPr>
            </w:pPr>
            <w:r w:rsidRPr="001E764F">
              <w:rPr>
                <w:rFonts w:ascii="Arial" w:hAnsi="Arial" w:cs="Arial"/>
                <w:b/>
              </w:rPr>
              <w:lastRenderedPageBreak/>
              <w:t>APPEARANCES:</w:t>
            </w:r>
          </w:p>
        </w:tc>
        <w:tc>
          <w:tcPr>
            <w:tcW w:w="5245" w:type="dxa"/>
          </w:tcPr>
          <w:p w:rsidR="0089782A" w:rsidRPr="001E764F" w:rsidRDefault="0089782A" w:rsidP="00270AAE">
            <w:pPr>
              <w:rPr>
                <w:rFonts w:ascii="Arial" w:hAnsi="Arial" w:cs="Arial"/>
              </w:rPr>
            </w:pPr>
          </w:p>
        </w:tc>
      </w:tr>
      <w:tr w:rsidR="0089782A" w:rsidRPr="001E764F" w:rsidTr="00D419B6">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D419B6">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CF3F96" w:rsidRPr="001E764F" w:rsidTr="00D419B6">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D419B6">
        <w:tc>
          <w:tcPr>
            <w:tcW w:w="4361" w:type="dxa"/>
          </w:tcPr>
          <w:p w:rsidR="001D67CE" w:rsidRPr="001E764F" w:rsidRDefault="00D419B6" w:rsidP="00270AAE">
            <w:pPr>
              <w:rPr>
                <w:rFonts w:ascii="Arial" w:hAnsi="Arial" w:cs="Arial"/>
              </w:rPr>
            </w:pPr>
            <w:r>
              <w:rPr>
                <w:rFonts w:ascii="Arial" w:hAnsi="Arial" w:cs="Arial"/>
              </w:rPr>
              <w:t>City of Toronto</w:t>
            </w:r>
          </w:p>
        </w:tc>
        <w:tc>
          <w:tcPr>
            <w:tcW w:w="5245" w:type="dxa"/>
          </w:tcPr>
          <w:p w:rsidR="001D67CE" w:rsidRDefault="00D419B6" w:rsidP="00270AAE">
            <w:pPr>
              <w:rPr>
                <w:rFonts w:ascii="Arial" w:hAnsi="Arial" w:cs="Arial"/>
              </w:rPr>
            </w:pPr>
            <w:r>
              <w:rPr>
                <w:rFonts w:ascii="Arial" w:hAnsi="Arial" w:cs="Arial"/>
              </w:rPr>
              <w:t>C. Barnett</w:t>
            </w:r>
          </w:p>
          <w:p w:rsidR="00D419B6" w:rsidRPr="001D67CE" w:rsidRDefault="00D419B6" w:rsidP="00270AAE">
            <w:pPr>
              <w:rPr>
                <w:rFonts w:ascii="Arial" w:hAnsi="Arial" w:cs="Arial"/>
              </w:rPr>
            </w:pPr>
            <w:r>
              <w:rPr>
                <w:rFonts w:ascii="Arial" w:hAnsi="Arial" w:cs="Arial"/>
              </w:rPr>
              <w:t>M. Longo</w:t>
            </w:r>
          </w:p>
        </w:tc>
      </w:tr>
      <w:tr w:rsidR="001D67CE" w:rsidRPr="001E764F" w:rsidTr="00D419B6">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1D67CE" w:rsidRPr="001E764F" w:rsidTr="00D419B6">
        <w:tc>
          <w:tcPr>
            <w:tcW w:w="4361" w:type="dxa"/>
          </w:tcPr>
          <w:p w:rsidR="00D419B6" w:rsidRDefault="00D419B6" w:rsidP="00D419B6">
            <w:pPr>
              <w:rPr>
                <w:rFonts w:ascii="Arial" w:hAnsi="Arial" w:cs="Arial"/>
              </w:rPr>
            </w:pPr>
            <w:r w:rsidRPr="0059014D">
              <w:rPr>
                <w:rFonts w:ascii="Arial" w:hAnsi="Arial" w:cs="Arial"/>
              </w:rPr>
              <w:t>Great West Life Realty Advisors Inc.</w:t>
            </w:r>
            <w:r>
              <w:rPr>
                <w:rFonts w:ascii="Arial" w:hAnsi="Arial" w:cs="Arial"/>
              </w:rPr>
              <w:t xml:space="preserve">, </w:t>
            </w:r>
            <w:proofErr w:type="spellStart"/>
            <w:r>
              <w:rPr>
                <w:rFonts w:ascii="Arial" w:hAnsi="Arial" w:cs="Arial"/>
              </w:rPr>
              <w:t>Larco</w:t>
            </w:r>
            <w:proofErr w:type="spellEnd"/>
            <w:r>
              <w:rPr>
                <w:rFonts w:ascii="Arial" w:hAnsi="Arial" w:cs="Arial"/>
              </w:rPr>
              <w:t xml:space="preserve"> Investment Ltd.,</w:t>
            </w:r>
          </w:p>
          <w:p w:rsidR="001D67CE" w:rsidRPr="001E764F" w:rsidRDefault="00D419B6" w:rsidP="00D419B6">
            <w:pPr>
              <w:rPr>
                <w:rFonts w:ascii="Arial" w:hAnsi="Arial" w:cs="Arial"/>
              </w:rPr>
            </w:pPr>
            <w:r>
              <w:rPr>
                <w:rFonts w:ascii="Arial" w:hAnsi="Arial" w:cs="Arial"/>
              </w:rPr>
              <w:t>Building Industry and Land Development Association</w:t>
            </w:r>
          </w:p>
        </w:tc>
        <w:tc>
          <w:tcPr>
            <w:tcW w:w="5245" w:type="dxa"/>
          </w:tcPr>
          <w:p w:rsidR="001D67CE" w:rsidRPr="001D67CE" w:rsidRDefault="00D419B6" w:rsidP="00270AAE">
            <w:pPr>
              <w:rPr>
                <w:rFonts w:ascii="Arial" w:hAnsi="Arial" w:cs="Arial"/>
              </w:rPr>
            </w:pPr>
            <w:r w:rsidRPr="0059014D">
              <w:rPr>
                <w:rFonts w:ascii="Arial" w:hAnsi="Arial" w:cs="Arial"/>
              </w:rPr>
              <w:t>J.</w:t>
            </w:r>
            <w:r w:rsidR="00144FD0">
              <w:rPr>
                <w:rFonts w:ascii="Arial" w:hAnsi="Arial" w:cs="Arial"/>
              </w:rPr>
              <w:t xml:space="preserve"> </w:t>
            </w:r>
            <w:r w:rsidRPr="0059014D">
              <w:rPr>
                <w:rFonts w:ascii="Arial" w:hAnsi="Arial" w:cs="Arial"/>
              </w:rPr>
              <w:t>A.R. Dawson</w:t>
            </w:r>
          </w:p>
        </w:tc>
      </w:tr>
      <w:tr w:rsidR="001D67CE" w:rsidRPr="001E764F" w:rsidTr="00D419B6">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D419B6" w:rsidRPr="001E764F" w:rsidTr="00D419B6">
        <w:tc>
          <w:tcPr>
            <w:tcW w:w="4361" w:type="dxa"/>
          </w:tcPr>
          <w:p w:rsidR="00D419B6" w:rsidRPr="001E764F" w:rsidRDefault="00D419B6" w:rsidP="00270AAE">
            <w:pPr>
              <w:rPr>
                <w:rFonts w:ascii="Arial" w:hAnsi="Arial" w:cs="Arial"/>
              </w:rPr>
            </w:pPr>
            <w:r w:rsidRPr="0059014D">
              <w:rPr>
                <w:rFonts w:ascii="Arial" w:hAnsi="Arial" w:cs="Arial"/>
              </w:rPr>
              <w:t>First Gulf Ontario Street Corporation</w:t>
            </w:r>
          </w:p>
        </w:tc>
        <w:tc>
          <w:tcPr>
            <w:tcW w:w="5245" w:type="dxa"/>
          </w:tcPr>
          <w:p w:rsidR="00D419B6" w:rsidRPr="001D67CE" w:rsidRDefault="00D419B6" w:rsidP="00270AAE">
            <w:pPr>
              <w:rPr>
                <w:rFonts w:ascii="Arial" w:hAnsi="Arial" w:cs="Arial"/>
              </w:rPr>
            </w:pPr>
            <w:r>
              <w:rPr>
                <w:rFonts w:ascii="Arial" w:hAnsi="Arial" w:cs="Arial"/>
              </w:rPr>
              <w:t>R. Houser</w:t>
            </w:r>
          </w:p>
        </w:tc>
      </w:tr>
      <w:tr w:rsidR="00D419B6" w:rsidRPr="001E764F" w:rsidTr="00D419B6">
        <w:tc>
          <w:tcPr>
            <w:tcW w:w="4361" w:type="dxa"/>
          </w:tcPr>
          <w:p w:rsidR="00D419B6" w:rsidRPr="0059014D" w:rsidRDefault="00D419B6" w:rsidP="00270AAE">
            <w:pPr>
              <w:rPr>
                <w:rFonts w:ascii="Arial" w:hAnsi="Arial" w:cs="Arial"/>
              </w:rPr>
            </w:pPr>
          </w:p>
        </w:tc>
        <w:tc>
          <w:tcPr>
            <w:tcW w:w="5245" w:type="dxa"/>
          </w:tcPr>
          <w:p w:rsidR="00D419B6" w:rsidRDefault="00D419B6" w:rsidP="00270AAE">
            <w:pPr>
              <w:rPr>
                <w:rFonts w:ascii="Arial" w:hAnsi="Arial" w:cs="Arial"/>
              </w:rPr>
            </w:pPr>
          </w:p>
        </w:tc>
      </w:tr>
      <w:tr w:rsidR="00D419B6" w:rsidRPr="001E764F" w:rsidTr="00D419B6">
        <w:tc>
          <w:tcPr>
            <w:tcW w:w="4361" w:type="dxa"/>
          </w:tcPr>
          <w:p w:rsidR="00D419B6" w:rsidRPr="0059014D" w:rsidRDefault="00D419B6" w:rsidP="00270AAE">
            <w:pPr>
              <w:rPr>
                <w:rFonts w:ascii="Arial" w:hAnsi="Arial" w:cs="Arial"/>
              </w:rPr>
            </w:pPr>
            <w:r>
              <w:rPr>
                <w:rFonts w:ascii="Arial" w:hAnsi="Arial" w:cs="Arial"/>
              </w:rPr>
              <w:t>Tom Jones Steakhouse</w:t>
            </w:r>
          </w:p>
        </w:tc>
        <w:tc>
          <w:tcPr>
            <w:tcW w:w="5245" w:type="dxa"/>
          </w:tcPr>
          <w:p w:rsidR="00D419B6" w:rsidRDefault="00D419B6" w:rsidP="00270AAE">
            <w:pPr>
              <w:rPr>
                <w:rFonts w:ascii="Arial" w:hAnsi="Arial" w:cs="Arial"/>
              </w:rPr>
            </w:pPr>
            <w:r>
              <w:rPr>
                <w:rFonts w:ascii="Arial" w:hAnsi="Arial" w:cs="Arial"/>
              </w:rPr>
              <w:t>F</w:t>
            </w:r>
            <w:r w:rsidR="00144FD0">
              <w:rPr>
                <w:rFonts w:ascii="Arial" w:hAnsi="Arial" w:cs="Arial"/>
              </w:rPr>
              <w:t>.</w:t>
            </w:r>
            <w:r>
              <w:rPr>
                <w:rFonts w:ascii="Arial" w:hAnsi="Arial" w:cs="Arial"/>
              </w:rPr>
              <w:t xml:space="preserve"> </w:t>
            </w:r>
            <w:proofErr w:type="spellStart"/>
            <w:r>
              <w:rPr>
                <w:rFonts w:ascii="Arial" w:hAnsi="Arial" w:cs="Arial"/>
              </w:rPr>
              <w:t>Goutzioulis</w:t>
            </w:r>
            <w:proofErr w:type="spellEnd"/>
            <w:r>
              <w:rPr>
                <w:rFonts w:ascii="Arial" w:hAnsi="Arial" w:cs="Arial"/>
              </w:rPr>
              <w:t>*</w:t>
            </w:r>
          </w:p>
        </w:tc>
      </w:tr>
      <w:tr w:rsidR="00D419B6" w:rsidRPr="001E764F" w:rsidTr="00D419B6">
        <w:tc>
          <w:tcPr>
            <w:tcW w:w="4361" w:type="dxa"/>
          </w:tcPr>
          <w:p w:rsidR="00D419B6" w:rsidRDefault="00D419B6" w:rsidP="00270AAE">
            <w:pPr>
              <w:rPr>
                <w:rFonts w:ascii="Arial" w:hAnsi="Arial" w:cs="Arial"/>
              </w:rPr>
            </w:pPr>
          </w:p>
        </w:tc>
        <w:tc>
          <w:tcPr>
            <w:tcW w:w="5245" w:type="dxa"/>
          </w:tcPr>
          <w:p w:rsidR="00D419B6" w:rsidRDefault="00D419B6" w:rsidP="00270AAE">
            <w:pPr>
              <w:rPr>
                <w:rFonts w:ascii="Arial" w:hAnsi="Arial" w:cs="Arial"/>
              </w:rPr>
            </w:pPr>
          </w:p>
        </w:tc>
      </w:tr>
      <w:tr w:rsidR="00D419B6" w:rsidRPr="001E764F" w:rsidTr="00D419B6">
        <w:tc>
          <w:tcPr>
            <w:tcW w:w="4361" w:type="dxa"/>
          </w:tcPr>
          <w:p w:rsidR="00D419B6" w:rsidRDefault="00D419B6" w:rsidP="00D419B6">
            <w:pPr>
              <w:rPr>
                <w:rFonts w:ascii="Arial" w:hAnsi="Arial" w:cs="Arial"/>
              </w:rPr>
            </w:pPr>
            <w:r>
              <w:rPr>
                <w:rFonts w:ascii="Arial" w:hAnsi="Arial" w:cs="Arial"/>
              </w:rPr>
              <w:t>Church-Lombard Developments</w:t>
            </w:r>
          </w:p>
          <w:p w:rsidR="00D419B6" w:rsidRDefault="00D419B6" w:rsidP="00D419B6">
            <w:pPr>
              <w:rPr>
                <w:rFonts w:ascii="Arial" w:hAnsi="Arial" w:cs="Arial"/>
              </w:rPr>
            </w:pPr>
            <w:r>
              <w:rPr>
                <w:rFonts w:ascii="Arial" w:hAnsi="Arial" w:cs="Arial"/>
              </w:rPr>
              <w:t>Inc.</w:t>
            </w:r>
          </w:p>
        </w:tc>
        <w:tc>
          <w:tcPr>
            <w:tcW w:w="5245" w:type="dxa"/>
          </w:tcPr>
          <w:p w:rsidR="00D419B6" w:rsidRDefault="00D419B6" w:rsidP="00270AAE">
            <w:pPr>
              <w:rPr>
                <w:rFonts w:ascii="Arial" w:hAnsi="Arial" w:cs="Arial"/>
              </w:rPr>
            </w:pPr>
            <w:r>
              <w:rPr>
                <w:rFonts w:ascii="Arial" w:hAnsi="Arial" w:cs="Arial"/>
              </w:rPr>
              <w:t xml:space="preserve">D. </w:t>
            </w:r>
            <w:proofErr w:type="spellStart"/>
            <w:r>
              <w:rPr>
                <w:rFonts w:ascii="Arial" w:hAnsi="Arial" w:cs="Arial"/>
              </w:rPr>
              <w:t>Bronskill</w:t>
            </w:r>
            <w:proofErr w:type="spellEnd"/>
          </w:p>
        </w:tc>
      </w:tr>
      <w:tr w:rsidR="00D419B6" w:rsidRPr="001E764F" w:rsidTr="00D419B6">
        <w:tc>
          <w:tcPr>
            <w:tcW w:w="4361" w:type="dxa"/>
          </w:tcPr>
          <w:p w:rsidR="00D419B6" w:rsidRDefault="00D419B6" w:rsidP="00D419B6">
            <w:pPr>
              <w:rPr>
                <w:rFonts w:ascii="Arial" w:hAnsi="Arial" w:cs="Arial"/>
              </w:rPr>
            </w:pPr>
          </w:p>
        </w:tc>
        <w:tc>
          <w:tcPr>
            <w:tcW w:w="5245" w:type="dxa"/>
          </w:tcPr>
          <w:p w:rsidR="00D419B6" w:rsidRDefault="00D419B6" w:rsidP="00270AAE">
            <w:pPr>
              <w:rPr>
                <w:rFonts w:ascii="Arial" w:hAnsi="Arial" w:cs="Arial"/>
              </w:rPr>
            </w:pPr>
          </w:p>
        </w:tc>
      </w:tr>
      <w:tr w:rsidR="00D419B6" w:rsidRPr="001E764F" w:rsidTr="00D419B6">
        <w:tc>
          <w:tcPr>
            <w:tcW w:w="4361" w:type="dxa"/>
          </w:tcPr>
          <w:p w:rsidR="00D419B6" w:rsidRDefault="00D419B6" w:rsidP="00D419B6">
            <w:pPr>
              <w:rPr>
                <w:rFonts w:ascii="Arial" w:hAnsi="Arial" w:cs="Arial"/>
              </w:rPr>
            </w:pPr>
            <w:r>
              <w:rPr>
                <w:rFonts w:ascii="Arial" w:hAnsi="Arial" w:cs="Arial"/>
              </w:rPr>
              <w:t xml:space="preserve">Allied Properties REIT, </w:t>
            </w:r>
            <w:r w:rsidRPr="0059014D">
              <w:rPr>
                <w:rFonts w:ascii="Arial" w:hAnsi="Arial" w:cs="Arial"/>
              </w:rPr>
              <w:t>Canadian Opera Company</w:t>
            </w:r>
            <w:r>
              <w:rPr>
                <w:rFonts w:ascii="Arial" w:hAnsi="Arial" w:cs="Arial"/>
              </w:rPr>
              <w:t>, Market Street</w:t>
            </w:r>
          </w:p>
          <w:p w:rsidR="00D419B6" w:rsidRDefault="00D419B6" w:rsidP="00D419B6">
            <w:pPr>
              <w:rPr>
                <w:rFonts w:ascii="Arial" w:hAnsi="Arial" w:cs="Arial"/>
              </w:rPr>
            </w:pPr>
            <w:r>
              <w:rPr>
                <w:rFonts w:ascii="Arial" w:hAnsi="Arial" w:cs="Arial"/>
              </w:rPr>
              <w:t xml:space="preserve">Block Inc., Grey Esplanade Limited, Northwest Value Partners Inc. (now Lamb Bauhaus Inc.)  </w:t>
            </w:r>
          </w:p>
        </w:tc>
        <w:tc>
          <w:tcPr>
            <w:tcW w:w="5245" w:type="dxa"/>
          </w:tcPr>
          <w:p w:rsidR="00D419B6" w:rsidRDefault="00D419B6" w:rsidP="00270AAE">
            <w:pPr>
              <w:rPr>
                <w:rFonts w:ascii="Arial" w:hAnsi="Arial" w:cs="Arial"/>
              </w:rPr>
            </w:pPr>
            <w:r w:rsidRPr="0059014D">
              <w:rPr>
                <w:rFonts w:ascii="Arial" w:hAnsi="Arial" w:cs="Arial"/>
              </w:rPr>
              <w:t>E. Costello</w:t>
            </w:r>
          </w:p>
        </w:tc>
      </w:tr>
      <w:tr w:rsidR="00D419B6" w:rsidRPr="001E764F" w:rsidTr="00D419B6">
        <w:tc>
          <w:tcPr>
            <w:tcW w:w="4361" w:type="dxa"/>
          </w:tcPr>
          <w:p w:rsidR="00D419B6" w:rsidRDefault="00D419B6" w:rsidP="00D419B6">
            <w:pPr>
              <w:rPr>
                <w:rFonts w:ascii="Arial" w:hAnsi="Arial" w:cs="Arial"/>
              </w:rPr>
            </w:pPr>
          </w:p>
        </w:tc>
        <w:tc>
          <w:tcPr>
            <w:tcW w:w="5245" w:type="dxa"/>
          </w:tcPr>
          <w:p w:rsidR="00D419B6" w:rsidRPr="0059014D" w:rsidRDefault="00D419B6" w:rsidP="00270AAE">
            <w:pPr>
              <w:rPr>
                <w:rFonts w:ascii="Arial" w:hAnsi="Arial" w:cs="Arial"/>
              </w:rPr>
            </w:pPr>
          </w:p>
        </w:tc>
      </w:tr>
      <w:tr w:rsidR="00D419B6" w:rsidRPr="001E764F" w:rsidTr="00D419B6">
        <w:tc>
          <w:tcPr>
            <w:tcW w:w="4361" w:type="dxa"/>
          </w:tcPr>
          <w:p w:rsidR="00D419B6" w:rsidRDefault="00D419B6" w:rsidP="00D419B6">
            <w:pPr>
              <w:rPr>
                <w:rFonts w:ascii="Arial" w:hAnsi="Arial" w:cs="Arial"/>
              </w:rPr>
            </w:pPr>
            <w:r w:rsidRPr="0059014D">
              <w:rPr>
                <w:rFonts w:ascii="Arial" w:hAnsi="Arial" w:cs="Arial"/>
              </w:rPr>
              <w:t>Premium Properties Limited</w:t>
            </w:r>
          </w:p>
        </w:tc>
        <w:tc>
          <w:tcPr>
            <w:tcW w:w="5245" w:type="dxa"/>
          </w:tcPr>
          <w:p w:rsidR="00D419B6" w:rsidRPr="0059014D" w:rsidRDefault="00D419B6" w:rsidP="00270AAE">
            <w:pPr>
              <w:rPr>
                <w:rFonts w:ascii="Arial" w:hAnsi="Arial" w:cs="Arial"/>
              </w:rPr>
            </w:pPr>
            <w:r w:rsidRPr="0059014D">
              <w:rPr>
                <w:rFonts w:ascii="Arial" w:hAnsi="Arial" w:cs="Arial"/>
              </w:rPr>
              <w:t xml:space="preserve">B. </w:t>
            </w:r>
            <w:proofErr w:type="spellStart"/>
            <w:r w:rsidRPr="0059014D">
              <w:rPr>
                <w:rFonts w:ascii="Arial" w:hAnsi="Arial" w:cs="Arial"/>
              </w:rPr>
              <w:t>Engell</w:t>
            </w:r>
            <w:proofErr w:type="spellEnd"/>
          </w:p>
        </w:tc>
      </w:tr>
    </w:tbl>
    <w:p w:rsidR="0026320F" w:rsidRDefault="0026320F" w:rsidP="00270AAE">
      <w:pPr>
        <w:rPr>
          <w:rFonts w:ascii="Arial" w:hAnsi="Arial" w:cs="Arial"/>
        </w:rPr>
      </w:pPr>
    </w:p>
    <w:p w:rsidR="00935095" w:rsidRDefault="00935095" w:rsidP="00270AAE">
      <w:pPr>
        <w:rPr>
          <w:rFonts w:ascii="Arial" w:hAnsi="Arial" w:cs="Arial"/>
        </w:rPr>
      </w:pPr>
    </w:p>
    <w:p w:rsidR="00935095" w:rsidRPr="00D419B6" w:rsidRDefault="00D419B6" w:rsidP="00935095">
      <w:pPr>
        <w:pStyle w:val="DecisionDeliveredby"/>
        <w:pBdr>
          <w:bottom w:val="single" w:sz="4" w:space="1" w:color="auto"/>
        </w:pBdr>
        <w:rPr>
          <w:rFonts w:cs="Arial"/>
          <w:b w:val="0"/>
          <w:lang w:val="en-US"/>
        </w:rPr>
      </w:pPr>
      <w:r>
        <w:rPr>
          <w:rFonts w:cs="Arial"/>
        </w:rPr>
        <w:t xml:space="preserve">MEMORANDUM OF ORAL </w:t>
      </w:r>
      <w:r w:rsidR="00935095" w:rsidRPr="005A767F">
        <w:rPr>
          <w:rFonts w:cs="Arial"/>
        </w:rPr>
        <w:t xml:space="preserve">DECISION </w:t>
      </w:r>
      <w:r>
        <w:rPr>
          <w:rFonts w:cs="Arial"/>
        </w:rPr>
        <w:t xml:space="preserve">DELIVERED BY K. J. HUSSEY ON SEPTEMBER 12, 2018 AND ORDER </w:t>
      </w:r>
      <w:r w:rsidR="00935095" w:rsidRPr="005A767F">
        <w:rPr>
          <w:rFonts w:cs="Arial"/>
        </w:rPr>
        <w:t xml:space="preserve">OF THE </w:t>
      </w:r>
      <w:r w:rsidR="00530917" w:rsidRPr="00E8779D">
        <w:rPr>
          <w:rFonts w:cs="Arial"/>
        </w:rPr>
        <w:t>TRIBUNAL</w:t>
      </w:r>
    </w:p>
    <w:p w:rsidR="00D419B6" w:rsidRPr="001E764F" w:rsidRDefault="00D419B6" w:rsidP="00D419B6">
      <w:pPr>
        <w:spacing w:line="360" w:lineRule="auto"/>
        <w:rPr>
          <w:rFonts w:ascii="Arial" w:hAnsi="Arial" w:cs="Arial"/>
        </w:rPr>
      </w:pPr>
    </w:p>
    <w:p w:rsidR="00D419B6" w:rsidRDefault="00D419B6" w:rsidP="00D419B6">
      <w:pPr>
        <w:numPr>
          <w:ilvl w:val="0"/>
          <w:numId w:val="21"/>
        </w:numPr>
        <w:spacing w:line="360" w:lineRule="auto"/>
        <w:ind w:left="0" w:firstLine="0"/>
        <w:rPr>
          <w:rFonts w:ascii="Arial" w:hAnsi="Arial" w:cs="Arial"/>
        </w:rPr>
      </w:pPr>
      <w:r>
        <w:rPr>
          <w:rFonts w:ascii="Arial" w:hAnsi="Arial" w:cs="Arial"/>
        </w:rPr>
        <w:t>This is this</w:t>
      </w:r>
      <w:r w:rsidRPr="0017043B">
        <w:rPr>
          <w:rFonts w:ascii="Arial" w:hAnsi="Arial" w:cs="Arial"/>
        </w:rPr>
        <w:t xml:space="preserve"> second pre-hearing conference (“PHC”) for the</w:t>
      </w:r>
      <w:r>
        <w:rPr>
          <w:rFonts w:ascii="Arial" w:hAnsi="Arial" w:cs="Arial"/>
        </w:rPr>
        <w:t xml:space="preserve"> above noted</w:t>
      </w:r>
      <w:r w:rsidRPr="0017043B">
        <w:rPr>
          <w:rFonts w:ascii="Arial" w:hAnsi="Arial" w:cs="Arial"/>
        </w:rPr>
        <w:t xml:space="preserve"> appeals </w:t>
      </w:r>
      <w:r>
        <w:rPr>
          <w:rFonts w:ascii="Arial" w:hAnsi="Arial" w:cs="Arial"/>
        </w:rPr>
        <w:t xml:space="preserve">of the </w:t>
      </w:r>
      <w:r w:rsidRPr="0017043B">
        <w:rPr>
          <w:rFonts w:ascii="Arial" w:hAnsi="Arial" w:cs="Arial"/>
        </w:rPr>
        <w:t>City of Toronto (“City”) By-law</w:t>
      </w:r>
      <w:r>
        <w:rPr>
          <w:rFonts w:ascii="Arial" w:hAnsi="Arial" w:cs="Arial"/>
        </w:rPr>
        <w:t xml:space="preserve"> No. 1328-2015, which designates</w:t>
      </w:r>
      <w:r w:rsidRPr="0017043B">
        <w:rPr>
          <w:rFonts w:ascii="Arial" w:hAnsi="Arial" w:cs="Arial"/>
        </w:rPr>
        <w:t xml:space="preserve"> the St. Lawrence </w:t>
      </w:r>
      <w:proofErr w:type="spellStart"/>
      <w:r w:rsidRPr="0017043B">
        <w:rPr>
          <w:rFonts w:ascii="Arial" w:hAnsi="Arial" w:cs="Arial"/>
        </w:rPr>
        <w:t>Neighbourhood</w:t>
      </w:r>
      <w:proofErr w:type="spellEnd"/>
      <w:r w:rsidRPr="0017043B">
        <w:rPr>
          <w:rFonts w:ascii="Arial" w:hAnsi="Arial" w:cs="Arial"/>
        </w:rPr>
        <w:t xml:space="preserve"> Heritage Conservation District</w:t>
      </w:r>
      <w:r>
        <w:rPr>
          <w:rFonts w:ascii="Arial" w:hAnsi="Arial" w:cs="Arial"/>
        </w:rPr>
        <w:t>. The purpose of this PHC is to present a draft Procedural Order and to establish hearing dates.</w:t>
      </w:r>
    </w:p>
    <w:p w:rsidR="00D419B6" w:rsidRDefault="00D419B6" w:rsidP="00D419B6">
      <w:pPr>
        <w:spacing w:line="360" w:lineRule="auto"/>
        <w:rPr>
          <w:rFonts w:ascii="Arial" w:hAnsi="Arial" w:cs="Arial"/>
        </w:rPr>
      </w:pPr>
    </w:p>
    <w:p w:rsidR="00D419B6" w:rsidRDefault="00D419B6" w:rsidP="00D419B6">
      <w:pPr>
        <w:numPr>
          <w:ilvl w:val="0"/>
          <w:numId w:val="21"/>
        </w:numPr>
        <w:spacing w:line="360" w:lineRule="auto"/>
        <w:ind w:left="0" w:firstLine="0"/>
        <w:rPr>
          <w:rFonts w:ascii="Arial" w:hAnsi="Arial" w:cs="Arial"/>
        </w:rPr>
      </w:pPr>
      <w:r w:rsidRPr="00760625">
        <w:rPr>
          <w:rFonts w:ascii="Arial" w:hAnsi="Arial" w:cs="Arial"/>
        </w:rPr>
        <w:t xml:space="preserve">The </w:t>
      </w:r>
      <w:r w:rsidR="00231390">
        <w:rPr>
          <w:rFonts w:ascii="Arial" w:hAnsi="Arial" w:cs="Arial"/>
        </w:rPr>
        <w:t xml:space="preserve">Local Planning Appeal </w:t>
      </w:r>
      <w:r w:rsidRPr="00760625">
        <w:rPr>
          <w:rFonts w:ascii="Arial" w:hAnsi="Arial" w:cs="Arial"/>
        </w:rPr>
        <w:t xml:space="preserve">Tribunal </w:t>
      </w:r>
      <w:r w:rsidR="00231390">
        <w:rPr>
          <w:rFonts w:ascii="Arial" w:hAnsi="Arial" w:cs="Arial"/>
        </w:rPr>
        <w:t xml:space="preserve">(“Tribunal”) </w:t>
      </w:r>
      <w:r w:rsidRPr="00760625">
        <w:rPr>
          <w:rFonts w:ascii="Arial" w:hAnsi="Arial" w:cs="Arial"/>
        </w:rPr>
        <w:t>was informed that certain matters were resolved</w:t>
      </w:r>
      <w:r>
        <w:rPr>
          <w:rFonts w:ascii="Arial" w:hAnsi="Arial" w:cs="Arial"/>
        </w:rPr>
        <w:t xml:space="preserve"> and dispensed with</w:t>
      </w:r>
      <w:r w:rsidRPr="00760625">
        <w:rPr>
          <w:rFonts w:ascii="Arial" w:hAnsi="Arial" w:cs="Arial"/>
        </w:rPr>
        <w:t xml:space="preserve"> as a result of Mediation</w:t>
      </w:r>
      <w:r>
        <w:rPr>
          <w:rFonts w:ascii="Arial" w:hAnsi="Arial" w:cs="Arial"/>
        </w:rPr>
        <w:t>.</w:t>
      </w:r>
      <w:r w:rsidRPr="00C56B82">
        <w:rPr>
          <w:rFonts w:ascii="Arial" w:hAnsi="Arial" w:cs="Arial"/>
        </w:rPr>
        <w:t xml:space="preserve"> </w:t>
      </w:r>
      <w:r>
        <w:rPr>
          <w:rFonts w:ascii="Arial" w:hAnsi="Arial" w:cs="Arial"/>
        </w:rPr>
        <w:t>T</w:t>
      </w:r>
      <w:r w:rsidRPr="00760625">
        <w:rPr>
          <w:rFonts w:ascii="Arial" w:hAnsi="Arial" w:cs="Arial"/>
        </w:rPr>
        <w:t>he remaining parties</w:t>
      </w:r>
      <w:r>
        <w:rPr>
          <w:rFonts w:ascii="Arial" w:hAnsi="Arial" w:cs="Arial"/>
        </w:rPr>
        <w:t xml:space="preserve"> and participants </w:t>
      </w:r>
      <w:r w:rsidRPr="00760625">
        <w:rPr>
          <w:rFonts w:ascii="Arial" w:hAnsi="Arial" w:cs="Arial"/>
        </w:rPr>
        <w:t xml:space="preserve">are as </w:t>
      </w:r>
      <w:r>
        <w:rPr>
          <w:rFonts w:ascii="Arial" w:hAnsi="Arial" w:cs="Arial"/>
        </w:rPr>
        <w:t xml:space="preserve">indicated in Attachment “1” to the Draft Procedural Order that is </w:t>
      </w:r>
      <w:r w:rsidRPr="00C56B82">
        <w:rPr>
          <w:rFonts w:ascii="Arial" w:hAnsi="Arial" w:cs="Arial"/>
        </w:rPr>
        <w:t xml:space="preserve">appended to this decision as Appendix 1. </w:t>
      </w:r>
    </w:p>
    <w:p w:rsidR="00D419B6" w:rsidRDefault="00D419B6" w:rsidP="00D419B6">
      <w:pPr>
        <w:spacing w:line="360" w:lineRule="auto"/>
        <w:rPr>
          <w:rFonts w:ascii="Arial" w:hAnsi="Arial" w:cs="Arial"/>
        </w:rPr>
      </w:pPr>
    </w:p>
    <w:p w:rsidR="00D419B6" w:rsidRDefault="00D419B6" w:rsidP="00D419B6">
      <w:pPr>
        <w:numPr>
          <w:ilvl w:val="0"/>
          <w:numId w:val="21"/>
        </w:numPr>
        <w:spacing w:line="360" w:lineRule="auto"/>
        <w:ind w:left="0" w:firstLine="0"/>
        <w:rPr>
          <w:rFonts w:ascii="Arial" w:hAnsi="Arial" w:cs="Arial"/>
        </w:rPr>
      </w:pPr>
      <w:r w:rsidRPr="00C56B82">
        <w:rPr>
          <w:rFonts w:ascii="Arial" w:hAnsi="Arial" w:cs="Arial"/>
        </w:rPr>
        <w:lastRenderedPageBreak/>
        <w:t xml:space="preserve">There was consensus </w:t>
      </w:r>
      <w:r>
        <w:rPr>
          <w:rFonts w:ascii="Arial" w:hAnsi="Arial" w:cs="Arial"/>
        </w:rPr>
        <w:t xml:space="preserve">that </w:t>
      </w:r>
      <w:r w:rsidRPr="00C56B82">
        <w:rPr>
          <w:rFonts w:ascii="Arial" w:hAnsi="Arial" w:cs="Arial"/>
        </w:rPr>
        <w:t>parties would continue discussions</w:t>
      </w:r>
      <w:r>
        <w:rPr>
          <w:rFonts w:ascii="Arial" w:hAnsi="Arial" w:cs="Arial"/>
        </w:rPr>
        <w:t xml:space="preserve"> among themselves</w:t>
      </w:r>
      <w:r w:rsidRPr="00C56B82">
        <w:rPr>
          <w:rFonts w:ascii="Arial" w:hAnsi="Arial" w:cs="Arial"/>
        </w:rPr>
        <w:t xml:space="preserve"> to further refine the extensive </w:t>
      </w:r>
      <w:r w:rsidR="00144FD0">
        <w:rPr>
          <w:rFonts w:ascii="Arial" w:hAnsi="Arial" w:cs="Arial"/>
        </w:rPr>
        <w:t>I</w:t>
      </w:r>
      <w:r w:rsidRPr="00C56B82">
        <w:rPr>
          <w:rFonts w:ascii="Arial" w:hAnsi="Arial" w:cs="Arial"/>
        </w:rPr>
        <w:t>ssues</w:t>
      </w:r>
      <w:r>
        <w:rPr>
          <w:rFonts w:ascii="Arial" w:hAnsi="Arial" w:cs="Arial"/>
        </w:rPr>
        <w:t xml:space="preserve"> </w:t>
      </w:r>
      <w:r w:rsidR="00144FD0">
        <w:rPr>
          <w:rFonts w:ascii="Arial" w:hAnsi="Arial" w:cs="Arial"/>
        </w:rPr>
        <w:t>L</w:t>
      </w:r>
      <w:r>
        <w:rPr>
          <w:rFonts w:ascii="Arial" w:hAnsi="Arial" w:cs="Arial"/>
        </w:rPr>
        <w:t>ist that is</w:t>
      </w:r>
      <w:r w:rsidRPr="00C56B82">
        <w:rPr>
          <w:rFonts w:ascii="Arial" w:hAnsi="Arial" w:cs="Arial"/>
        </w:rPr>
        <w:t xml:space="preserve"> set out in Attachment “3” to the Draft </w:t>
      </w:r>
      <w:r w:rsidR="00144FD0">
        <w:rPr>
          <w:rFonts w:ascii="Arial" w:hAnsi="Arial" w:cs="Arial"/>
        </w:rPr>
        <w:t>PO</w:t>
      </w:r>
      <w:r w:rsidRPr="00C56B82">
        <w:rPr>
          <w:rFonts w:ascii="Arial" w:hAnsi="Arial" w:cs="Arial"/>
        </w:rPr>
        <w:t xml:space="preserve">. </w:t>
      </w:r>
    </w:p>
    <w:p w:rsidR="00D419B6" w:rsidRDefault="00D419B6" w:rsidP="00D419B6">
      <w:pPr>
        <w:spacing w:line="360" w:lineRule="auto"/>
        <w:rPr>
          <w:rFonts w:ascii="Arial" w:hAnsi="Arial" w:cs="Arial"/>
        </w:rPr>
      </w:pPr>
    </w:p>
    <w:p w:rsidR="00D419B6" w:rsidRPr="001E3B5E" w:rsidRDefault="00D419B6" w:rsidP="00D419B6">
      <w:pPr>
        <w:numPr>
          <w:ilvl w:val="0"/>
          <w:numId w:val="21"/>
        </w:numPr>
        <w:spacing w:line="360" w:lineRule="auto"/>
        <w:ind w:left="0" w:firstLine="0"/>
        <w:rPr>
          <w:rFonts w:ascii="Arial" w:hAnsi="Arial" w:cs="Arial"/>
        </w:rPr>
      </w:pPr>
      <w:r w:rsidRPr="001E3B5E">
        <w:rPr>
          <w:rFonts w:ascii="Arial" w:hAnsi="Arial" w:cs="Arial"/>
        </w:rPr>
        <w:t xml:space="preserve">On consent, the </w:t>
      </w:r>
      <w:r>
        <w:rPr>
          <w:rFonts w:ascii="Arial" w:hAnsi="Arial" w:cs="Arial"/>
        </w:rPr>
        <w:t xml:space="preserve">Tribunal </w:t>
      </w:r>
      <w:r w:rsidRPr="001E3B5E">
        <w:rPr>
          <w:rFonts w:ascii="Arial" w:hAnsi="Arial" w:cs="Arial"/>
        </w:rPr>
        <w:t xml:space="preserve">has fixed 14 days on its calendar for the hearing of the appeals, which will commence on </w:t>
      </w:r>
      <w:r w:rsidRPr="001E3B5E">
        <w:rPr>
          <w:rFonts w:ascii="Arial" w:hAnsi="Arial" w:cs="Arial"/>
          <w:b/>
          <w:color w:val="000000"/>
        </w:rPr>
        <w:t xml:space="preserve">Tuesday November </w:t>
      </w:r>
      <w:r w:rsidR="001753A4">
        <w:rPr>
          <w:rFonts w:ascii="Arial" w:hAnsi="Arial" w:cs="Arial"/>
          <w:b/>
          <w:color w:val="000000"/>
        </w:rPr>
        <w:t>12</w:t>
      </w:r>
      <w:r w:rsidRPr="001E3B5E">
        <w:rPr>
          <w:rFonts w:ascii="Arial" w:hAnsi="Arial" w:cs="Arial"/>
          <w:b/>
          <w:color w:val="000000"/>
        </w:rPr>
        <w:t>, 2019 at</w:t>
      </w:r>
      <w:r w:rsidRPr="001E3B5E">
        <w:rPr>
          <w:rFonts w:ascii="Arial" w:hAnsi="Arial" w:cs="Arial"/>
          <w:b/>
        </w:rPr>
        <w:t xml:space="preserve"> 10 a.m</w:t>
      </w:r>
      <w:r w:rsidR="00144FD0">
        <w:rPr>
          <w:rFonts w:ascii="Arial" w:hAnsi="Arial" w:cs="Arial"/>
          <w:b/>
        </w:rPr>
        <w:t>.</w:t>
      </w:r>
      <w:r w:rsidRPr="001E3B5E">
        <w:rPr>
          <w:rFonts w:ascii="Arial" w:hAnsi="Arial" w:cs="Arial"/>
        </w:rPr>
        <w:t xml:space="preserve"> </w:t>
      </w:r>
      <w:r w:rsidRPr="001E3B5E">
        <w:rPr>
          <w:rFonts w:ascii="Arial" w:hAnsi="Arial" w:cs="Arial"/>
          <w:color w:val="000000"/>
        </w:rPr>
        <w:t>until</w:t>
      </w:r>
      <w:r w:rsidRPr="001E3B5E">
        <w:rPr>
          <w:rFonts w:ascii="Arial" w:hAnsi="Arial" w:cs="Arial"/>
          <w:b/>
          <w:color w:val="000000"/>
        </w:rPr>
        <w:t xml:space="preserve"> Friday November 29, 2019.</w:t>
      </w:r>
      <w:r w:rsidRPr="001E3B5E">
        <w:rPr>
          <w:rFonts w:ascii="Arial" w:hAnsi="Arial" w:cs="Arial"/>
        </w:rPr>
        <w:t xml:space="preserve"> This event will be held at:</w:t>
      </w:r>
      <w:r w:rsidRPr="001E3B5E">
        <w:rPr>
          <w:b/>
        </w:rPr>
        <w:t xml:space="preserve"> </w:t>
      </w:r>
    </w:p>
    <w:p w:rsidR="00D419B6" w:rsidRDefault="00D419B6" w:rsidP="00D419B6">
      <w:pPr>
        <w:pStyle w:val="DecisionBody"/>
        <w:numPr>
          <w:ilvl w:val="0"/>
          <w:numId w:val="0"/>
        </w:numPr>
        <w:spacing w:line="240" w:lineRule="auto"/>
        <w:jc w:val="center"/>
        <w:rPr>
          <w:b/>
        </w:rPr>
      </w:pPr>
    </w:p>
    <w:p w:rsidR="00D419B6" w:rsidRPr="00D20D77" w:rsidRDefault="00D419B6" w:rsidP="00773AAF">
      <w:pPr>
        <w:pStyle w:val="DecisionBody"/>
        <w:numPr>
          <w:ilvl w:val="0"/>
          <w:numId w:val="0"/>
        </w:numPr>
        <w:spacing w:after="0" w:line="240" w:lineRule="auto"/>
        <w:jc w:val="center"/>
        <w:rPr>
          <w:b/>
        </w:rPr>
      </w:pPr>
      <w:r w:rsidRPr="00D20D77">
        <w:rPr>
          <w:b/>
        </w:rPr>
        <w:t>Local Planning Appeal Tribunal</w:t>
      </w:r>
    </w:p>
    <w:p w:rsidR="00D419B6" w:rsidRPr="00D20D77" w:rsidRDefault="00D419B6" w:rsidP="00773AAF">
      <w:pPr>
        <w:pStyle w:val="DecisionBody"/>
        <w:numPr>
          <w:ilvl w:val="0"/>
          <w:numId w:val="0"/>
        </w:numPr>
        <w:spacing w:after="0" w:line="240" w:lineRule="auto"/>
        <w:jc w:val="center"/>
        <w:rPr>
          <w:b/>
        </w:rPr>
      </w:pPr>
      <w:r w:rsidRPr="00D20D77">
        <w:rPr>
          <w:b/>
        </w:rPr>
        <w:t>655 Bay Street, 16</w:t>
      </w:r>
      <w:r w:rsidRPr="00D20D77">
        <w:rPr>
          <w:b/>
          <w:vertAlign w:val="superscript"/>
        </w:rPr>
        <w:t>th</w:t>
      </w:r>
      <w:r w:rsidRPr="00D20D77">
        <w:rPr>
          <w:b/>
        </w:rPr>
        <w:t xml:space="preserve"> Floor</w:t>
      </w:r>
    </w:p>
    <w:p w:rsidR="00D419B6" w:rsidRPr="00301B4B" w:rsidRDefault="00D419B6" w:rsidP="00773AAF">
      <w:pPr>
        <w:pStyle w:val="DecisionBody"/>
        <w:numPr>
          <w:ilvl w:val="0"/>
          <w:numId w:val="0"/>
        </w:numPr>
        <w:spacing w:after="0" w:line="240" w:lineRule="auto"/>
        <w:ind w:left="2880" w:firstLine="720"/>
        <w:rPr>
          <w:b/>
        </w:rPr>
      </w:pPr>
      <w:r w:rsidRPr="00D20D77">
        <w:rPr>
          <w:b/>
        </w:rPr>
        <w:t>Toronto, Ontario</w:t>
      </w:r>
    </w:p>
    <w:p w:rsidR="00D419B6" w:rsidRPr="00773AAF" w:rsidRDefault="00D419B6" w:rsidP="00D419B6">
      <w:pPr>
        <w:spacing w:line="360" w:lineRule="auto"/>
        <w:rPr>
          <w:rFonts w:ascii="Arial" w:hAnsi="Arial" w:cs="Arial"/>
        </w:rPr>
      </w:pPr>
    </w:p>
    <w:p w:rsidR="00D419B6" w:rsidRDefault="00D419B6" w:rsidP="00773AAF">
      <w:pPr>
        <w:numPr>
          <w:ilvl w:val="0"/>
          <w:numId w:val="21"/>
        </w:numPr>
        <w:spacing w:line="360" w:lineRule="auto"/>
        <w:ind w:left="0" w:firstLine="0"/>
      </w:pPr>
      <w:r w:rsidRPr="00773AAF">
        <w:rPr>
          <w:rFonts w:ascii="Arial" w:hAnsi="Arial" w:cs="Arial"/>
        </w:rPr>
        <w:t>There will be no further notice of the hearing.</w:t>
      </w:r>
    </w:p>
    <w:p w:rsidR="00D419B6" w:rsidRPr="00773AAF" w:rsidRDefault="00D419B6" w:rsidP="00D419B6">
      <w:pPr>
        <w:spacing w:line="360" w:lineRule="auto"/>
        <w:rPr>
          <w:rFonts w:ascii="Arial" w:hAnsi="Arial" w:cs="Arial"/>
        </w:rPr>
      </w:pPr>
    </w:p>
    <w:p w:rsidR="00D419B6" w:rsidRDefault="00D419B6" w:rsidP="00773AAF">
      <w:pPr>
        <w:numPr>
          <w:ilvl w:val="0"/>
          <w:numId w:val="21"/>
        </w:numPr>
        <w:spacing w:line="360" w:lineRule="auto"/>
        <w:ind w:left="0" w:firstLine="0"/>
        <w:rPr>
          <w:rFonts w:ascii="Arial" w:hAnsi="Arial" w:cs="Arial"/>
        </w:rPr>
      </w:pPr>
      <w:r w:rsidRPr="00773AAF">
        <w:rPr>
          <w:rFonts w:ascii="Arial" w:hAnsi="Arial" w:cs="Arial"/>
        </w:rPr>
        <w:t>The Member is not seized.</w:t>
      </w:r>
    </w:p>
    <w:p w:rsidR="00773AAF" w:rsidRDefault="00773AAF" w:rsidP="00773AAF">
      <w:pPr>
        <w:pStyle w:val="ListParagraph"/>
        <w:rPr>
          <w:rFonts w:cs="Arial"/>
        </w:rPr>
      </w:pPr>
    </w:p>
    <w:p w:rsidR="00773AAF" w:rsidRDefault="00773AAF" w:rsidP="00773AAF">
      <w:pPr>
        <w:spacing w:line="360" w:lineRule="auto"/>
        <w:rPr>
          <w:rFonts w:ascii="Arial" w:hAnsi="Arial" w:cs="Arial"/>
        </w:rPr>
      </w:pPr>
    </w:p>
    <w:p w:rsidR="00935095" w:rsidRPr="00D419B6" w:rsidRDefault="00935095" w:rsidP="004E31D7">
      <w:pPr>
        <w:pStyle w:val="MemberSignature"/>
        <w:ind w:left="0"/>
        <w:jc w:val="both"/>
        <w:rPr>
          <w:i w:val="0"/>
          <w:lang w:val="en-US"/>
        </w:rPr>
      </w:pPr>
    </w:p>
    <w:p w:rsidR="00773AAF" w:rsidRDefault="00773AAF" w:rsidP="00773AAF">
      <w:pPr>
        <w:pStyle w:val="Member"/>
        <w:ind w:left="0"/>
      </w:pPr>
    </w:p>
    <w:p w:rsidR="00773AAF" w:rsidRDefault="00773AAF" w:rsidP="00773AAF">
      <w:pPr>
        <w:pStyle w:val="Member"/>
        <w:jc w:val="right"/>
      </w:pPr>
      <w:r>
        <w:t xml:space="preserve"> “K. J. Hussey”</w:t>
      </w:r>
    </w:p>
    <w:p w:rsidR="00773AAF" w:rsidRDefault="00773AAF" w:rsidP="00773AAF">
      <w:pPr>
        <w:pStyle w:val="Member"/>
        <w:ind w:left="0"/>
      </w:pPr>
    </w:p>
    <w:p w:rsidR="00773AAF" w:rsidRDefault="00773AAF" w:rsidP="00773AAF">
      <w:pPr>
        <w:pStyle w:val="Member"/>
        <w:ind w:left="0"/>
      </w:pPr>
    </w:p>
    <w:p w:rsidR="00773AAF" w:rsidRDefault="00773AAF" w:rsidP="00773AAF">
      <w:pPr>
        <w:pStyle w:val="Member"/>
        <w:jc w:val="right"/>
        <w:rPr>
          <w:i w:val="0"/>
        </w:rPr>
      </w:pPr>
      <w:r>
        <w:rPr>
          <w:i w:val="0"/>
        </w:rPr>
        <w:t>K. J. HUSSEY</w:t>
      </w:r>
    </w:p>
    <w:p w:rsidR="00773AAF" w:rsidRPr="00750294" w:rsidRDefault="00773AAF" w:rsidP="00773AAF">
      <w:pPr>
        <w:pStyle w:val="Member"/>
        <w:jc w:val="right"/>
        <w:rPr>
          <w:i w:val="0"/>
        </w:rPr>
      </w:pPr>
      <w:r>
        <w:rPr>
          <w:i w:val="0"/>
        </w:rPr>
        <w:t>VICE-CHAIR</w:t>
      </w:r>
    </w:p>
    <w:p w:rsidR="00773AAF" w:rsidRDefault="00773AAF" w:rsidP="00773AAF">
      <w:pPr>
        <w:pStyle w:val="AttachmentTextaboveFooter"/>
        <w:tabs>
          <w:tab w:val="clear" w:pos="4320"/>
          <w:tab w:val="center" w:pos="-270"/>
        </w:tabs>
        <w:jc w:val="left"/>
      </w:pP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627521" w:rsidRDefault="00627521" w:rsidP="00AC548D">
      <w:pPr>
        <w:rPr>
          <w:rFonts w:ascii="Arial" w:hAnsi="Arial" w:cs="Arial"/>
        </w:rPr>
      </w:pPr>
    </w:p>
    <w:p w:rsidR="004E31D7" w:rsidRPr="004E31D7" w:rsidRDefault="004E31D7" w:rsidP="00AC548D">
      <w:pPr>
        <w:rPr>
          <w:rFonts w:ascii="Arial" w:hAnsi="Arial" w:cs="Arial"/>
        </w:rPr>
      </w:pPr>
    </w:p>
    <w:p w:rsidR="00D265BD" w:rsidRPr="004E31D7" w:rsidRDefault="00D265BD"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t>
      </w:r>
      <w:proofErr w:type="spellStart"/>
      <w:r w:rsidRPr="00AC548D">
        <w:t>www.elto.gov.on.ca</w:t>
      </w:r>
      <w:proofErr w:type="spellEnd"/>
      <w:r w:rsidRPr="00AC548D">
        <w:t xml:space="preserve">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 xml:space="preserve">Website: </w:t>
      </w:r>
      <w:proofErr w:type="spellStart"/>
      <w:proofErr w:type="gramStart"/>
      <w:r w:rsidRPr="00AC548D">
        <w:t>www.elto.gov.on.ca</w:t>
      </w:r>
      <w:proofErr w:type="spellEnd"/>
      <w:r w:rsidRPr="00AC548D">
        <w:t xml:space="preserve">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82" w:rsidRDefault="003F2682">
      <w:r>
        <w:separator/>
      </w:r>
    </w:p>
  </w:endnote>
  <w:endnote w:type="continuationSeparator" w:id="0">
    <w:p w:rsidR="003F2682" w:rsidRDefault="003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82" w:rsidRDefault="003F2682">
      <w:r>
        <w:separator/>
      </w:r>
    </w:p>
  </w:footnote>
  <w:footnote w:type="continuationSeparator" w:id="0">
    <w:p w:rsidR="003F2682" w:rsidRDefault="003F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285AD7">
    <w:pPr>
      <w:pStyle w:val="Header"/>
      <w:tabs>
        <w:tab w:val="clear" w:pos="8640"/>
        <w:tab w:val="center" w:pos="4680"/>
        <w:tab w:val="left" w:pos="6804"/>
        <w:tab w:val="right" w:pos="9360"/>
      </w:tabs>
      <w:jc w:val="right"/>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316AB1">
      <w:rPr>
        <w:rFonts w:ascii="Arial" w:hAnsi="Arial" w:cs="Arial"/>
        <w:noProof/>
      </w:rPr>
      <w:t>3</w:t>
    </w:r>
    <w:r w:rsidRPr="005E51AF">
      <w:rPr>
        <w:rFonts w:ascii="Arial" w:hAnsi="Arial" w:cs="Arial"/>
        <w:noProof/>
      </w:rPr>
      <w:fldChar w:fldCharType="end"/>
    </w:r>
    <w:r w:rsidR="00C02B28">
      <w:rPr>
        <w:rFonts w:ascii="Arial" w:hAnsi="Arial" w:cs="Arial"/>
        <w:noProof/>
      </w:rPr>
      <w:tab/>
    </w:r>
    <w:r w:rsidR="00D419B6">
      <w:rPr>
        <w:rFonts w:ascii="Arial" w:hAnsi="Arial" w:cs="Arial"/>
        <w:noProof/>
      </w:rPr>
      <w:tab/>
      <w:t>MM160020</w:t>
    </w:r>
  </w:p>
  <w:p w:rsidR="005D1ED7" w:rsidRDefault="005D1ED7"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42A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5">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3260E"/>
    <w:multiLevelType w:val="hybridMultilevel"/>
    <w:tmpl w:val="29F04A88"/>
    <w:lvl w:ilvl="0" w:tplc="CB26F4B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8"/>
  </w:num>
  <w:num w:numId="4">
    <w:abstractNumId w:val="10"/>
  </w:num>
  <w:num w:numId="5">
    <w:abstractNumId w:val="31"/>
  </w:num>
  <w:num w:numId="6">
    <w:abstractNumId w:val="6"/>
  </w:num>
  <w:num w:numId="7">
    <w:abstractNumId w:val="2"/>
  </w:num>
  <w:num w:numId="8">
    <w:abstractNumId w:val="26"/>
  </w:num>
  <w:num w:numId="9">
    <w:abstractNumId w:val="17"/>
  </w:num>
  <w:num w:numId="10">
    <w:abstractNumId w:val="15"/>
  </w:num>
  <w:num w:numId="11">
    <w:abstractNumId w:val="21"/>
  </w:num>
  <w:num w:numId="12">
    <w:abstractNumId w:val="29"/>
  </w:num>
  <w:num w:numId="13">
    <w:abstractNumId w:val="5"/>
  </w:num>
  <w:num w:numId="14">
    <w:abstractNumId w:val="18"/>
  </w:num>
  <w:num w:numId="15">
    <w:abstractNumId w:val="24"/>
  </w:num>
  <w:num w:numId="16">
    <w:abstractNumId w:val="20"/>
  </w:num>
  <w:num w:numId="17">
    <w:abstractNumId w:val="9"/>
  </w:num>
  <w:num w:numId="18">
    <w:abstractNumId w:val="11"/>
  </w:num>
  <w:num w:numId="19">
    <w:abstractNumId w:val="3"/>
  </w:num>
  <w:num w:numId="20">
    <w:abstractNumId w:val="1"/>
  </w:num>
  <w:num w:numId="21">
    <w:abstractNumId w:val="8"/>
  </w:num>
  <w:num w:numId="22">
    <w:abstractNumId w:val="4"/>
  </w:num>
  <w:num w:numId="23">
    <w:abstractNumId w:val="14"/>
  </w:num>
  <w:num w:numId="24">
    <w:abstractNumId w:val="25"/>
  </w:num>
  <w:num w:numId="25">
    <w:abstractNumId w:val="13"/>
  </w:num>
  <w:num w:numId="26">
    <w:abstractNumId w:val="27"/>
  </w:num>
  <w:num w:numId="27">
    <w:abstractNumId w:val="12"/>
  </w:num>
  <w:num w:numId="28">
    <w:abstractNumId w:val="22"/>
  </w:num>
  <w:num w:numId="29">
    <w:abstractNumId w:val="16"/>
  </w:num>
  <w:num w:numId="30">
    <w:abstractNumId w:val="2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6357"/>
    <w:rsid w:val="00100AF6"/>
    <w:rsid w:val="0010191A"/>
    <w:rsid w:val="00104001"/>
    <w:rsid w:val="001220E4"/>
    <w:rsid w:val="0013161B"/>
    <w:rsid w:val="00137797"/>
    <w:rsid w:val="00144FD0"/>
    <w:rsid w:val="001551CC"/>
    <w:rsid w:val="001562BE"/>
    <w:rsid w:val="001634FB"/>
    <w:rsid w:val="001656BC"/>
    <w:rsid w:val="001702F3"/>
    <w:rsid w:val="00172CE7"/>
    <w:rsid w:val="001753A4"/>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3113"/>
    <w:rsid w:val="00225203"/>
    <w:rsid w:val="0022579A"/>
    <w:rsid w:val="00226115"/>
    <w:rsid w:val="00231390"/>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16AB1"/>
    <w:rsid w:val="00323369"/>
    <w:rsid w:val="00324440"/>
    <w:rsid w:val="00340879"/>
    <w:rsid w:val="00345480"/>
    <w:rsid w:val="003506EA"/>
    <w:rsid w:val="00350E1B"/>
    <w:rsid w:val="00354C2E"/>
    <w:rsid w:val="003620BF"/>
    <w:rsid w:val="00367CB0"/>
    <w:rsid w:val="00375F31"/>
    <w:rsid w:val="0038484F"/>
    <w:rsid w:val="00385FC9"/>
    <w:rsid w:val="00391DD7"/>
    <w:rsid w:val="003B236D"/>
    <w:rsid w:val="003B298B"/>
    <w:rsid w:val="003B7CE2"/>
    <w:rsid w:val="003D1234"/>
    <w:rsid w:val="003F266C"/>
    <w:rsid w:val="003F2682"/>
    <w:rsid w:val="00401F7B"/>
    <w:rsid w:val="00403715"/>
    <w:rsid w:val="00420FFD"/>
    <w:rsid w:val="004233D2"/>
    <w:rsid w:val="00441A9B"/>
    <w:rsid w:val="004507E6"/>
    <w:rsid w:val="00452228"/>
    <w:rsid w:val="004539BB"/>
    <w:rsid w:val="004568CC"/>
    <w:rsid w:val="00460B87"/>
    <w:rsid w:val="004662FE"/>
    <w:rsid w:val="004850D0"/>
    <w:rsid w:val="004A4461"/>
    <w:rsid w:val="004A587D"/>
    <w:rsid w:val="004B3247"/>
    <w:rsid w:val="004B6547"/>
    <w:rsid w:val="004B7E92"/>
    <w:rsid w:val="004C06AB"/>
    <w:rsid w:val="004C3B19"/>
    <w:rsid w:val="004C5ADC"/>
    <w:rsid w:val="004E03A4"/>
    <w:rsid w:val="004E31D7"/>
    <w:rsid w:val="004E4C91"/>
    <w:rsid w:val="004E4CD6"/>
    <w:rsid w:val="004F13B0"/>
    <w:rsid w:val="004F1B46"/>
    <w:rsid w:val="00505DF1"/>
    <w:rsid w:val="005064E9"/>
    <w:rsid w:val="00513CCD"/>
    <w:rsid w:val="005176E6"/>
    <w:rsid w:val="00530917"/>
    <w:rsid w:val="0053773B"/>
    <w:rsid w:val="0055024F"/>
    <w:rsid w:val="005554F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73AAF"/>
    <w:rsid w:val="007A1709"/>
    <w:rsid w:val="007A2C3D"/>
    <w:rsid w:val="007C08BD"/>
    <w:rsid w:val="007E0C30"/>
    <w:rsid w:val="007F7583"/>
    <w:rsid w:val="00802055"/>
    <w:rsid w:val="008046EB"/>
    <w:rsid w:val="0080724D"/>
    <w:rsid w:val="008173CF"/>
    <w:rsid w:val="00823753"/>
    <w:rsid w:val="008316DB"/>
    <w:rsid w:val="0083211C"/>
    <w:rsid w:val="00835A80"/>
    <w:rsid w:val="00837AE6"/>
    <w:rsid w:val="00865727"/>
    <w:rsid w:val="00866681"/>
    <w:rsid w:val="00890E5D"/>
    <w:rsid w:val="0089782A"/>
    <w:rsid w:val="008A1A0C"/>
    <w:rsid w:val="008A3586"/>
    <w:rsid w:val="008B3EB4"/>
    <w:rsid w:val="008B667D"/>
    <w:rsid w:val="008C09C4"/>
    <w:rsid w:val="008C7470"/>
    <w:rsid w:val="008D3B01"/>
    <w:rsid w:val="008E147D"/>
    <w:rsid w:val="008E5B11"/>
    <w:rsid w:val="00900C5B"/>
    <w:rsid w:val="00902134"/>
    <w:rsid w:val="00907DA4"/>
    <w:rsid w:val="009148E3"/>
    <w:rsid w:val="0092760B"/>
    <w:rsid w:val="00930FD3"/>
    <w:rsid w:val="009333AA"/>
    <w:rsid w:val="00935095"/>
    <w:rsid w:val="00935ABA"/>
    <w:rsid w:val="009360FC"/>
    <w:rsid w:val="00951EE2"/>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D6839"/>
    <w:rsid w:val="009E0DF7"/>
    <w:rsid w:val="009E1C08"/>
    <w:rsid w:val="009E202F"/>
    <w:rsid w:val="009E40F3"/>
    <w:rsid w:val="009E6983"/>
    <w:rsid w:val="009F040C"/>
    <w:rsid w:val="009F3047"/>
    <w:rsid w:val="00A07D8A"/>
    <w:rsid w:val="00A11CE2"/>
    <w:rsid w:val="00A20E8C"/>
    <w:rsid w:val="00A45D63"/>
    <w:rsid w:val="00A47406"/>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300F2"/>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19B6"/>
    <w:rsid w:val="00D42D9F"/>
    <w:rsid w:val="00D50C1C"/>
    <w:rsid w:val="00D53BDA"/>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40778"/>
    <w:rsid w:val="00E4342D"/>
    <w:rsid w:val="00E45C87"/>
    <w:rsid w:val="00E5336E"/>
    <w:rsid w:val="00E65759"/>
    <w:rsid w:val="00E73226"/>
    <w:rsid w:val="00E743D2"/>
    <w:rsid w:val="00E77E48"/>
    <w:rsid w:val="00E8779D"/>
    <w:rsid w:val="00E87A9B"/>
    <w:rsid w:val="00E97D24"/>
    <w:rsid w:val="00E97F04"/>
    <w:rsid w:val="00EA73B7"/>
    <w:rsid w:val="00EB3E73"/>
    <w:rsid w:val="00EC181A"/>
    <w:rsid w:val="00EC2949"/>
    <w:rsid w:val="00EE4BA3"/>
    <w:rsid w:val="00EE62E6"/>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07865144">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1CFF-D9D6-4618-9659-17762ED1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2</cp:revision>
  <cp:lastPrinted>2014-04-10T17:33:00Z</cp:lastPrinted>
  <dcterms:created xsi:type="dcterms:W3CDTF">2018-10-26T12:30:00Z</dcterms:created>
  <dcterms:modified xsi:type="dcterms:W3CDTF">2018-10-26T12:30:00Z</dcterms:modified>
</cp:coreProperties>
</file>