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56" w:rsidRDefault="00204A56" w:rsidP="005A767F">
      <w:pPr>
        <w:rPr>
          <w:rFonts w:ascii="Arial" w:hAnsi="Arial" w:cs="Arial"/>
          <w:lang w:val="en-CA"/>
        </w:rPr>
      </w:pPr>
      <w:bookmarkStart w:id="0" w:name="Appearances"/>
    </w:p>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D11C1E" w:rsidRPr="001E764F" w:rsidTr="00227E95">
        <w:trPr>
          <w:trHeight w:val="281"/>
        </w:trPr>
        <w:tc>
          <w:tcPr>
            <w:tcW w:w="5778" w:type="dxa"/>
          </w:tcPr>
          <w:p w:rsidR="00D11C1E" w:rsidRPr="001E764F" w:rsidRDefault="00D11C1E" w:rsidP="00BD1BB1">
            <w:pPr>
              <w:rPr>
                <w:rFonts w:ascii="Arial" w:hAnsi="Arial" w:cs="Arial"/>
                <w:b/>
                <w:sz w:val="16"/>
                <w:szCs w:val="16"/>
              </w:rPr>
            </w:pPr>
            <w:bookmarkStart w:id="1" w:name="DecisionDeliveredBy"/>
            <w:bookmarkEnd w:id="0"/>
          </w:p>
        </w:tc>
        <w:tc>
          <w:tcPr>
            <w:tcW w:w="3828" w:type="dxa"/>
            <w:vMerge w:val="restart"/>
          </w:tcPr>
          <w:p w:rsidR="00D11C1E" w:rsidRPr="001E764F" w:rsidRDefault="00D11C1E" w:rsidP="00BD1BB1">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9264" behindDoc="0" locked="0" layoutInCell="1" allowOverlap="1" wp14:anchorId="1EFD500C" wp14:editId="76F4B12D">
                  <wp:simplePos x="0" y="0"/>
                  <wp:positionH relativeFrom="column">
                    <wp:align>center</wp:align>
                  </wp:positionH>
                  <wp:positionV relativeFrom="paragraph">
                    <wp:posOffset>80010</wp:posOffset>
                  </wp:positionV>
                  <wp:extent cx="1188720" cy="1402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11C1E" w:rsidRPr="001E764F" w:rsidTr="00227E95">
        <w:tc>
          <w:tcPr>
            <w:tcW w:w="5778" w:type="dxa"/>
          </w:tcPr>
          <w:p w:rsidR="00D11C1E" w:rsidRPr="001E764F" w:rsidRDefault="00D11C1E" w:rsidP="00BD1BB1">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rsidR="00D11C1E" w:rsidRPr="001E764F" w:rsidRDefault="00D11C1E" w:rsidP="00BD1BB1">
            <w:pPr>
              <w:rPr>
                <w:rFonts w:ascii="Arial" w:hAnsi="Arial" w:cs="Arial"/>
                <w:b/>
                <w:sz w:val="32"/>
                <w:szCs w:val="32"/>
              </w:rPr>
            </w:pPr>
          </w:p>
        </w:tc>
      </w:tr>
      <w:tr w:rsidR="00D11C1E" w:rsidRPr="001E764F" w:rsidTr="00227E95">
        <w:trPr>
          <w:trHeight w:val="1865"/>
        </w:trPr>
        <w:tc>
          <w:tcPr>
            <w:tcW w:w="5778" w:type="dxa"/>
          </w:tcPr>
          <w:p w:rsidR="00D11C1E" w:rsidRPr="001E764F" w:rsidRDefault="00D11C1E" w:rsidP="00BD1BB1">
            <w:pPr>
              <w:rPr>
                <w:rFonts w:ascii="Arial" w:hAnsi="Arial" w:cs="Arial"/>
                <w:sz w:val="32"/>
                <w:szCs w:val="32"/>
                <w:lang w:val="fr-CA"/>
              </w:rPr>
            </w:pPr>
            <w:r>
              <w:rPr>
                <w:rFonts w:ascii="Arial" w:hAnsi="Arial" w:cs="Arial"/>
                <w:sz w:val="32"/>
                <w:szCs w:val="32"/>
                <w:lang w:val="fr-CA"/>
              </w:rPr>
              <w:t>Tribunal d’appel de l’aménagement local</w:t>
            </w:r>
          </w:p>
          <w:p w:rsidR="00D11C1E" w:rsidRPr="001E764F" w:rsidRDefault="00D11C1E" w:rsidP="00BD1BB1">
            <w:pPr>
              <w:rPr>
                <w:rFonts w:ascii="Arial" w:hAnsi="Arial" w:cs="Arial"/>
                <w:sz w:val="32"/>
                <w:szCs w:val="32"/>
                <w:lang w:val="fr-CA"/>
              </w:rPr>
            </w:pPr>
          </w:p>
          <w:p w:rsidR="00D11C1E" w:rsidRPr="001E764F" w:rsidRDefault="00D11C1E" w:rsidP="00BD1BB1">
            <w:pPr>
              <w:rPr>
                <w:rFonts w:ascii="Arial" w:hAnsi="Arial" w:cs="Arial"/>
                <w:sz w:val="32"/>
                <w:szCs w:val="32"/>
                <w:lang w:val="fr-CA"/>
              </w:rPr>
            </w:pPr>
          </w:p>
        </w:tc>
        <w:tc>
          <w:tcPr>
            <w:tcW w:w="3828" w:type="dxa"/>
            <w:vMerge/>
          </w:tcPr>
          <w:p w:rsidR="00D11C1E" w:rsidRPr="001E764F" w:rsidRDefault="00D11C1E" w:rsidP="00BD1BB1">
            <w:pPr>
              <w:rPr>
                <w:rFonts w:ascii="Arial" w:hAnsi="Arial" w:cs="Arial"/>
                <w:sz w:val="32"/>
                <w:szCs w:val="32"/>
                <w:lang w:val="fr-CA"/>
              </w:rPr>
            </w:pPr>
          </w:p>
        </w:tc>
      </w:tr>
    </w:tbl>
    <w:p w:rsidR="00D11C1E" w:rsidRPr="00D8393F" w:rsidRDefault="00D11C1E" w:rsidP="007B76AB">
      <w:pPr>
        <w:rPr>
          <w:rFonts w:ascii="Arial" w:hAnsi="Arial" w:cs="Arial"/>
          <w:sz w:val="32"/>
          <w:szCs w:val="32"/>
          <w:lang w:val="fr-CA"/>
        </w:rPr>
      </w:pPr>
    </w:p>
    <w:tbl>
      <w:tblPr>
        <w:tblpPr w:leftFromText="181" w:rightFromText="181" w:vertAnchor="text" w:horzAnchor="margin" w:tblpY="189"/>
        <w:tblW w:w="9464" w:type="dxa"/>
        <w:tblLook w:val="04A0" w:firstRow="1" w:lastRow="0" w:firstColumn="1" w:lastColumn="0" w:noHBand="0" w:noVBand="1"/>
      </w:tblPr>
      <w:tblGrid>
        <w:gridCol w:w="1818"/>
        <w:gridCol w:w="3960"/>
        <w:gridCol w:w="1843"/>
        <w:gridCol w:w="1843"/>
      </w:tblGrid>
      <w:tr w:rsidR="007B76AB" w:rsidRPr="004704FF" w:rsidTr="00AB6FEF">
        <w:tc>
          <w:tcPr>
            <w:tcW w:w="1818" w:type="dxa"/>
            <w:shd w:val="clear" w:color="auto" w:fill="auto"/>
          </w:tcPr>
          <w:p w:rsidR="007B76AB" w:rsidRPr="004704FF" w:rsidRDefault="007B76AB" w:rsidP="00AB6FEF">
            <w:pPr>
              <w:rPr>
                <w:rFonts w:ascii="Arial" w:hAnsi="Arial" w:cs="Arial"/>
                <w:lang w:val="en-CA"/>
              </w:rPr>
            </w:pPr>
            <w:r w:rsidRPr="004704FF">
              <w:rPr>
                <w:rFonts w:ascii="Arial" w:hAnsi="Arial" w:cs="Arial"/>
                <w:b/>
                <w:lang w:val="en-CA"/>
              </w:rPr>
              <w:t>ISSUE DATE</w:t>
            </w:r>
            <w:r w:rsidRPr="004704FF">
              <w:rPr>
                <w:rFonts w:ascii="Arial" w:hAnsi="Arial" w:cs="Arial"/>
                <w:lang w:val="en-CA"/>
              </w:rPr>
              <w:t>:</w:t>
            </w:r>
          </w:p>
        </w:tc>
        <w:tc>
          <w:tcPr>
            <w:tcW w:w="3960" w:type="dxa"/>
            <w:shd w:val="clear" w:color="auto" w:fill="auto"/>
          </w:tcPr>
          <w:p w:rsidR="007B76AB" w:rsidRPr="00AC514C" w:rsidRDefault="00AC514C" w:rsidP="00AB6FEF">
            <w:pPr>
              <w:rPr>
                <w:rFonts w:ascii="Arial" w:hAnsi="Arial" w:cs="Arial"/>
                <w:lang w:val="en-CA"/>
              </w:rPr>
            </w:pPr>
            <w:r w:rsidRPr="00AC514C">
              <w:rPr>
                <w:rFonts w:ascii="Arial" w:hAnsi="Arial" w:cs="Arial"/>
                <w:lang w:val="en-CA"/>
              </w:rPr>
              <w:t>May 14, 2018</w:t>
            </w:r>
          </w:p>
        </w:tc>
        <w:tc>
          <w:tcPr>
            <w:tcW w:w="1843" w:type="dxa"/>
            <w:shd w:val="clear" w:color="auto" w:fill="auto"/>
          </w:tcPr>
          <w:p w:rsidR="007B76AB" w:rsidRPr="004704FF" w:rsidRDefault="007B76AB" w:rsidP="00AB6FEF">
            <w:pPr>
              <w:rPr>
                <w:rFonts w:ascii="Arial" w:hAnsi="Arial" w:cs="Arial"/>
                <w:b/>
                <w:lang w:val="en-CA"/>
              </w:rPr>
            </w:pPr>
            <w:r w:rsidRPr="004704FF">
              <w:rPr>
                <w:rFonts w:ascii="Arial" w:hAnsi="Arial" w:cs="Arial"/>
                <w:lang w:val="en-CA"/>
              </w:rPr>
              <w:fldChar w:fldCharType="begin"/>
            </w:r>
            <w:r w:rsidRPr="004704FF">
              <w:rPr>
                <w:rFonts w:ascii="Arial" w:hAnsi="Arial" w:cs="Arial"/>
                <w:lang w:val="en-CA"/>
              </w:rPr>
              <w:instrText xml:space="preserve"> SEQ CHAPTER \h \r 1</w:instrText>
            </w:r>
            <w:r w:rsidRPr="004704FF">
              <w:rPr>
                <w:rFonts w:ascii="Arial" w:hAnsi="Arial" w:cs="Arial"/>
                <w:lang w:val="en-CA"/>
              </w:rPr>
              <w:fldChar w:fldCharType="end"/>
            </w:r>
            <w:r w:rsidRPr="004704FF">
              <w:rPr>
                <w:rFonts w:ascii="Arial" w:hAnsi="Arial" w:cs="Arial"/>
                <w:b/>
                <w:lang w:val="en-CA"/>
              </w:rPr>
              <w:t>CASE NO(S)</w:t>
            </w:r>
            <w:proofErr w:type="gramStart"/>
            <w:r w:rsidRPr="004704FF">
              <w:rPr>
                <w:rFonts w:ascii="Arial" w:hAnsi="Arial" w:cs="Arial"/>
                <w:b/>
                <w:lang w:val="en-CA"/>
              </w:rPr>
              <w:t>.:</w:t>
            </w:r>
            <w:proofErr w:type="gramEnd"/>
          </w:p>
        </w:tc>
        <w:tc>
          <w:tcPr>
            <w:tcW w:w="1843" w:type="dxa"/>
            <w:shd w:val="clear" w:color="auto" w:fill="auto"/>
            <w:vAlign w:val="center"/>
          </w:tcPr>
          <w:p w:rsidR="00AE5E8E" w:rsidRDefault="00AE5E8E" w:rsidP="00AB6FEF">
            <w:pPr>
              <w:jc w:val="center"/>
              <w:rPr>
                <w:rFonts w:ascii="Arial" w:hAnsi="Arial" w:cs="Arial"/>
                <w:lang w:val="en-CA"/>
              </w:rPr>
            </w:pPr>
            <w:r>
              <w:rPr>
                <w:rFonts w:ascii="Arial" w:hAnsi="Arial" w:cs="Arial"/>
                <w:lang w:val="en-CA"/>
              </w:rPr>
              <w:t>PL090114</w:t>
            </w:r>
          </w:p>
          <w:p w:rsidR="00AE5E8E" w:rsidRPr="004704FF" w:rsidRDefault="00AE5E8E" w:rsidP="00AE5E8E">
            <w:pPr>
              <w:jc w:val="center"/>
              <w:rPr>
                <w:rFonts w:ascii="Arial" w:hAnsi="Arial" w:cs="Arial"/>
                <w:lang w:val="en-CA"/>
              </w:rPr>
            </w:pPr>
            <w:r>
              <w:rPr>
                <w:rFonts w:ascii="Arial" w:hAnsi="Arial" w:cs="Arial"/>
                <w:lang w:val="en-CA"/>
              </w:rPr>
              <w:t>PL110331</w:t>
            </w:r>
          </w:p>
        </w:tc>
      </w:tr>
    </w:tbl>
    <w:p w:rsidR="007B76AB" w:rsidRDefault="007B76AB" w:rsidP="007B76AB">
      <w:pPr>
        <w:pStyle w:val="Header"/>
        <w:tabs>
          <w:tab w:val="left" w:pos="720"/>
        </w:tabs>
        <w:rPr>
          <w:rFonts w:ascii="Arial" w:hAnsi="Arial" w:cs="Arial"/>
          <w:b/>
          <w:lang w:val="en-CA"/>
        </w:rPr>
      </w:pPr>
    </w:p>
    <w:p w:rsidR="00397A2C" w:rsidRDefault="00397A2C" w:rsidP="007B76AB">
      <w:pPr>
        <w:pStyle w:val="Header"/>
        <w:tabs>
          <w:tab w:val="left" w:pos="720"/>
        </w:tabs>
        <w:rPr>
          <w:rFonts w:ascii="Arial" w:hAnsi="Arial" w:cs="Arial"/>
          <w:b/>
          <w:lang w:val="en-CA"/>
        </w:rPr>
      </w:pPr>
    </w:p>
    <w:p w:rsidR="00D11C1E" w:rsidRPr="00250221" w:rsidRDefault="00D11C1E" w:rsidP="00D11C1E">
      <w:pPr>
        <w:jc w:val="both"/>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p w:rsidR="007B76AB" w:rsidRDefault="007B76AB" w:rsidP="004F3A2E">
      <w:pPr>
        <w:pStyle w:val="StyleofClause"/>
      </w:pPr>
    </w:p>
    <w:p w:rsidR="00DE0D78" w:rsidRPr="00431D90" w:rsidRDefault="00DE0D78" w:rsidP="00DE0D78">
      <w:pPr>
        <w:rPr>
          <w:rFonts w:ascii="Arial" w:hAnsi="Arial" w:cs="Arial"/>
          <w:sz w:val="22"/>
          <w:szCs w:val="22"/>
        </w:rPr>
      </w:pPr>
    </w:p>
    <w:p w:rsidR="00DE0D78" w:rsidRPr="00227E95" w:rsidRDefault="00DE0D78" w:rsidP="00DE0D78">
      <w:pPr>
        <w:pStyle w:val="Header"/>
        <w:tabs>
          <w:tab w:val="left" w:pos="720"/>
        </w:tabs>
        <w:rPr>
          <w:rFonts w:ascii="Arial" w:hAnsi="Arial" w:cs="Arial"/>
        </w:rPr>
      </w:pPr>
      <w:r w:rsidRPr="00227E95">
        <w:rPr>
          <w:rFonts w:ascii="Arial" w:hAnsi="Arial" w:cs="Arial"/>
        </w:rPr>
        <w:t xml:space="preserve">IN THE MATTER OF subsection 17(36) of the </w:t>
      </w:r>
      <w:r w:rsidRPr="00227E95">
        <w:rPr>
          <w:rFonts w:ascii="Arial" w:hAnsi="Arial" w:cs="Arial"/>
          <w:i/>
          <w:iCs/>
        </w:rPr>
        <w:t>Planning Act</w:t>
      </w:r>
      <w:r w:rsidRPr="00227E95">
        <w:rPr>
          <w:rFonts w:ascii="Arial" w:hAnsi="Arial" w:cs="Arial"/>
        </w:rPr>
        <w:t>, R.S.O. 1990, C. P. 13, as amended</w:t>
      </w:r>
    </w:p>
    <w:p w:rsidR="00DE0D78" w:rsidRPr="00227E95" w:rsidRDefault="00DE0D78" w:rsidP="004F3A2E">
      <w:pPr>
        <w:pStyle w:val="StyleofClause"/>
      </w:pPr>
    </w:p>
    <w:tbl>
      <w:tblPr>
        <w:tblW w:w="0" w:type="auto"/>
        <w:tblBorders>
          <w:insideH w:val="nil"/>
          <w:insideV w:val="nil"/>
        </w:tblBorders>
        <w:tblLook w:val="00A0" w:firstRow="1" w:lastRow="0" w:firstColumn="1" w:lastColumn="0" w:noHBand="0" w:noVBand="0"/>
      </w:tblPr>
      <w:tblGrid>
        <w:gridCol w:w="1964"/>
        <w:gridCol w:w="5099"/>
      </w:tblGrid>
      <w:tr w:rsidR="00DE0D78" w:rsidRPr="00227E95" w:rsidTr="00190787">
        <w:tc>
          <w:tcPr>
            <w:tcW w:w="1964" w:type="dxa"/>
            <w:tcBorders>
              <w:top w:val="nil"/>
              <w:left w:val="nil"/>
              <w:bottom w:val="nil"/>
              <w:right w:val="nil"/>
            </w:tcBorders>
            <w:hideMark/>
          </w:tcPr>
          <w:p w:rsidR="00DE0D78" w:rsidRPr="00227E95" w:rsidRDefault="00DE0D78" w:rsidP="004F3A2E">
            <w:pPr>
              <w:pStyle w:val="StyleofClause"/>
              <w:ind w:left="0"/>
              <w:rPr>
                <w:i/>
                <w:iCs/>
              </w:rPr>
            </w:pPr>
            <w:r w:rsidRPr="00227E95">
              <w:t>Appellants:</w:t>
            </w:r>
          </w:p>
        </w:tc>
        <w:tc>
          <w:tcPr>
            <w:tcW w:w="5099" w:type="dxa"/>
            <w:tcBorders>
              <w:top w:val="nil"/>
              <w:left w:val="nil"/>
              <w:bottom w:val="nil"/>
              <w:right w:val="nil"/>
            </w:tcBorders>
            <w:hideMark/>
          </w:tcPr>
          <w:p w:rsidR="00DE0D78" w:rsidRPr="00227E95" w:rsidRDefault="00DE0D78" w:rsidP="004F3A2E">
            <w:pPr>
              <w:pStyle w:val="StyleofClause"/>
              <w:rPr>
                <w:i/>
                <w:iCs/>
              </w:rPr>
            </w:pPr>
            <w:r w:rsidRPr="00227E95">
              <w:t>See below</w:t>
            </w:r>
          </w:p>
        </w:tc>
      </w:tr>
      <w:tr w:rsidR="00DE0D78" w:rsidRPr="00227E95" w:rsidTr="00190787">
        <w:tc>
          <w:tcPr>
            <w:tcW w:w="1964" w:type="dxa"/>
            <w:tcBorders>
              <w:top w:val="nil"/>
              <w:left w:val="nil"/>
              <w:bottom w:val="nil"/>
              <w:right w:val="nil"/>
            </w:tcBorders>
            <w:hideMark/>
          </w:tcPr>
          <w:p w:rsidR="00DE0D78" w:rsidRPr="00227E95" w:rsidRDefault="00DE0D78" w:rsidP="00190787">
            <w:pPr>
              <w:rPr>
                <w:rFonts w:ascii="Arial" w:hAnsi="Arial" w:cs="Arial"/>
              </w:rPr>
            </w:pPr>
            <w:r w:rsidRPr="00227E95">
              <w:rPr>
                <w:rFonts w:ascii="Arial" w:hAnsi="Arial" w:cs="Arial"/>
              </w:rPr>
              <w:t>Subject:</w:t>
            </w:r>
          </w:p>
        </w:tc>
        <w:tc>
          <w:tcPr>
            <w:tcW w:w="5099" w:type="dxa"/>
            <w:tcBorders>
              <w:top w:val="nil"/>
              <w:left w:val="nil"/>
              <w:bottom w:val="nil"/>
              <w:right w:val="nil"/>
            </w:tcBorders>
            <w:hideMark/>
          </w:tcPr>
          <w:p w:rsidR="00DE0D78" w:rsidRPr="00227E95" w:rsidRDefault="00DE0D78" w:rsidP="004F3A2E">
            <w:pPr>
              <w:ind w:left="2147"/>
              <w:rPr>
                <w:rFonts w:ascii="Arial" w:hAnsi="Arial" w:cs="Arial"/>
              </w:rPr>
            </w:pPr>
            <w:bookmarkStart w:id="2" w:name="_GoBack"/>
            <w:r w:rsidRPr="00227E95">
              <w:rPr>
                <w:rFonts w:ascii="Arial" w:hAnsi="Arial" w:cs="Arial"/>
              </w:rPr>
              <w:t xml:space="preserve">Rural Hamilton Official Plan </w:t>
            </w:r>
            <w:bookmarkEnd w:id="2"/>
          </w:p>
        </w:tc>
      </w:tr>
      <w:tr w:rsidR="00DE0D78" w:rsidRPr="00227E95" w:rsidTr="00190787">
        <w:tc>
          <w:tcPr>
            <w:tcW w:w="1964" w:type="dxa"/>
            <w:tcBorders>
              <w:top w:val="nil"/>
              <w:left w:val="nil"/>
              <w:bottom w:val="nil"/>
              <w:right w:val="nil"/>
            </w:tcBorders>
            <w:hideMark/>
          </w:tcPr>
          <w:p w:rsidR="00DE0D78" w:rsidRPr="00227E95" w:rsidRDefault="00DE0D78" w:rsidP="00190787">
            <w:pPr>
              <w:rPr>
                <w:rFonts w:ascii="Arial" w:hAnsi="Arial" w:cs="Arial"/>
              </w:rPr>
            </w:pPr>
            <w:r w:rsidRPr="00227E95">
              <w:rPr>
                <w:rFonts w:ascii="Arial" w:hAnsi="Arial" w:cs="Arial"/>
              </w:rPr>
              <w:t>Municipality:</w:t>
            </w:r>
          </w:p>
        </w:tc>
        <w:tc>
          <w:tcPr>
            <w:tcW w:w="5099" w:type="dxa"/>
            <w:tcBorders>
              <w:top w:val="nil"/>
              <w:left w:val="nil"/>
              <w:bottom w:val="nil"/>
              <w:right w:val="nil"/>
            </w:tcBorders>
            <w:hideMark/>
          </w:tcPr>
          <w:p w:rsidR="00DE0D78" w:rsidRPr="00227E95" w:rsidRDefault="00DE0D78" w:rsidP="004F3A2E">
            <w:pPr>
              <w:ind w:left="2147"/>
              <w:rPr>
                <w:rFonts w:ascii="Arial" w:hAnsi="Arial" w:cs="Arial"/>
              </w:rPr>
            </w:pPr>
            <w:r w:rsidRPr="00227E95">
              <w:rPr>
                <w:rFonts w:ascii="Arial" w:hAnsi="Arial" w:cs="Arial"/>
              </w:rPr>
              <w:t>City of Hamilton</w:t>
            </w:r>
          </w:p>
        </w:tc>
      </w:tr>
      <w:tr w:rsidR="00DE0D78" w:rsidRPr="00227E95" w:rsidTr="00190787">
        <w:tc>
          <w:tcPr>
            <w:tcW w:w="1964" w:type="dxa"/>
            <w:tcBorders>
              <w:top w:val="nil"/>
              <w:left w:val="nil"/>
              <w:bottom w:val="nil"/>
              <w:right w:val="nil"/>
            </w:tcBorders>
            <w:hideMark/>
          </w:tcPr>
          <w:p w:rsidR="00DE0D78" w:rsidRPr="00227E95" w:rsidRDefault="00DE0D78" w:rsidP="00190787">
            <w:pPr>
              <w:rPr>
                <w:rFonts w:ascii="Arial" w:hAnsi="Arial" w:cs="Arial"/>
              </w:rPr>
            </w:pPr>
            <w:r w:rsidRPr="00227E95">
              <w:rPr>
                <w:rFonts w:ascii="Arial" w:hAnsi="Arial" w:cs="Arial"/>
              </w:rPr>
              <w:t>OMB Case No.:</w:t>
            </w:r>
          </w:p>
        </w:tc>
        <w:tc>
          <w:tcPr>
            <w:tcW w:w="5099" w:type="dxa"/>
            <w:tcBorders>
              <w:top w:val="nil"/>
              <w:left w:val="nil"/>
              <w:bottom w:val="nil"/>
              <w:right w:val="nil"/>
            </w:tcBorders>
            <w:hideMark/>
          </w:tcPr>
          <w:p w:rsidR="00DE0D78" w:rsidRPr="00227E95" w:rsidRDefault="00DE0D78" w:rsidP="004F3A2E">
            <w:pPr>
              <w:ind w:left="2147"/>
              <w:rPr>
                <w:rFonts w:ascii="Arial" w:hAnsi="Arial" w:cs="Arial"/>
              </w:rPr>
            </w:pPr>
            <w:r w:rsidRPr="00227E95">
              <w:rPr>
                <w:rFonts w:ascii="Arial" w:hAnsi="Arial" w:cs="Arial"/>
              </w:rPr>
              <w:t>PL090114</w:t>
            </w:r>
          </w:p>
        </w:tc>
      </w:tr>
      <w:tr w:rsidR="00DE0D78" w:rsidRPr="00227E95" w:rsidTr="00190787">
        <w:tc>
          <w:tcPr>
            <w:tcW w:w="1964" w:type="dxa"/>
            <w:tcBorders>
              <w:top w:val="nil"/>
              <w:left w:val="nil"/>
              <w:bottom w:val="nil"/>
              <w:right w:val="nil"/>
            </w:tcBorders>
            <w:hideMark/>
          </w:tcPr>
          <w:p w:rsidR="00DE0D78" w:rsidRPr="00227E95" w:rsidRDefault="00DE0D78" w:rsidP="00190787">
            <w:pPr>
              <w:rPr>
                <w:rFonts w:ascii="Arial" w:hAnsi="Arial" w:cs="Arial"/>
              </w:rPr>
            </w:pPr>
            <w:r w:rsidRPr="00227E95">
              <w:rPr>
                <w:rFonts w:ascii="Arial" w:hAnsi="Arial" w:cs="Arial"/>
              </w:rPr>
              <w:t>OMB File No.:</w:t>
            </w:r>
          </w:p>
        </w:tc>
        <w:tc>
          <w:tcPr>
            <w:tcW w:w="5099" w:type="dxa"/>
            <w:tcBorders>
              <w:top w:val="nil"/>
              <w:left w:val="nil"/>
              <w:bottom w:val="nil"/>
              <w:right w:val="nil"/>
            </w:tcBorders>
            <w:hideMark/>
          </w:tcPr>
          <w:p w:rsidR="00DE0D78" w:rsidRPr="00227E95" w:rsidRDefault="00DE0D78" w:rsidP="004F3A2E">
            <w:pPr>
              <w:ind w:left="2147"/>
              <w:rPr>
                <w:rFonts w:ascii="Arial" w:hAnsi="Arial" w:cs="Arial"/>
              </w:rPr>
            </w:pPr>
            <w:r w:rsidRPr="00227E95">
              <w:rPr>
                <w:rFonts w:ascii="Arial" w:hAnsi="Arial" w:cs="Arial"/>
              </w:rPr>
              <w:t>PL090114</w:t>
            </w:r>
          </w:p>
        </w:tc>
      </w:tr>
    </w:tbl>
    <w:p w:rsidR="00DE0D78" w:rsidRPr="0031439B" w:rsidRDefault="0031439B" w:rsidP="00DE0D78">
      <w:pPr>
        <w:rPr>
          <w:rFonts w:ascii="Arial" w:hAnsi="Arial" w:cs="Arial"/>
        </w:rPr>
      </w:pPr>
      <w:r>
        <w:rPr>
          <w:rFonts w:ascii="Arial" w:hAnsi="Arial" w:cs="Arial"/>
        </w:rPr>
        <w:t>OMB Case Name:</w:t>
      </w:r>
      <w:r>
        <w:rPr>
          <w:rFonts w:ascii="Arial" w:hAnsi="Arial" w:cs="Arial"/>
        </w:rPr>
        <w:tab/>
      </w:r>
      <w:r>
        <w:rPr>
          <w:rFonts w:ascii="Arial" w:hAnsi="Arial" w:cs="Arial"/>
        </w:rPr>
        <w:tab/>
      </w:r>
      <w:r>
        <w:rPr>
          <w:rFonts w:ascii="Arial" w:hAnsi="Arial" w:cs="Arial"/>
        </w:rPr>
        <w:tab/>
        <w:t xml:space="preserve">        Cartwright v. Hamilton (City)</w:t>
      </w:r>
    </w:p>
    <w:p w:rsidR="00DE0D78" w:rsidRPr="00227E95" w:rsidRDefault="00DE0D78" w:rsidP="00DE0D78">
      <w:pPr>
        <w:jc w:val="center"/>
        <w:rPr>
          <w:rFonts w:ascii="Arial" w:hAnsi="Arial" w:cs="Arial"/>
          <w:b/>
          <w:bCs/>
          <w:u w:val="single"/>
        </w:rPr>
      </w:pPr>
    </w:p>
    <w:p w:rsidR="00DE0D78" w:rsidRPr="00227E95" w:rsidRDefault="00DE0D78" w:rsidP="00DE0D78">
      <w:pPr>
        <w:jc w:val="center"/>
        <w:rPr>
          <w:rFonts w:ascii="Arial" w:hAnsi="Arial" w:cs="Arial"/>
          <w:b/>
          <w:bCs/>
          <w:u w:val="single"/>
        </w:rPr>
      </w:pPr>
      <w:r w:rsidRPr="00227E95">
        <w:rPr>
          <w:rFonts w:ascii="Arial" w:hAnsi="Arial" w:cs="Arial"/>
          <w:b/>
          <w:bCs/>
          <w:u w:val="single"/>
        </w:rPr>
        <w:t>List of Appellants</w:t>
      </w:r>
    </w:p>
    <w:p w:rsidR="00DE0D78" w:rsidRPr="00227E95" w:rsidRDefault="00DE0D78" w:rsidP="00DE0D78">
      <w:pPr>
        <w:jc w:val="center"/>
        <w:rPr>
          <w:rFonts w:ascii="Arial" w:hAnsi="Arial" w:cs="Arial"/>
          <w:b/>
          <w:bCs/>
          <w:u w:val="single"/>
        </w:rPr>
      </w:pPr>
    </w:p>
    <w:tbl>
      <w:tblPr>
        <w:tblW w:w="7803" w:type="dxa"/>
        <w:tblInd w:w="93" w:type="dxa"/>
        <w:tblLook w:val="04A0" w:firstRow="1" w:lastRow="0" w:firstColumn="1" w:lastColumn="0" w:noHBand="0" w:noVBand="1"/>
      </w:tblPr>
      <w:tblGrid>
        <w:gridCol w:w="603"/>
        <w:gridCol w:w="7200"/>
      </w:tblGrid>
      <w:tr w:rsidR="00DE0D78" w:rsidRPr="00227E95" w:rsidTr="00227E95">
        <w:trPr>
          <w:trHeight w:val="315"/>
        </w:trPr>
        <w:tc>
          <w:tcPr>
            <w:tcW w:w="603" w:type="dxa"/>
            <w:shd w:val="clear" w:color="auto" w:fill="C0C0C0"/>
            <w:noWrap/>
            <w:vAlign w:val="bottom"/>
            <w:hideMark/>
          </w:tcPr>
          <w:p w:rsidR="00DE0D78" w:rsidRPr="00227E95" w:rsidRDefault="00DE0D78" w:rsidP="00190787">
            <w:pPr>
              <w:rPr>
                <w:rFonts w:ascii="Arial" w:hAnsi="Arial" w:cs="Arial"/>
                <w:b/>
                <w:bCs/>
              </w:rPr>
            </w:pPr>
            <w:r w:rsidRPr="00227E95">
              <w:rPr>
                <w:rFonts w:ascii="Arial" w:hAnsi="Arial" w:cs="Arial"/>
                <w:b/>
                <w:bCs/>
              </w:rPr>
              <w:t xml:space="preserve">No. </w:t>
            </w:r>
          </w:p>
        </w:tc>
        <w:tc>
          <w:tcPr>
            <w:tcW w:w="7200" w:type="dxa"/>
            <w:shd w:val="clear" w:color="auto" w:fill="C0C0C0"/>
            <w:noWrap/>
            <w:vAlign w:val="bottom"/>
            <w:hideMark/>
          </w:tcPr>
          <w:p w:rsidR="00DE0D78" w:rsidRPr="00227E95" w:rsidRDefault="00DE0D78" w:rsidP="00190787">
            <w:pPr>
              <w:rPr>
                <w:rFonts w:ascii="Arial" w:hAnsi="Arial" w:cs="Arial"/>
                <w:b/>
                <w:bCs/>
              </w:rPr>
            </w:pPr>
            <w:r w:rsidRPr="00227E95">
              <w:rPr>
                <w:rFonts w:ascii="Arial" w:hAnsi="Arial" w:cs="Arial"/>
                <w:b/>
                <w:bCs/>
              </w:rPr>
              <w:t>Appellant</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1</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Ontario Stone, Sand &amp; Gravel Association (OSSGA)</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2</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Paletta International Corporation</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3</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P&amp;L Livestock Limited</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9</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St. Marys Cement (Canada) Inc.</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10</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Demik Developments</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11</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1694408 Ontario Inc.</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13</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Artstone Holdings Limited</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14</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Artstone Holdings Limited</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15</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Weizer Investments Limited</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16</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Corpveil Holdings Limited</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lastRenderedPageBreak/>
              <w:t>18</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 xml:space="preserve">Ancaster Christian Reform Church </w:t>
            </w:r>
          </w:p>
        </w:tc>
      </w:tr>
      <w:tr w:rsidR="00DE0D78" w:rsidRPr="00227E95" w:rsidTr="00227E95">
        <w:trPr>
          <w:trHeight w:val="6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19</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456941 Ontario Ltd., 1263339 Ontario Ltd. and Lea Silvestri ("Silvestri Investments")</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20</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Angelo Giacomelli and Mario Nesci</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22</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Keith Pickles and Brenda Pickles</w:t>
            </w:r>
          </w:p>
        </w:tc>
      </w:tr>
      <w:tr w:rsidR="00DE0D78" w:rsidRPr="00227E95" w:rsidTr="00227E95">
        <w:trPr>
          <w:trHeight w:val="6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23</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John Paolini, Gino DalBello, Olindo DalBello, Luigi DeTina, Peter Djeneralovic, Jim Swick and Quinto Simone</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24</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New Country Investors Limited</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25</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1507565 Ontario Inc.</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27</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Lafarge Canada Inc.</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28</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Peter Cartwright</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29</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City of Hamilton</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30</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Dr. Tom Nugent</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32</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DiCenzo (Golf Club Road) Holdings Inc.</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33</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Dufferin Aggregates (a division of Holcim (Canada) Inc.)</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35</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David E. Mercer</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36</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Multi-Area Developments Inc.</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37</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Paletta International Corporation (Elfrida Lands)</w:t>
            </w:r>
          </w:p>
        </w:tc>
      </w:tr>
      <w:tr w:rsidR="00DE0D78" w:rsidRPr="00227E95" w:rsidTr="00227E95">
        <w:trPr>
          <w:trHeight w:val="6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39</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2101510 Ontario Inc. (subsumed by Paletta International Corporation)</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40</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2000963 Ontario Inc.</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41</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Mud &amp; First Inc.</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42</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2084696 Ontario Inc.</w:t>
            </w:r>
          </w:p>
        </w:tc>
      </w:tr>
      <w:tr w:rsidR="00DE0D78" w:rsidRPr="00227E95" w:rsidTr="00227E95">
        <w:trPr>
          <w:trHeight w:val="300"/>
        </w:trPr>
        <w:tc>
          <w:tcPr>
            <w:tcW w:w="603" w:type="dxa"/>
            <w:noWrap/>
            <w:vAlign w:val="bottom"/>
            <w:hideMark/>
          </w:tcPr>
          <w:p w:rsidR="00DE0D78" w:rsidRPr="00227E95" w:rsidRDefault="00DE0D78" w:rsidP="00190787">
            <w:pPr>
              <w:jc w:val="right"/>
              <w:rPr>
                <w:rFonts w:ascii="Arial" w:hAnsi="Arial" w:cs="Arial"/>
              </w:rPr>
            </w:pPr>
            <w:r w:rsidRPr="00227E95">
              <w:rPr>
                <w:rFonts w:ascii="Arial" w:hAnsi="Arial" w:cs="Arial"/>
              </w:rPr>
              <w:t>43</w:t>
            </w:r>
          </w:p>
        </w:tc>
        <w:tc>
          <w:tcPr>
            <w:tcW w:w="7200" w:type="dxa"/>
            <w:vAlign w:val="bottom"/>
            <w:hideMark/>
          </w:tcPr>
          <w:p w:rsidR="00DE0D78" w:rsidRPr="00227E95" w:rsidRDefault="00DE0D78" w:rsidP="00190787">
            <w:pPr>
              <w:rPr>
                <w:rFonts w:ascii="Arial" w:hAnsi="Arial" w:cs="Arial"/>
              </w:rPr>
            </w:pPr>
            <w:r w:rsidRPr="00227E95">
              <w:rPr>
                <w:rFonts w:ascii="Arial" w:hAnsi="Arial" w:cs="Arial"/>
              </w:rPr>
              <w:t>2188410 Ontario Inc.</w:t>
            </w:r>
          </w:p>
        </w:tc>
      </w:tr>
    </w:tbl>
    <w:p w:rsidR="00DE0D78" w:rsidRPr="00227E95" w:rsidRDefault="00DE0D78" w:rsidP="00DE0D78"/>
    <w:p w:rsidR="00DE0D78" w:rsidRPr="00227E95" w:rsidRDefault="00DE0D78" w:rsidP="00227E95">
      <w:pPr>
        <w:rPr>
          <w:rFonts w:ascii="Arial" w:hAnsi="Arial" w:cs="Arial"/>
        </w:rPr>
      </w:pPr>
      <w:r w:rsidRPr="00227E95">
        <w:rPr>
          <w:rFonts w:ascii="Arial" w:hAnsi="Arial" w:cs="Arial"/>
        </w:rPr>
        <w:t xml:space="preserve">The Ontario Municipal Board has received appeals under subsection 17(36) of the </w:t>
      </w:r>
      <w:r w:rsidRPr="00227E95">
        <w:rPr>
          <w:rFonts w:ascii="Arial" w:hAnsi="Arial" w:cs="Arial"/>
          <w:i/>
        </w:rPr>
        <w:t>Planning Act</w:t>
      </w:r>
      <w:r w:rsidRPr="00227E95">
        <w:rPr>
          <w:rFonts w:ascii="Arial" w:hAnsi="Arial" w:cs="Arial"/>
        </w:rPr>
        <w:t>, R.S.O. 1990, c. P. 13, as amended, from a decision of the City of Hamilton to approve Official Plan Amendment No. 35 to the Region of Hamilton-Wentworth Official Plan</w:t>
      </w:r>
    </w:p>
    <w:p w:rsidR="00DE0D78" w:rsidRPr="00227E95" w:rsidRDefault="00DE0D78" w:rsidP="00227E95">
      <w:pPr>
        <w:rPr>
          <w:rFonts w:ascii="Arial" w:hAnsi="Arial" w:cs="Arial"/>
        </w:rPr>
      </w:pPr>
      <w:proofErr w:type="gramStart"/>
      <w:r w:rsidRPr="00227E95">
        <w:rPr>
          <w:rFonts w:ascii="Arial" w:hAnsi="Arial" w:cs="Arial"/>
        </w:rPr>
        <w:t>OMB File No.</w:t>
      </w:r>
      <w:proofErr w:type="gramEnd"/>
      <w:r w:rsidRPr="00227E95">
        <w:rPr>
          <w:rFonts w:ascii="Arial" w:hAnsi="Arial" w:cs="Arial"/>
        </w:rPr>
        <w:t xml:space="preserve"> PL090779 (See Schedule “1”)</w:t>
      </w:r>
    </w:p>
    <w:p w:rsidR="00DE0D78" w:rsidRPr="00227E95" w:rsidRDefault="00DE0D78" w:rsidP="00227E95">
      <w:pPr>
        <w:rPr>
          <w:rFonts w:ascii="Arial" w:hAnsi="Arial" w:cs="Arial"/>
        </w:rPr>
      </w:pPr>
      <w:proofErr w:type="gramStart"/>
      <w:r w:rsidRPr="00227E95">
        <w:rPr>
          <w:rFonts w:ascii="Arial" w:hAnsi="Arial" w:cs="Arial"/>
        </w:rPr>
        <w:t>OMB Case No.</w:t>
      </w:r>
      <w:proofErr w:type="gramEnd"/>
      <w:r w:rsidRPr="00227E95">
        <w:rPr>
          <w:rFonts w:ascii="Arial" w:hAnsi="Arial" w:cs="Arial"/>
        </w:rPr>
        <w:t xml:space="preserve"> PL090779</w:t>
      </w:r>
    </w:p>
    <w:p w:rsidR="00DE0D78" w:rsidRPr="00227E95" w:rsidRDefault="00DE0D78" w:rsidP="00227E95">
      <w:pPr>
        <w:rPr>
          <w:rFonts w:ascii="Arial" w:hAnsi="Arial" w:cs="Arial"/>
        </w:rPr>
      </w:pPr>
    </w:p>
    <w:p w:rsidR="00DE0D78" w:rsidRPr="00227E95" w:rsidRDefault="00DE0D78" w:rsidP="00227E95">
      <w:pPr>
        <w:rPr>
          <w:rFonts w:ascii="Arial" w:hAnsi="Arial" w:cs="Arial"/>
        </w:rPr>
      </w:pPr>
      <w:r w:rsidRPr="00227E95">
        <w:rPr>
          <w:rFonts w:ascii="Arial" w:hAnsi="Arial" w:cs="Arial"/>
        </w:rPr>
        <w:t xml:space="preserve">The Ontario Municipal Board has received appeals under subsection 17(36) of the </w:t>
      </w:r>
      <w:r w:rsidRPr="00227E95">
        <w:rPr>
          <w:rFonts w:ascii="Arial" w:hAnsi="Arial" w:cs="Arial"/>
          <w:i/>
        </w:rPr>
        <w:t>Planning Act</w:t>
      </w:r>
      <w:r w:rsidRPr="00227E95">
        <w:rPr>
          <w:rFonts w:ascii="Arial" w:hAnsi="Arial" w:cs="Arial"/>
        </w:rPr>
        <w:t>, R.S.O. 1990, c. P. 13, as amended, from a decision of the City of Hamilton to approve Official Plan Amendment No. 128 to the Town of Ancaster Official Plan (PL090780); Official Plan Amendment No. 18 to the Town of Dundas Official Plan (PL090781); Official Plan Amendment No. 118 to the Town of Flamborough Official Plan (PL090782); Official Plan Amendment No. 75 to the Township of Glanbrook Official Plan (PL090783); Official Plan Amendment No. 220 to the City of Hamilton Official Plan (PL090784); Official Plan Amendment No. 149 to the City of Stoney Creek Official Plan (PL090785)</w:t>
      </w:r>
    </w:p>
    <w:p w:rsidR="00DE0D78" w:rsidRPr="00227E95" w:rsidRDefault="00DE0D78" w:rsidP="00227E95">
      <w:pPr>
        <w:rPr>
          <w:rFonts w:ascii="Arial" w:hAnsi="Arial" w:cs="Arial"/>
        </w:rPr>
      </w:pPr>
      <w:proofErr w:type="gramStart"/>
      <w:r w:rsidRPr="00227E95">
        <w:rPr>
          <w:rFonts w:ascii="Arial" w:hAnsi="Arial" w:cs="Arial"/>
        </w:rPr>
        <w:t>OMB File Nos.</w:t>
      </w:r>
      <w:proofErr w:type="gramEnd"/>
      <w:r w:rsidRPr="00227E95">
        <w:rPr>
          <w:rFonts w:ascii="Arial" w:hAnsi="Arial" w:cs="Arial"/>
        </w:rPr>
        <w:t xml:space="preserve"> PL090780-PL090785 (See Schedule “1”)</w:t>
      </w:r>
    </w:p>
    <w:p w:rsidR="00DE0D78" w:rsidRPr="00227E95" w:rsidRDefault="00DE0D78" w:rsidP="00227E95">
      <w:pPr>
        <w:rPr>
          <w:rFonts w:ascii="Arial" w:hAnsi="Arial" w:cs="Arial"/>
        </w:rPr>
      </w:pPr>
      <w:proofErr w:type="gramStart"/>
      <w:r w:rsidRPr="00227E95">
        <w:rPr>
          <w:rFonts w:ascii="Arial" w:hAnsi="Arial" w:cs="Arial"/>
        </w:rPr>
        <w:t>OMB Case No.</w:t>
      </w:r>
      <w:proofErr w:type="gramEnd"/>
      <w:r w:rsidRPr="00227E95">
        <w:rPr>
          <w:rFonts w:ascii="Arial" w:hAnsi="Arial" w:cs="Arial"/>
        </w:rPr>
        <w:t xml:space="preserve"> PL090779</w:t>
      </w:r>
    </w:p>
    <w:p w:rsidR="00DE0D78" w:rsidRPr="00227E95" w:rsidRDefault="00DE0D78" w:rsidP="00227E95">
      <w:pPr>
        <w:rPr>
          <w:rFonts w:ascii="Arial" w:hAnsi="Arial" w:cs="Arial"/>
        </w:rPr>
      </w:pPr>
    </w:p>
    <w:p w:rsidR="00DE0D78" w:rsidRPr="00227E95" w:rsidRDefault="00DE0D78" w:rsidP="00227E95">
      <w:pPr>
        <w:rPr>
          <w:rFonts w:ascii="Arial" w:hAnsi="Arial" w:cs="Arial"/>
        </w:rPr>
      </w:pPr>
      <w:r w:rsidRPr="00227E95">
        <w:rPr>
          <w:rFonts w:ascii="Arial" w:hAnsi="Arial" w:cs="Arial"/>
        </w:rPr>
        <w:lastRenderedPageBreak/>
        <w:t xml:space="preserve">The Ontario Municipal Board has received appeals under subsection 17(40) of the </w:t>
      </w:r>
      <w:r w:rsidRPr="00227E95">
        <w:rPr>
          <w:rFonts w:ascii="Arial" w:hAnsi="Arial" w:cs="Arial"/>
          <w:i/>
        </w:rPr>
        <w:t>Planning Act</w:t>
      </w:r>
      <w:r w:rsidRPr="00227E95">
        <w:rPr>
          <w:rFonts w:ascii="Arial" w:hAnsi="Arial" w:cs="Arial"/>
        </w:rPr>
        <w:t>, R.S.O. 1990, c. P. 13, as amended, from the failure of the Minister of Municipal Affairs and Housing to announce a decision respecting the City of Hamilton Urban Official Plan</w:t>
      </w:r>
    </w:p>
    <w:p w:rsidR="00DE0D78" w:rsidRPr="00227E95" w:rsidRDefault="00DE0D78" w:rsidP="00227E95">
      <w:pPr>
        <w:rPr>
          <w:rFonts w:ascii="Arial" w:hAnsi="Arial" w:cs="Arial"/>
        </w:rPr>
      </w:pPr>
      <w:proofErr w:type="gramStart"/>
      <w:r w:rsidRPr="00227E95">
        <w:rPr>
          <w:rFonts w:ascii="Arial" w:hAnsi="Arial" w:cs="Arial"/>
        </w:rPr>
        <w:t>OMB File No.</w:t>
      </w:r>
      <w:proofErr w:type="gramEnd"/>
      <w:r w:rsidRPr="00227E95">
        <w:rPr>
          <w:rFonts w:ascii="Arial" w:hAnsi="Arial" w:cs="Arial"/>
        </w:rPr>
        <w:t xml:space="preserve"> PL101381 (See Schedule “2”)</w:t>
      </w:r>
    </w:p>
    <w:p w:rsidR="00DE0D78" w:rsidRPr="00227E95" w:rsidRDefault="00DE0D78" w:rsidP="00227E95">
      <w:pPr>
        <w:rPr>
          <w:rFonts w:ascii="Arial" w:hAnsi="Arial" w:cs="Arial"/>
        </w:rPr>
      </w:pPr>
      <w:proofErr w:type="gramStart"/>
      <w:r w:rsidRPr="00227E95">
        <w:rPr>
          <w:rFonts w:ascii="Arial" w:hAnsi="Arial" w:cs="Arial"/>
        </w:rPr>
        <w:t>OMB Case No.</w:t>
      </w:r>
      <w:proofErr w:type="gramEnd"/>
      <w:r w:rsidRPr="00227E95">
        <w:rPr>
          <w:rFonts w:ascii="Arial" w:hAnsi="Arial" w:cs="Arial"/>
        </w:rPr>
        <w:t xml:space="preserve"> PL101381</w:t>
      </w:r>
    </w:p>
    <w:p w:rsidR="00DE0D78" w:rsidRPr="00227E95" w:rsidRDefault="00DE0D78" w:rsidP="00227E95">
      <w:pPr>
        <w:rPr>
          <w:rFonts w:ascii="Arial" w:hAnsi="Arial" w:cs="Arial"/>
        </w:rPr>
      </w:pPr>
    </w:p>
    <w:p w:rsidR="00DE0D78" w:rsidRPr="00227E95" w:rsidRDefault="00DE0D78" w:rsidP="00227E95">
      <w:pPr>
        <w:rPr>
          <w:rFonts w:ascii="Arial" w:hAnsi="Arial" w:cs="Arial"/>
        </w:rPr>
      </w:pPr>
      <w:r w:rsidRPr="00227E95">
        <w:rPr>
          <w:rFonts w:ascii="Arial" w:hAnsi="Arial" w:cs="Arial"/>
        </w:rPr>
        <w:t xml:space="preserve">The Ontario Municipal Board has received appeals under subsection 17(36) of the </w:t>
      </w:r>
      <w:r w:rsidRPr="00227E95">
        <w:rPr>
          <w:rFonts w:ascii="Arial" w:hAnsi="Arial" w:cs="Arial"/>
          <w:i/>
        </w:rPr>
        <w:t>Planning Act</w:t>
      </w:r>
      <w:r w:rsidRPr="00227E95">
        <w:rPr>
          <w:rFonts w:ascii="Arial" w:hAnsi="Arial" w:cs="Arial"/>
        </w:rPr>
        <w:t>, R.S.O. 1990, c. P. 13, as amended, from the decision of the Minister of Municipal Affairs and Housing to approve the new City of Hamilton Urban Official Plan</w:t>
      </w:r>
    </w:p>
    <w:p w:rsidR="00DE0D78" w:rsidRPr="00227E95" w:rsidRDefault="00DE0D78" w:rsidP="00227E95">
      <w:pPr>
        <w:rPr>
          <w:rFonts w:ascii="Arial" w:hAnsi="Arial" w:cs="Arial"/>
        </w:rPr>
      </w:pPr>
      <w:proofErr w:type="gramStart"/>
      <w:r w:rsidRPr="00227E95">
        <w:rPr>
          <w:rFonts w:ascii="Arial" w:hAnsi="Arial" w:cs="Arial"/>
        </w:rPr>
        <w:t>OMB File No.</w:t>
      </w:r>
      <w:proofErr w:type="gramEnd"/>
      <w:r w:rsidRPr="00227E95">
        <w:rPr>
          <w:rFonts w:ascii="Arial" w:hAnsi="Arial" w:cs="Arial"/>
        </w:rPr>
        <w:t xml:space="preserve"> PL110331 (See Schedule “3”)</w:t>
      </w:r>
    </w:p>
    <w:p w:rsidR="00DE0D78" w:rsidRPr="00227E95" w:rsidRDefault="00DE0D78" w:rsidP="00227E95">
      <w:pPr>
        <w:rPr>
          <w:rFonts w:ascii="Arial" w:hAnsi="Arial" w:cs="Arial"/>
        </w:rPr>
      </w:pPr>
      <w:proofErr w:type="gramStart"/>
      <w:r w:rsidRPr="00227E95">
        <w:rPr>
          <w:rFonts w:ascii="Arial" w:hAnsi="Arial" w:cs="Arial"/>
        </w:rPr>
        <w:t>OMB Case No.</w:t>
      </w:r>
      <w:proofErr w:type="gramEnd"/>
      <w:r w:rsidRPr="00227E95">
        <w:rPr>
          <w:rFonts w:ascii="Arial" w:hAnsi="Arial" w:cs="Arial"/>
        </w:rPr>
        <w:t xml:space="preserve"> PL110331</w:t>
      </w:r>
    </w:p>
    <w:p w:rsidR="00DE0D78" w:rsidRPr="00227E95" w:rsidRDefault="00DE0D78" w:rsidP="00227E95">
      <w:pPr>
        <w:rPr>
          <w:rFonts w:ascii="Arial" w:hAnsi="Arial" w:cs="Arial"/>
        </w:rPr>
      </w:pPr>
    </w:p>
    <w:p w:rsidR="00DE0D78" w:rsidRPr="00227E95" w:rsidRDefault="00DE0D78" w:rsidP="00227E95">
      <w:pPr>
        <w:widowControl w:val="0"/>
        <w:rPr>
          <w:rFonts w:ascii="Arial" w:hAnsi="Arial" w:cs="Arial"/>
        </w:rPr>
      </w:pPr>
      <w:r w:rsidRPr="00227E95">
        <w:rPr>
          <w:rFonts w:ascii="Arial" w:hAnsi="Arial" w:cs="Arial"/>
        </w:rPr>
        <w:t xml:space="preserve">Auburn Developments Inc. has appealed to the Ontario Municipal Board under subsection 34(11) of the </w:t>
      </w:r>
      <w:r w:rsidRPr="00227E95">
        <w:rPr>
          <w:rFonts w:ascii="Arial" w:hAnsi="Arial" w:cs="Arial"/>
          <w:i/>
        </w:rPr>
        <w:t>Planning Act</w:t>
      </w:r>
      <w:r w:rsidRPr="00227E95">
        <w:rPr>
          <w:rFonts w:ascii="Arial" w:hAnsi="Arial" w:cs="Arial"/>
        </w:rPr>
        <w:t>, R.S.O. 1990, c. P.13, as amended, from Council’s refusal to enact a proposed amendment to Zoning By-law 6593 of the City of Hamilton to rezone lands respecting 17 Ewen Road from “J” (Light and Limited Heavy Industrial, etc.) District to the “E-3” (High Density Multiple Dwellings) District to permit a 10 storey student residential building</w:t>
      </w:r>
    </w:p>
    <w:p w:rsidR="00DE0D78" w:rsidRPr="00227E95" w:rsidRDefault="00DE0D78" w:rsidP="00227E95">
      <w:pPr>
        <w:widowControl w:val="0"/>
        <w:rPr>
          <w:rFonts w:ascii="Arial" w:hAnsi="Arial" w:cs="Arial"/>
        </w:rPr>
      </w:pPr>
      <w:r w:rsidRPr="00227E95">
        <w:rPr>
          <w:rFonts w:ascii="Arial" w:hAnsi="Arial" w:cs="Arial"/>
        </w:rPr>
        <w:t>Approval Authority File No. ZAC-07-062</w:t>
      </w:r>
    </w:p>
    <w:p w:rsidR="00DE0D78" w:rsidRPr="00227E95" w:rsidRDefault="00DE0D78" w:rsidP="00227E95">
      <w:pPr>
        <w:widowControl w:val="0"/>
        <w:rPr>
          <w:rFonts w:ascii="Arial" w:hAnsi="Arial" w:cs="Arial"/>
        </w:rPr>
      </w:pPr>
      <w:proofErr w:type="gramStart"/>
      <w:r w:rsidRPr="00227E95">
        <w:rPr>
          <w:rFonts w:ascii="Arial" w:hAnsi="Arial" w:cs="Arial"/>
        </w:rPr>
        <w:t>OMB File No.</w:t>
      </w:r>
      <w:proofErr w:type="gramEnd"/>
      <w:r w:rsidRPr="00227E95">
        <w:rPr>
          <w:rFonts w:ascii="Arial" w:hAnsi="Arial" w:cs="Arial"/>
        </w:rPr>
        <w:t xml:space="preserve"> PL120574</w:t>
      </w:r>
    </w:p>
    <w:p w:rsidR="00DE0D78" w:rsidRPr="00227E95" w:rsidRDefault="00DE0D78" w:rsidP="00227E95">
      <w:pPr>
        <w:widowControl w:val="0"/>
        <w:rPr>
          <w:rFonts w:ascii="Arial" w:hAnsi="Arial" w:cs="Arial"/>
        </w:rPr>
      </w:pPr>
      <w:proofErr w:type="gramStart"/>
      <w:r w:rsidRPr="00227E95">
        <w:rPr>
          <w:rFonts w:ascii="Arial" w:hAnsi="Arial" w:cs="Arial"/>
        </w:rPr>
        <w:t>OMB Case No.</w:t>
      </w:r>
      <w:proofErr w:type="gramEnd"/>
      <w:r w:rsidRPr="00227E95">
        <w:rPr>
          <w:rFonts w:ascii="Arial" w:hAnsi="Arial" w:cs="Arial"/>
        </w:rPr>
        <w:t xml:space="preserve"> PL120574</w:t>
      </w:r>
    </w:p>
    <w:p w:rsidR="00DE0D78" w:rsidRPr="00227E95" w:rsidRDefault="00DE0D78" w:rsidP="00227E95">
      <w:pPr>
        <w:widowControl w:val="0"/>
        <w:rPr>
          <w:rFonts w:ascii="Arial" w:hAnsi="Arial" w:cs="Arial"/>
        </w:rPr>
      </w:pPr>
    </w:p>
    <w:p w:rsidR="00DE0D78" w:rsidRPr="00227E95" w:rsidRDefault="00DE0D78" w:rsidP="00227E95">
      <w:pPr>
        <w:widowControl w:val="0"/>
        <w:rPr>
          <w:rFonts w:ascii="Arial" w:hAnsi="Arial" w:cs="Arial"/>
        </w:rPr>
      </w:pPr>
      <w:r w:rsidRPr="00227E95">
        <w:rPr>
          <w:rFonts w:ascii="Arial" w:hAnsi="Arial" w:cs="Arial"/>
        </w:rPr>
        <w:t xml:space="preserve">Auburn Developments Inc. has appealed to the Ontario Municipal Board under subsection 22(7) of the </w:t>
      </w:r>
      <w:r w:rsidRPr="00227E95">
        <w:rPr>
          <w:rFonts w:ascii="Arial" w:hAnsi="Arial" w:cs="Arial"/>
          <w:i/>
        </w:rPr>
        <w:t>Planning Act</w:t>
      </w:r>
      <w:r w:rsidRPr="00227E95">
        <w:rPr>
          <w:rFonts w:ascii="Arial" w:hAnsi="Arial" w:cs="Arial"/>
        </w:rPr>
        <w:t>, R.S.O. 1990, c. P.13, as amended, from Council's refusal to enact a proposed amendment to the Official Plan for the City of Hamilton to redesignate land at 17 Ewen Road from “Industrial” to “High Density Residential” to permit a 10 storey student residential building</w:t>
      </w:r>
    </w:p>
    <w:p w:rsidR="00DE0D78" w:rsidRPr="00227E95" w:rsidRDefault="00DE0D78" w:rsidP="00227E95">
      <w:pPr>
        <w:widowControl w:val="0"/>
        <w:rPr>
          <w:rFonts w:ascii="Arial" w:hAnsi="Arial" w:cs="Arial"/>
        </w:rPr>
      </w:pPr>
      <w:r w:rsidRPr="00227E95">
        <w:rPr>
          <w:rFonts w:ascii="Arial" w:hAnsi="Arial" w:cs="Arial"/>
        </w:rPr>
        <w:t>Approval Authority File No. OPA-07-016</w:t>
      </w:r>
    </w:p>
    <w:p w:rsidR="00DE0D78" w:rsidRPr="00227E95" w:rsidRDefault="00DE0D78" w:rsidP="00227E95">
      <w:pPr>
        <w:widowControl w:val="0"/>
        <w:rPr>
          <w:rFonts w:ascii="Arial" w:hAnsi="Arial" w:cs="Arial"/>
        </w:rPr>
      </w:pPr>
      <w:proofErr w:type="gramStart"/>
      <w:r w:rsidRPr="00227E95">
        <w:rPr>
          <w:rFonts w:ascii="Arial" w:hAnsi="Arial" w:cs="Arial"/>
        </w:rPr>
        <w:t>OMB File No.</w:t>
      </w:r>
      <w:proofErr w:type="gramEnd"/>
      <w:r w:rsidRPr="00227E95">
        <w:rPr>
          <w:rFonts w:ascii="Arial" w:hAnsi="Arial" w:cs="Arial"/>
        </w:rPr>
        <w:t xml:space="preserve"> PL120575</w:t>
      </w:r>
    </w:p>
    <w:p w:rsidR="00DE0D78" w:rsidRPr="00227E95" w:rsidRDefault="00DE0D78" w:rsidP="00227E95">
      <w:pPr>
        <w:widowControl w:val="0"/>
        <w:rPr>
          <w:rFonts w:ascii="Arial" w:hAnsi="Arial" w:cs="Arial"/>
        </w:rPr>
      </w:pPr>
      <w:proofErr w:type="gramStart"/>
      <w:r w:rsidRPr="00227E95">
        <w:rPr>
          <w:rFonts w:ascii="Arial" w:hAnsi="Arial" w:cs="Arial"/>
        </w:rPr>
        <w:t>OMB Case No.</w:t>
      </w:r>
      <w:proofErr w:type="gramEnd"/>
      <w:r w:rsidRPr="00227E95">
        <w:rPr>
          <w:rFonts w:ascii="Arial" w:hAnsi="Arial" w:cs="Arial"/>
        </w:rPr>
        <w:t xml:space="preserve"> PL120574</w:t>
      </w:r>
    </w:p>
    <w:p w:rsidR="00DE0D78" w:rsidRPr="00227E95" w:rsidRDefault="00DE0D78" w:rsidP="00227E95">
      <w:pPr>
        <w:rPr>
          <w:rFonts w:ascii="Arial" w:hAnsi="Arial" w:cs="Arial"/>
        </w:rPr>
      </w:pPr>
    </w:p>
    <w:p w:rsidR="00DE0D78" w:rsidRPr="00227E95" w:rsidRDefault="00DE0D78" w:rsidP="00227E95">
      <w:pPr>
        <w:rPr>
          <w:rFonts w:ascii="Arial" w:hAnsi="Arial" w:cs="Arial"/>
        </w:rPr>
      </w:pPr>
    </w:p>
    <w:p w:rsidR="00DE0D78" w:rsidRPr="00227E95" w:rsidRDefault="00DE0D78" w:rsidP="00DE0D78">
      <w:pPr>
        <w:jc w:val="center"/>
        <w:rPr>
          <w:rFonts w:ascii="Arial" w:hAnsi="Arial" w:cs="Arial"/>
          <w:b/>
          <w:u w:val="single"/>
        </w:rPr>
      </w:pPr>
      <w:r w:rsidRPr="00227E95">
        <w:rPr>
          <w:rFonts w:ascii="Arial" w:hAnsi="Arial" w:cs="Arial"/>
          <w:b/>
          <w:u w:val="single"/>
        </w:rPr>
        <w:t>Schedule “1”</w:t>
      </w:r>
    </w:p>
    <w:p w:rsidR="00DE0D78" w:rsidRPr="00227E95" w:rsidRDefault="00DE0D78" w:rsidP="00DE0D78">
      <w:pPr>
        <w:jc w:val="both"/>
        <w:rPr>
          <w:rFonts w:ascii="Arial" w:hAnsi="Arial" w:cs="Arial"/>
        </w:rPr>
      </w:pPr>
    </w:p>
    <w:p w:rsidR="00DE0D78" w:rsidRDefault="00DE0D78" w:rsidP="00DE0D78">
      <w:pPr>
        <w:jc w:val="both"/>
        <w:rPr>
          <w:rFonts w:ascii="Arial" w:hAnsi="Arial" w:cs="Arial"/>
        </w:rPr>
      </w:pPr>
      <w:r w:rsidRPr="00227E95">
        <w:rPr>
          <w:rFonts w:ascii="Arial" w:hAnsi="Arial" w:cs="Arial"/>
        </w:rPr>
        <w:t>Appellants to the amendments to the in-force Official Plans of the former Region of Hamilton-Wentworth, Towns of Ancaster, Dundas and Flamborough, Township of Glanbrook and Cities of Hamilton and Stoney Creek (OMB Case No. PL090779)</w:t>
      </w:r>
    </w:p>
    <w:p w:rsidR="00227E95" w:rsidRPr="00227E95" w:rsidRDefault="00227E95" w:rsidP="00DE0D78">
      <w:pPr>
        <w:jc w:val="both"/>
        <w:rPr>
          <w:rFonts w:ascii="Arial" w:hAnsi="Arial" w:cs="Arial"/>
        </w:rPr>
      </w:pPr>
    </w:p>
    <w:tbl>
      <w:tblPr>
        <w:tblW w:w="0" w:type="auto"/>
        <w:tblLook w:val="01E0" w:firstRow="1" w:lastRow="1" w:firstColumn="1" w:lastColumn="1" w:noHBand="0" w:noVBand="0"/>
      </w:tblPr>
      <w:tblGrid>
        <w:gridCol w:w="4428"/>
        <w:gridCol w:w="4428"/>
      </w:tblGrid>
      <w:tr w:rsidR="00DE0D78" w:rsidRPr="00227E95" w:rsidTr="00AF4911">
        <w:tc>
          <w:tcPr>
            <w:tcW w:w="4428" w:type="dxa"/>
            <w:hideMark/>
          </w:tcPr>
          <w:p w:rsidR="00DE0D78" w:rsidRPr="00227E95" w:rsidRDefault="00DE0D78" w:rsidP="00190787">
            <w:pPr>
              <w:rPr>
                <w:rFonts w:ascii="Arial" w:hAnsi="Arial" w:cs="Arial"/>
                <w:b/>
                <w:i/>
              </w:rPr>
            </w:pPr>
            <w:r w:rsidRPr="00227E95">
              <w:rPr>
                <w:rFonts w:ascii="Arial" w:hAnsi="Arial" w:cs="Arial"/>
                <w:b/>
                <w:i/>
              </w:rPr>
              <w:t>OMB FILE NO.</w:t>
            </w:r>
          </w:p>
        </w:tc>
        <w:tc>
          <w:tcPr>
            <w:tcW w:w="4428" w:type="dxa"/>
            <w:hideMark/>
          </w:tcPr>
          <w:p w:rsidR="00DE0D78" w:rsidRPr="00227E95" w:rsidRDefault="00DE0D78" w:rsidP="00190787">
            <w:pPr>
              <w:rPr>
                <w:rFonts w:ascii="Arial" w:hAnsi="Arial" w:cs="Arial"/>
                <w:b/>
                <w:i/>
              </w:rPr>
            </w:pPr>
            <w:r w:rsidRPr="00227E95">
              <w:rPr>
                <w:rFonts w:ascii="Arial" w:hAnsi="Arial" w:cs="Arial"/>
                <w:b/>
                <w:i/>
              </w:rPr>
              <w:t>APPELLANT NAME</w:t>
            </w:r>
          </w:p>
        </w:tc>
      </w:tr>
      <w:tr w:rsidR="00DE0D78" w:rsidRPr="00227E95" w:rsidTr="00AF4911">
        <w:tc>
          <w:tcPr>
            <w:tcW w:w="4428" w:type="dxa"/>
            <w:hideMark/>
          </w:tcPr>
          <w:p w:rsidR="00DE0D78" w:rsidRPr="00227E95" w:rsidRDefault="00DE0D78" w:rsidP="00190787">
            <w:pPr>
              <w:rPr>
                <w:rFonts w:ascii="Arial" w:hAnsi="Arial" w:cs="Arial"/>
              </w:rPr>
            </w:pPr>
            <w:r w:rsidRPr="00227E95">
              <w:rPr>
                <w:rFonts w:ascii="Arial" w:hAnsi="Arial" w:cs="Arial"/>
              </w:rPr>
              <w:t>PL090784</w:t>
            </w:r>
          </w:p>
        </w:tc>
        <w:tc>
          <w:tcPr>
            <w:tcW w:w="4428" w:type="dxa"/>
            <w:hideMark/>
          </w:tcPr>
          <w:p w:rsidR="00DE0D78" w:rsidRPr="00227E95" w:rsidRDefault="00DE0D78" w:rsidP="00190787">
            <w:pPr>
              <w:rPr>
                <w:rFonts w:ascii="Arial" w:hAnsi="Arial" w:cs="Arial"/>
              </w:rPr>
            </w:pPr>
            <w:r w:rsidRPr="00227E95">
              <w:rPr>
                <w:rFonts w:ascii="Arial" w:hAnsi="Arial" w:cs="Arial"/>
              </w:rPr>
              <w:t>Shawcor Ltd.</w:t>
            </w:r>
          </w:p>
        </w:tc>
      </w:tr>
    </w:tbl>
    <w:p w:rsidR="00DE0D78" w:rsidRPr="00227E95" w:rsidRDefault="00DE0D78" w:rsidP="00DE0D78">
      <w:pPr>
        <w:rPr>
          <w:rFonts w:ascii="Arial" w:hAnsi="Arial" w:cs="Arial"/>
        </w:rPr>
      </w:pPr>
    </w:p>
    <w:p w:rsidR="00DE0D78" w:rsidRPr="00227E95" w:rsidRDefault="00DE0D78" w:rsidP="00DE0D78">
      <w:pPr>
        <w:rPr>
          <w:rFonts w:ascii="Arial" w:hAnsi="Arial" w:cs="Arial"/>
        </w:rPr>
      </w:pPr>
    </w:p>
    <w:p w:rsidR="00227E95" w:rsidRDefault="00227E95" w:rsidP="00DE0D78">
      <w:pPr>
        <w:jc w:val="center"/>
        <w:rPr>
          <w:rFonts w:ascii="Arial" w:hAnsi="Arial" w:cs="Arial"/>
          <w:b/>
          <w:u w:val="single"/>
        </w:rPr>
      </w:pPr>
    </w:p>
    <w:p w:rsidR="00227E95" w:rsidRDefault="00227E95" w:rsidP="00DE0D78">
      <w:pPr>
        <w:jc w:val="center"/>
        <w:rPr>
          <w:rFonts w:ascii="Arial" w:hAnsi="Arial" w:cs="Arial"/>
          <w:b/>
          <w:u w:val="single"/>
        </w:rPr>
      </w:pPr>
    </w:p>
    <w:p w:rsidR="00227E95" w:rsidRDefault="00227E95" w:rsidP="00DE0D78">
      <w:pPr>
        <w:jc w:val="center"/>
        <w:rPr>
          <w:rFonts w:ascii="Arial" w:hAnsi="Arial" w:cs="Arial"/>
          <w:b/>
          <w:u w:val="single"/>
        </w:rPr>
      </w:pPr>
    </w:p>
    <w:p w:rsidR="00DE0D78" w:rsidRPr="00227E95" w:rsidRDefault="00DE0D78" w:rsidP="00DE0D78">
      <w:pPr>
        <w:jc w:val="center"/>
        <w:rPr>
          <w:rFonts w:ascii="Arial" w:hAnsi="Arial" w:cs="Arial"/>
          <w:b/>
          <w:u w:val="single"/>
        </w:rPr>
      </w:pPr>
      <w:r w:rsidRPr="00227E95">
        <w:rPr>
          <w:rFonts w:ascii="Arial" w:hAnsi="Arial" w:cs="Arial"/>
          <w:b/>
          <w:u w:val="single"/>
        </w:rPr>
        <w:lastRenderedPageBreak/>
        <w:t>Schedule “2”</w:t>
      </w:r>
    </w:p>
    <w:p w:rsidR="00DE0D78" w:rsidRPr="00227E95" w:rsidRDefault="00DE0D78" w:rsidP="00DE0D78">
      <w:pPr>
        <w:jc w:val="center"/>
        <w:rPr>
          <w:rFonts w:ascii="Arial" w:hAnsi="Arial" w:cs="Arial"/>
          <w:b/>
          <w:u w:val="single"/>
        </w:rPr>
      </w:pPr>
    </w:p>
    <w:p w:rsidR="00DE0D78" w:rsidRDefault="00DE0D78" w:rsidP="00DE0D78">
      <w:pPr>
        <w:jc w:val="both"/>
        <w:rPr>
          <w:rFonts w:ascii="Arial" w:hAnsi="Arial" w:cs="Arial"/>
        </w:rPr>
      </w:pPr>
      <w:proofErr w:type="gramStart"/>
      <w:r w:rsidRPr="00227E95">
        <w:rPr>
          <w:rFonts w:ascii="Arial" w:hAnsi="Arial" w:cs="Arial"/>
        </w:rPr>
        <w:t>Appellants to the failure of the Minister of Municipal Affairs and Housing to announce a decision respecting the City of Hamilton Urban Official Plan (OMB Case No.</w:t>
      </w:r>
      <w:proofErr w:type="gramEnd"/>
      <w:r w:rsidRPr="00227E95">
        <w:rPr>
          <w:rFonts w:ascii="Arial" w:hAnsi="Arial" w:cs="Arial"/>
        </w:rPr>
        <w:t xml:space="preserve"> PL101381)</w:t>
      </w:r>
    </w:p>
    <w:p w:rsidR="00227E95" w:rsidRPr="00227E95" w:rsidRDefault="00227E95" w:rsidP="00DE0D78">
      <w:pPr>
        <w:jc w:val="both"/>
        <w:rPr>
          <w:rFonts w:ascii="Arial" w:hAnsi="Arial" w:cs="Arial"/>
        </w:rPr>
      </w:pPr>
    </w:p>
    <w:tbl>
      <w:tblPr>
        <w:tblW w:w="0" w:type="auto"/>
        <w:tblLook w:val="01E0" w:firstRow="1" w:lastRow="1" w:firstColumn="1" w:lastColumn="1" w:noHBand="0" w:noVBand="0"/>
      </w:tblPr>
      <w:tblGrid>
        <w:gridCol w:w="4428"/>
        <w:gridCol w:w="4428"/>
      </w:tblGrid>
      <w:tr w:rsidR="00DE0D78" w:rsidRPr="00227E95" w:rsidTr="00AF4911">
        <w:tc>
          <w:tcPr>
            <w:tcW w:w="4428" w:type="dxa"/>
            <w:hideMark/>
          </w:tcPr>
          <w:p w:rsidR="00DE0D78" w:rsidRPr="00227E95" w:rsidRDefault="00DE0D78" w:rsidP="00190787">
            <w:pPr>
              <w:rPr>
                <w:rFonts w:ascii="Arial" w:hAnsi="Arial" w:cs="Arial"/>
                <w:b/>
                <w:i/>
              </w:rPr>
            </w:pPr>
            <w:r w:rsidRPr="00227E95">
              <w:rPr>
                <w:rFonts w:ascii="Arial" w:hAnsi="Arial" w:cs="Arial"/>
                <w:b/>
                <w:i/>
              </w:rPr>
              <w:t>OMB FILE NO.</w:t>
            </w:r>
          </w:p>
        </w:tc>
        <w:tc>
          <w:tcPr>
            <w:tcW w:w="4428" w:type="dxa"/>
            <w:hideMark/>
          </w:tcPr>
          <w:p w:rsidR="00DE0D78" w:rsidRPr="00227E95" w:rsidRDefault="00DE0D78" w:rsidP="00190787">
            <w:pPr>
              <w:rPr>
                <w:rFonts w:ascii="Arial" w:hAnsi="Arial" w:cs="Arial"/>
                <w:b/>
                <w:i/>
              </w:rPr>
            </w:pPr>
            <w:r w:rsidRPr="00227E95">
              <w:rPr>
                <w:rFonts w:ascii="Arial" w:hAnsi="Arial" w:cs="Arial"/>
                <w:b/>
                <w:i/>
              </w:rPr>
              <w:t>APPELLANT NAME</w:t>
            </w:r>
          </w:p>
        </w:tc>
      </w:tr>
      <w:tr w:rsidR="00DE0D78" w:rsidRPr="00227E95" w:rsidTr="00AF4911">
        <w:tc>
          <w:tcPr>
            <w:tcW w:w="4428" w:type="dxa"/>
            <w:hideMark/>
          </w:tcPr>
          <w:p w:rsidR="00DE0D78" w:rsidRPr="00227E95" w:rsidRDefault="00DE0D78" w:rsidP="00190787">
            <w:pPr>
              <w:rPr>
                <w:rFonts w:ascii="Arial" w:hAnsi="Arial" w:cs="Arial"/>
              </w:rPr>
            </w:pPr>
            <w:r w:rsidRPr="00227E95">
              <w:rPr>
                <w:rFonts w:ascii="Arial" w:hAnsi="Arial" w:cs="Arial"/>
              </w:rPr>
              <w:t>PL101381</w:t>
            </w:r>
          </w:p>
        </w:tc>
        <w:tc>
          <w:tcPr>
            <w:tcW w:w="4428" w:type="dxa"/>
            <w:hideMark/>
          </w:tcPr>
          <w:p w:rsidR="00DE0D78" w:rsidRPr="00227E95" w:rsidRDefault="00DE0D78" w:rsidP="00190787">
            <w:pPr>
              <w:rPr>
                <w:rFonts w:ascii="Arial" w:hAnsi="Arial" w:cs="Arial"/>
              </w:rPr>
            </w:pPr>
            <w:r w:rsidRPr="00227E95">
              <w:rPr>
                <w:rFonts w:ascii="Arial" w:hAnsi="Arial" w:cs="Arial"/>
              </w:rPr>
              <w:t>A. DeSantis Developments Ltd.</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LIUNA Group Corp.</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St. Joseph’s Villa</w:t>
            </w:r>
          </w:p>
        </w:tc>
      </w:tr>
    </w:tbl>
    <w:p w:rsidR="00DE0D78" w:rsidRPr="00227E95" w:rsidRDefault="00DE0D78" w:rsidP="00DE0D78">
      <w:pPr>
        <w:jc w:val="both"/>
        <w:rPr>
          <w:rFonts w:ascii="Arial" w:hAnsi="Arial" w:cs="Arial"/>
        </w:rPr>
      </w:pPr>
    </w:p>
    <w:p w:rsidR="00DE0D78" w:rsidRPr="00227E95" w:rsidRDefault="00DE0D78" w:rsidP="00DE0D78">
      <w:pPr>
        <w:jc w:val="both"/>
        <w:rPr>
          <w:rFonts w:ascii="Arial" w:hAnsi="Arial" w:cs="Arial"/>
        </w:rPr>
      </w:pPr>
    </w:p>
    <w:p w:rsidR="00DE0D78" w:rsidRPr="00227E95" w:rsidRDefault="00DE0D78" w:rsidP="00DE0D78">
      <w:pPr>
        <w:jc w:val="center"/>
        <w:rPr>
          <w:rFonts w:ascii="Arial" w:hAnsi="Arial" w:cs="Arial"/>
          <w:b/>
          <w:u w:val="single"/>
        </w:rPr>
      </w:pPr>
      <w:r w:rsidRPr="00227E95">
        <w:rPr>
          <w:rFonts w:ascii="Arial" w:hAnsi="Arial" w:cs="Arial"/>
          <w:b/>
          <w:u w:val="single"/>
        </w:rPr>
        <w:t>Schedule “3”</w:t>
      </w:r>
    </w:p>
    <w:p w:rsidR="00DE0D78" w:rsidRPr="00227E95" w:rsidRDefault="00DE0D78" w:rsidP="00DE0D78">
      <w:pPr>
        <w:rPr>
          <w:rFonts w:ascii="Arial" w:hAnsi="Arial" w:cs="Arial"/>
        </w:rPr>
      </w:pPr>
    </w:p>
    <w:p w:rsidR="00DE0D78" w:rsidRDefault="00DE0D78" w:rsidP="00DE0D78">
      <w:pPr>
        <w:rPr>
          <w:rFonts w:ascii="Arial" w:hAnsi="Arial" w:cs="Arial"/>
        </w:rPr>
      </w:pPr>
      <w:proofErr w:type="gramStart"/>
      <w:r w:rsidRPr="00227E95">
        <w:rPr>
          <w:rFonts w:ascii="Arial" w:hAnsi="Arial" w:cs="Arial"/>
        </w:rPr>
        <w:t>Appellants to the new City of Hamilton Urban Official Plan (OMB Case No.</w:t>
      </w:r>
      <w:proofErr w:type="gramEnd"/>
      <w:r w:rsidRPr="00227E95">
        <w:rPr>
          <w:rFonts w:ascii="Arial" w:hAnsi="Arial" w:cs="Arial"/>
        </w:rPr>
        <w:t xml:space="preserve"> PL110331)</w:t>
      </w:r>
    </w:p>
    <w:p w:rsidR="00227E95" w:rsidRPr="00227E95" w:rsidRDefault="00227E95" w:rsidP="00DE0D78">
      <w:pPr>
        <w:rPr>
          <w:rFonts w:ascii="Arial" w:hAnsi="Arial" w:cs="Arial"/>
        </w:rPr>
      </w:pPr>
    </w:p>
    <w:tbl>
      <w:tblPr>
        <w:tblW w:w="0" w:type="auto"/>
        <w:tblLook w:val="01E0" w:firstRow="1" w:lastRow="1" w:firstColumn="1" w:lastColumn="1" w:noHBand="0" w:noVBand="0"/>
      </w:tblPr>
      <w:tblGrid>
        <w:gridCol w:w="4428"/>
        <w:gridCol w:w="4428"/>
      </w:tblGrid>
      <w:tr w:rsidR="00DE0D78" w:rsidRPr="00227E95" w:rsidTr="00AF4911">
        <w:tc>
          <w:tcPr>
            <w:tcW w:w="4428" w:type="dxa"/>
            <w:hideMark/>
          </w:tcPr>
          <w:p w:rsidR="00DE0D78" w:rsidRPr="00227E95" w:rsidRDefault="00DE0D78" w:rsidP="00190787">
            <w:pPr>
              <w:rPr>
                <w:rFonts w:ascii="Arial" w:hAnsi="Arial" w:cs="Arial"/>
                <w:b/>
                <w:i/>
              </w:rPr>
            </w:pPr>
            <w:r w:rsidRPr="00227E95">
              <w:rPr>
                <w:rFonts w:ascii="Arial" w:hAnsi="Arial" w:cs="Arial"/>
                <w:b/>
                <w:i/>
              </w:rPr>
              <w:t>OMB FILE NO.</w:t>
            </w:r>
          </w:p>
        </w:tc>
        <w:tc>
          <w:tcPr>
            <w:tcW w:w="4428" w:type="dxa"/>
            <w:hideMark/>
          </w:tcPr>
          <w:p w:rsidR="00DE0D78" w:rsidRPr="00227E95" w:rsidRDefault="00DE0D78" w:rsidP="00190787">
            <w:pPr>
              <w:rPr>
                <w:rFonts w:ascii="Arial" w:hAnsi="Arial" w:cs="Arial"/>
                <w:b/>
                <w:i/>
              </w:rPr>
            </w:pPr>
            <w:r w:rsidRPr="00227E95">
              <w:rPr>
                <w:rFonts w:ascii="Arial" w:hAnsi="Arial" w:cs="Arial"/>
                <w:b/>
                <w:i/>
              </w:rPr>
              <w:t>APPELLANT NAME</w:t>
            </w:r>
          </w:p>
        </w:tc>
      </w:tr>
      <w:tr w:rsidR="00DE0D78" w:rsidRPr="00227E95" w:rsidTr="00AF4911">
        <w:tc>
          <w:tcPr>
            <w:tcW w:w="4428" w:type="dxa"/>
            <w:hideMark/>
          </w:tcPr>
          <w:p w:rsidR="00DE0D78" w:rsidRPr="00227E95" w:rsidRDefault="00DE0D78" w:rsidP="00190787">
            <w:pPr>
              <w:rPr>
                <w:rFonts w:ascii="Arial" w:hAnsi="Arial" w:cs="Arial"/>
              </w:rPr>
            </w:pPr>
            <w:r w:rsidRPr="00227E95">
              <w:rPr>
                <w:rFonts w:ascii="Arial" w:hAnsi="Arial" w:cs="Arial"/>
              </w:rPr>
              <w:t>PL110331</w:t>
            </w:r>
          </w:p>
        </w:tc>
        <w:tc>
          <w:tcPr>
            <w:tcW w:w="4428" w:type="dxa"/>
            <w:hideMark/>
          </w:tcPr>
          <w:p w:rsidR="00DE0D78" w:rsidRPr="00227E95" w:rsidRDefault="00DE0D78" w:rsidP="00190787">
            <w:pPr>
              <w:rPr>
                <w:rFonts w:ascii="Arial" w:hAnsi="Arial" w:cs="Arial"/>
              </w:rPr>
            </w:pPr>
            <w:r w:rsidRPr="00227E95">
              <w:rPr>
                <w:rFonts w:ascii="Arial" w:hAnsi="Arial" w:cs="Arial"/>
              </w:rPr>
              <w:t>2000963 Ontario Inc.</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2051206 Ontario Inc.</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2084696 Ontario Inc.</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2188410 Ontario Inc.</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456941 Ontario Ltd., 1263339 Ontario Ltd., and Lea Silvestri</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909940 Ontario Inc.</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Artstone Holdings Limited</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Carmen Chiaravelle, 1694408 Ontario Ltd., John Edward Demik, Peter Demik, Demik Brothers Hamilton Ltd., and Elaine Vyn</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City of Hamilton</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Corpveil Holdings Limited</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Flamborough Power Centre Inc., Flamborough South Centre Inc., Clappison Five Six Properties Inc.</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Freeland Developments Limited</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Gino and Olindo DalBello</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Lynmount Developments Limited</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Mondelēz Canada Inc. (formerly Kraft Canada Inc.)</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Mud and First Inc.</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Multi-Area Developments Inc.</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Norman Vartanian</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Paletta International Corporation</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Paletta International Corporation (re: Elfrida)</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Spallacci &amp; Sons Limited</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Sullstar Twenty Limited</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Twenty Road Developments Inc.</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Upper Centennial Developments Ltd.</w:t>
            </w:r>
          </w:p>
        </w:tc>
      </w:tr>
      <w:tr w:rsidR="00DE0D78" w:rsidRPr="00227E95" w:rsidTr="00AF4911">
        <w:tc>
          <w:tcPr>
            <w:tcW w:w="4428" w:type="dxa"/>
          </w:tcPr>
          <w:p w:rsidR="00DE0D78" w:rsidRPr="00227E95" w:rsidRDefault="00DE0D78" w:rsidP="00190787">
            <w:pPr>
              <w:rPr>
                <w:rFonts w:ascii="Arial" w:hAnsi="Arial" w:cs="Arial"/>
              </w:rPr>
            </w:pPr>
          </w:p>
        </w:tc>
        <w:tc>
          <w:tcPr>
            <w:tcW w:w="4428" w:type="dxa"/>
            <w:hideMark/>
          </w:tcPr>
          <w:p w:rsidR="00DE0D78" w:rsidRPr="00227E95" w:rsidRDefault="00DE0D78" w:rsidP="00190787">
            <w:pPr>
              <w:rPr>
                <w:rFonts w:ascii="Arial" w:hAnsi="Arial" w:cs="Arial"/>
              </w:rPr>
            </w:pPr>
            <w:r w:rsidRPr="00227E95">
              <w:rPr>
                <w:rFonts w:ascii="Arial" w:hAnsi="Arial" w:cs="Arial"/>
              </w:rPr>
              <w:t>Waterdown Bay Ltd.</w:t>
            </w:r>
          </w:p>
        </w:tc>
      </w:tr>
    </w:tbl>
    <w:p w:rsidR="00DF2E6F" w:rsidRPr="00431D90" w:rsidRDefault="00DF2E6F" w:rsidP="00DE0D78">
      <w:pPr>
        <w:rPr>
          <w:rFonts w:ascii="Arial" w:hAnsi="Arial" w:cs="Arial"/>
          <w:sz w:val="22"/>
          <w:szCs w:val="22"/>
        </w:rPr>
      </w:pPr>
    </w:p>
    <w:p w:rsidR="00397A2C" w:rsidRDefault="00397A2C" w:rsidP="007B76AB">
      <w:pPr>
        <w:rPr>
          <w:rFonts w:ascii="Arial" w:hAnsi="Arial" w:cs="Arial"/>
          <w:lang w:val="en-CA"/>
        </w:rPr>
      </w:pPr>
    </w:p>
    <w:tbl>
      <w:tblPr>
        <w:tblpPr w:leftFromText="180" w:rightFromText="180" w:vertAnchor="text" w:horzAnchor="margin" w:tblpY="-70"/>
        <w:tblW w:w="9464" w:type="dxa"/>
        <w:tblLook w:val="0000" w:firstRow="0" w:lastRow="0" w:firstColumn="0" w:lastColumn="0" w:noHBand="0" w:noVBand="0"/>
      </w:tblPr>
      <w:tblGrid>
        <w:gridCol w:w="4248"/>
        <w:gridCol w:w="5216"/>
      </w:tblGrid>
      <w:tr w:rsidR="007B76AB" w:rsidRPr="005A767F" w:rsidTr="00AB6FEF">
        <w:tc>
          <w:tcPr>
            <w:tcW w:w="4248" w:type="dxa"/>
          </w:tcPr>
          <w:p w:rsidR="007B76AB" w:rsidRPr="0066296A" w:rsidRDefault="007B76AB" w:rsidP="00AB6FEF">
            <w:pPr>
              <w:rPr>
                <w:rFonts w:ascii="Arial" w:hAnsi="Arial" w:cs="Arial"/>
                <w:b/>
              </w:rPr>
            </w:pPr>
            <w:r w:rsidRPr="0066296A">
              <w:rPr>
                <w:rFonts w:ascii="Arial" w:hAnsi="Arial" w:cs="Arial"/>
                <w:b/>
              </w:rPr>
              <w:t>Heard:</w:t>
            </w:r>
          </w:p>
        </w:tc>
        <w:tc>
          <w:tcPr>
            <w:tcW w:w="5216" w:type="dxa"/>
          </w:tcPr>
          <w:p w:rsidR="007B76AB" w:rsidRPr="005A767F" w:rsidRDefault="00DE0D78" w:rsidP="00AF4911">
            <w:pPr>
              <w:ind w:left="147"/>
              <w:rPr>
                <w:rFonts w:ascii="Arial" w:hAnsi="Arial" w:cs="Arial"/>
              </w:rPr>
            </w:pPr>
            <w:r>
              <w:rPr>
                <w:rFonts w:ascii="Arial" w:hAnsi="Arial" w:cs="Arial"/>
              </w:rPr>
              <w:t>May 2, 2018 in Hamilton, Ontario</w:t>
            </w:r>
          </w:p>
        </w:tc>
      </w:tr>
    </w:tbl>
    <w:p w:rsidR="007B76AB" w:rsidRPr="007C245D" w:rsidRDefault="007B76AB" w:rsidP="007B76AB">
      <w:pPr>
        <w:rPr>
          <w:vanish/>
        </w:rPr>
      </w:pPr>
    </w:p>
    <w:tbl>
      <w:tblPr>
        <w:tblW w:w="9464" w:type="dxa"/>
        <w:tblLook w:val="0000" w:firstRow="0" w:lastRow="0" w:firstColumn="0" w:lastColumn="0" w:noHBand="0" w:noVBand="0"/>
      </w:tblPr>
      <w:tblGrid>
        <w:gridCol w:w="4248"/>
        <w:gridCol w:w="5216"/>
      </w:tblGrid>
      <w:tr w:rsidR="007B76AB" w:rsidRPr="004704FF" w:rsidTr="00AB6FEF">
        <w:tc>
          <w:tcPr>
            <w:tcW w:w="4248" w:type="dxa"/>
          </w:tcPr>
          <w:p w:rsidR="00397A2C" w:rsidRDefault="00397A2C" w:rsidP="00AB6FEF">
            <w:pPr>
              <w:rPr>
                <w:rFonts w:ascii="Arial" w:hAnsi="Arial" w:cs="Arial"/>
                <w:b/>
                <w:lang w:val="en-CA"/>
              </w:rPr>
            </w:pPr>
          </w:p>
          <w:p w:rsidR="007B76AB" w:rsidRPr="004704FF" w:rsidRDefault="007B76AB" w:rsidP="00AB6FEF">
            <w:pPr>
              <w:rPr>
                <w:rFonts w:ascii="Arial" w:hAnsi="Arial" w:cs="Arial"/>
                <w:b/>
                <w:u w:val="single"/>
                <w:lang w:val="en-CA"/>
              </w:rPr>
            </w:pPr>
            <w:r w:rsidRPr="004704FF">
              <w:rPr>
                <w:rFonts w:ascii="Arial" w:hAnsi="Arial" w:cs="Arial"/>
                <w:b/>
                <w:lang w:val="en-CA"/>
              </w:rPr>
              <w:t>APPEARANCES:</w:t>
            </w:r>
          </w:p>
        </w:tc>
        <w:tc>
          <w:tcPr>
            <w:tcW w:w="5216" w:type="dxa"/>
          </w:tcPr>
          <w:p w:rsidR="007B76AB" w:rsidRPr="004704FF" w:rsidRDefault="007B76AB" w:rsidP="00AB6FEF">
            <w:pPr>
              <w:tabs>
                <w:tab w:val="left" w:pos="3402"/>
              </w:tabs>
              <w:rPr>
                <w:rFonts w:ascii="Arial" w:hAnsi="Arial" w:cs="Arial"/>
                <w:b/>
                <w:u w:val="single"/>
                <w:lang w:val="en-CA"/>
              </w:rPr>
            </w:pPr>
          </w:p>
        </w:tc>
      </w:tr>
      <w:tr w:rsidR="007B76AB" w:rsidRPr="004704FF" w:rsidTr="00AB6FEF">
        <w:tc>
          <w:tcPr>
            <w:tcW w:w="4248" w:type="dxa"/>
          </w:tcPr>
          <w:p w:rsidR="007B76AB" w:rsidRPr="004704FF" w:rsidRDefault="007B76AB" w:rsidP="00AB6FEF">
            <w:pPr>
              <w:tabs>
                <w:tab w:val="left" w:pos="3402"/>
              </w:tabs>
              <w:rPr>
                <w:rFonts w:ascii="Arial" w:hAnsi="Arial" w:cs="Arial"/>
                <w:b/>
                <w:u w:val="single"/>
                <w:lang w:val="en-CA"/>
              </w:rPr>
            </w:pPr>
          </w:p>
        </w:tc>
        <w:tc>
          <w:tcPr>
            <w:tcW w:w="5216" w:type="dxa"/>
          </w:tcPr>
          <w:p w:rsidR="007B76AB" w:rsidRPr="004704FF" w:rsidRDefault="007B76AB" w:rsidP="00AB6FEF">
            <w:pPr>
              <w:tabs>
                <w:tab w:val="left" w:pos="3402"/>
              </w:tabs>
              <w:rPr>
                <w:rFonts w:ascii="Arial" w:hAnsi="Arial" w:cs="Arial"/>
                <w:b/>
                <w:u w:val="single"/>
                <w:lang w:val="en-CA"/>
              </w:rPr>
            </w:pPr>
          </w:p>
        </w:tc>
      </w:tr>
      <w:tr w:rsidR="007B76AB" w:rsidRPr="004704FF" w:rsidTr="00AB6FEF">
        <w:tc>
          <w:tcPr>
            <w:tcW w:w="4248" w:type="dxa"/>
          </w:tcPr>
          <w:p w:rsidR="007B76AB" w:rsidRPr="004704FF" w:rsidRDefault="007B76AB" w:rsidP="00AB6FEF">
            <w:pPr>
              <w:tabs>
                <w:tab w:val="left" w:pos="3402"/>
              </w:tabs>
              <w:rPr>
                <w:rFonts w:ascii="Arial" w:hAnsi="Arial" w:cs="Arial"/>
                <w:b/>
                <w:u w:val="single"/>
                <w:lang w:val="en-CA"/>
              </w:rPr>
            </w:pPr>
            <w:bookmarkStart w:id="3" w:name="Parties"/>
            <w:r w:rsidRPr="004704FF">
              <w:rPr>
                <w:rFonts w:ascii="Arial" w:hAnsi="Arial" w:cs="Arial"/>
                <w:b/>
                <w:u w:val="single"/>
                <w:lang w:val="en-CA"/>
              </w:rPr>
              <w:t>Parties</w:t>
            </w:r>
            <w:bookmarkEnd w:id="3"/>
          </w:p>
        </w:tc>
        <w:tc>
          <w:tcPr>
            <w:tcW w:w="5216" w:type="dxa"/>
          </w:tcPr>
          <w:p w:rsidR="007B76AB" w:rsidRPr="004704FF" w:rsidRDefault="007B76AB" w:rsidP="00AF4911">
            <w:pPr>
              <w:tabs>
                <w:tab w:val="left" w:pos="3402"/>
              </w:tabs>
              <w:ind w:left="147"/>
              <w:rPr>
                <w:rFonts w:ascii="Arial" w:hAnsi="Arial" w:cs="Arial"/>
                <w:b/>
                <w:u w:val="single"/>
                <w:lang w:val="en-CA"/>
              </w:rPr>
            </w:pPr>
            <w:bookmarkStart w:id="4" w:name="CounselAgent"/>
            <w:r w:rsidRPr="004704FF">
              <w:rPr>
                <w:rFonts w:ascii="Arial" w:hAnsi="Arial" w:cs="Arial"/>
                <w:b/>
                <w:u w:val="single"/>
                <w:lang w:val="en-CA"/>
              </w:rPr>
              <w:t>Counsel</w:t>
            </w:r>
            <w:bookmarkEnd w:id="4"/>
          </w:p>
        </w:tc>
      </w:tr>
      <w:tr w:rsidR="007B76AB" w:rsidRPr="004704FF" w:rsidTr="00AB6FEF">
        <w:tc>
          <w:tcPr>
            <w:tcW w:w="4248" w:type="dxa"/>
          </w:tcPr>
          <w:p w:rsidR="00DF2E6F" w:rsidRDefault="00DF2E6F" w:rsidP="00AB6FEF">
            <w:pPr>
              <w:pStyle w:val="PartiesCounselAgent"/>
              <w:tabs>
                <w:tab w:val="left" w:pos="3402"/>
              </w:tabs>
              <w:rPr>
                <w:rFonts w:cs="Arial"/>
                <w:lang w:eastAsia="en-CA"/>
              </w:rPr>
            </w:pPr>
          </w:p>
          <w:p w:rsidR="007B76AB" w:rsidRPr="004704FF" w:rsidRDefault="00DE0D78" w:rsidP="00AB6FEF">
            <w:pPr>
              <w:pStyle w:val="PartiesCounselAgent"/>
              <w:tabs>
                <w:tab w:val="left" w:pos="3402"/>
              </w:tabs>
              <w:rPr>
                <w:rFonts w:cs="Arial"/>
                <w:lang w:eastAsia="en-CA"/>
              </w:rPr>
            </w:pPr>
            <w:r>
              <w:rPr>
                <w:rFonts w:cs="Arial"/>
                <w:lang w:eastAsia="en-CA"/>
              </w:rPr>
              <w:t>City of Hamilton</w:t>
            </w:r>
          </w:p>
        </w:tc>
        <w:tc>
          <w:tcPr>
            <w:tcW w:w="5216" w:type="dxa"/>
          </w:tcPr>
          <w:p w:rsidR="00DF2E6F" w:rsidRDefault="00DF2E6F" w:rsidP="00AF4911">
            <w:pPr>
              <w:pStyle w:val="PartiesCounselAgent"/>
              <w:tabs>
                <w:tab w:val="left" w:pos="3402"/>
              </w:tabs>
              <w:ind w:left="147"/>
              <w:rPr>
                <w:rFonts w:cs="Arial"/>
                <w:lang w:eastAsia="en-CA"/>
              </w:rPr>
            </w:pPr>
          </w:p>
          <w:p w:rsidR="007B76AB" w:rsidRDefault="00DE0D78" w:rsidP="00AF4911">
            <w:pPr>
              <w:pStyle w:val="PartiesCounselAgent"/>
              <w:tabs>
                <w:tab w:val="left" w:pos="3402"/>
              </w:tabs>
              <w:ind w:left="147"/>
              <w:rPr>
                <w:rFonts w:cs="Arial"/>
                <w:lang w:eastAsia="en-CA"/>
              </w:rPr>
            </w:pPr>
            <w:r>
              <w:rPr>
                <w:rFonts w:cs="Arial"/>
                <w:lang w:eastAsia="en-CA"/>
              </w:rPr>
              <w:t xml:space="preserve">M. Kovacevic </w:t>
            </w:r>
          </w:p>
          <w:p w:rsidR="00DE0D78" w:rsidRPr="004704FF" w:rsidRDefault="00DE0D78" w:rsidP="00AF4911">
            <w:pPr>
              <w:pStyle w:val="PartiesCounselAgent"/>
              <w:tabs>
                <w:tab w:val="left" w:pos="3402"/>
              </w:tabs>
              <w:ind w:left="147"/>
              <w:rPr>
                <w:rFonts w:cs="Arial"/>
                <w:lang w:eastAsia="en-CA"/>
              </w:rPr>
            </w:pPr>
            <w:r>
              <w:rPr>
                <w:rFonts w:cs="Arial"/>
                <w:lang w:eastAsia="en-CA"/>
              </w:rPr>
              <w:t>J. Wice</w:t>
            </w:r>
          </w:p>
        </w:tc>
      </w:tr>
      <w:tr w:rsidR="007B76AB" w:rsidRPr="004704FF" w:rsidTr="00AB6FEF">
        <w:tc>
          <w:tcPr>
            <w:tcW w:w="4248" w:type="dxa"/>
          </w:tcPr>
          <w:p w:rsidR="00DF2E6F" w:rsidRDefault="00DF2E6F" w:rsidP="00AB6FEF">
            <w:pPr>
              <w:pStyle w:val="PartiesCounselAgent"/>
              <w:tabs>
                <w:tab w:val="left" w:pos="3402"/>
              </w:tabs>
              <w:rPr>
                <w:rFonts w:cs="Arial"/>
              </w:rPr>
            </w:pPr>
          </w:p>
          <w:p w:rsidR="007B76AB" w:rsidRPr="004704FF" w:rsidRDefault="00DE0D78" w:rsidP="00AB6FEF">
            <w:pPr>
              <w:pStyle w:val="PartiesCounselAgent"/>
              <w:tabs>
                <w:tab w:val="left" w:pos="3402"/>
              </w:tabs>
              <w:rPr>
                <w:rFonts w:cs="Arial"/>
              </w:rPr>
            </w:pPr>
            <w:r>
              <w:rPr>
                <w:rFonts w:cs="Arial"/>
              </w:rPr>
              <w:t>Ministry of Municipal Affairs</w:t>
            </w:r>
          </w:p>
        </w:tc>
        <w:tc>
          <w:tcPr>
            <w:tcW w:w="5216" w:type="dxa"/>
          </w:tcPr>
          <w:p w:rsidR="00DF2E6F" w:rsidRDefault="00DF2E6F" w:rsidP="00AF4911">
            <w:pPr>
              <w:pStyle w:val="PartiesCounselAgent"/>
              <w:tabs>
                <w:tab w:val="left" w:pos="3402"/>
              </w:tabs>
              <w:ind w:left="147"/>
              <w:rPr>
                <w:rFonts w:cs="Arial"/>
              </w:rPr>
            </w:pPr>
          </w:p>
          <w:p w:rsidR="007B76AB" w:rsidRDefault="00DE0D78" w:rsidP="00AF4911">
            <w:pPr>
              <w:pStyle w:val="PartiesCounselAgent"/>
              <w:tabs>
                <w:tab w:val="left" w:pos="3402"/>
              </w:tabs>
              <w:ind w:left="147"/>
              <w:rPr>
                <w:rFonts w:cs="Arial"/>
              </w:rPr>
            </w:pPr>
            <w:r>
              <w:rPr>
                <w:rFonts w:cs="Arial"/>
              </w:rPr>
              <w:t>U. Popadic</w:t>
            </w:r>
          </w:p>
          <w:p w:rsidR="00DE0D78" w:rsidRPr="004704FF" w:rsidRDefault="00DE0D78" w:rsidP="00AF4911">
            <w:pPr>
              <w:pStyle w:val="PartiesCounselAgent"/>
              <w:tabs>
                <w:tab w:val="left" w:pos="3402"/>
              </w:tabs>
              <w:ind w:left="147"/>
              <w:rPr>
                <w:rFonts w:cs="Arial"/>
              </w:rPr>
            </w:pPr>
            <w:r>
              <w:rPr>
                <w:rFonts w:cs="Arial"/>
              </w:rPr>
              <w:t>C. Young</w:t>
            </w:r>
          </w:p>
        </w:tc>
      </w:tr>
      <w:tr w:rsidR="007B76AB" w:rsidRPr="004704FF" w:rsidTr="00AB6FEF">
        <w:tc>
          <w:tcPr>
            <w:tcW w:w="4248" w:type="dxa"/>
          </w:tcPr>
          <w:p w:rsidR="00DF2E6F" w:rsidRDefault="00DF2E6F" w:rsidP="00AB6FEF">
            <w:pPr>
              <w:tabs>
                <w:tab w:val="left" w:pos="3402"/>
              </w:tabs>
              <w:rPr>
                <w:rFonts w:ascii="Arial" w:hAnsi="Arial" w:cs="Arial"/>
                <w:lang w:val="en-CA" w:eastAsia="en-CA"/>
              </w:rPr>
            </w:pPr>
          </w:p>
          <w:p w:rsidR="007B76AB" w:rsidRPr="004704FF" w:rsidRDefault="00DE0D78" w:rsidP="00AB6FEF">
            <w:pPr>
              <w:tabs>
                <w:tab w:val="left" w:pos="3402"/>
              </w:tabs>
              <w:rPr>
                <w:rFonts w:ascii="Arial" w:hAnsi="Arial" w:cs="Arial"/>
                <w:lang w:val="en-CA" w:eastAsia="en-CA"/>
              </w:rPr>
            </w:pPr>
            <w:r>
              <w:rPr>
                <w:rFonts w:ascii="Arial" w:hAnsi="Arial" w:cs="Arial"/>
                <w:lang w:val="en-CA" w:eastAsia="en-CA"/>
              </w:rPr>
              <w:t>1507565 Ontario Inc.</w:t>
            </w:r>
          </w:p>
        </w:tc>
        <w:tc>
          <w:tcPr>
            <w:tcW w:w="5216" w:type="dxa"/>
          </w:tcPr>
          <w:p w:rsidR="00DF2E6F" w:rsidRDefault="00DF2E6F" w:rsidP="00AF4911">
            <w:pPr>
              <w:pStyle w:val="PartiesCounselAgent"/>
              <w:tabs>
                <w:tab w:val="left" w:pos="3402"/>
              </w:tabs>
              <w:ind w:left="147"/>
              <w:rPr>
                <w:rFonts w:cs="Arial"/>
              </w:rPr>
            </w:pPr>
          </w:p>
          <w:p w:rsidR="007B76AB" w:rsidRPr="004704FF" w:rsidRDefault="00DE0D78" w:rsidP="00AF4911">
            <w:pPr>
              <w:pStyle w:val="PartiesCounselAgent"/>
              <w:tabs>
                <w:tab w:val="left" w:pos="3402"/>
              </w:tabs>
              <w:ind w:left="147"/>
              <w:rPr>
                <w:rFonts w:cs="Arial"/>
              </w:rPr>
            </w:pPr>
            <w:r>
              <w:rPr>
                <w:rFonts w:cs="Arial"/>
              </w:rPr>
              <w:t>J. Doherty</w:t>
            </w:r>
          </w:p>
        </w:tc>
      </w:tr>
      <w:tr w:rsidR="00045B93" w:rsidRPr="004704FF" w:rsidTr="00AB6FEF">
        <w:tc>
          <w:tcPr>
            <w:tcW w:w="4248" w:type="dxa"/>
          </w:tcPr>
          <w:p w:rsidR="00DF2E6F" w:rsidRDefault="00DF2E6F" w:rsidP="00AB6FEF">
            <w:pPr>
              <w:tabs>
                <w:tab w:val="left" w:pos="3402"/>
              </w:tabs>
              <w:rPr>
                <w:rFonts w:ascii="Arial" w:hAnsi="Arial" w:cs="Arial"/>
                <w:lang w:val="en-CA" w:eastAsia="en-CA"/>
              </w:rPr>
            </w:pPr>
          </w:p>
          <w:p w:rsidR="00045B93" w:rsidRDefault="00045B93" w:rsidP="00AB6FEF">
            <w:pPr>
              <w:tabs>
                <w:tab w:val="left" w:pos="3402"/>
              </w:tabs>
              <w:rPr>
                <w:rFonts w:ascii="Arial" w:hAnsi="Arial" w:cs="Arial"/>
                <w:lang w:val="en-CA" w:eastAsia="en-CA"/>
              </w:rPr>
            </w:pPr>
            <w:r>
              <w:rPr>
                <w:rFonts w:ascii="Arial" w:hAnsi="Arial" w:cs="Arial"/>
                <w:lang w:val="en-CA" w:eastAsia="en-CA"/>
              </w:rPr>
              <w:t>Demik Developments</w:t>
            </w:r>
          </w:p>
          <w:p w:rsidR="00045B93" w:rsidRDefault="00045B93" w:rsidP="00AB6FEF">
            <w:pPr>
              <w:tabs>
                <w:tab w:val="left" w:pos="3402"/>
              </w:tabs>
              <w:rPr>
                <w:rFonts w:ascii="Arial" w:hAnsi="Arial" w:cs="Arial"/>
                <w:lang w:val="en-CA" w:eastAsia="en-CA"/>
              </w:rPr>
            </w:pPr>
            <w:r>
              <w:rPr>
                <w:rFonts w:ascii="Arial" w:hAnsi="Arial" w:cs="Arial"/>
                <w:lang w:val="en-CA" w:eastAsia="en-CA"/>
              </w:rPr>
              <w:t>Carmen Chiaravalle</w:t>
            </w:r>
          </w:p>
          <w:p w:rsidR="00045B93" w:rsidRDefault="00045B93" w:rsidP="00AB6FEF">
            <w:pPr>
              <w:tabs>
                <w:tab w:val="left" w:pos="3402"/>
              </w:tabs>
              <w:rPr>
                <w:rFonts w:ascii="Arial" w:hAnsi="Arial" w:cs="Arial"/>
                <w:lang w:val="en-CA" w:eastAsia="en-CA"/>
              </w:rPr>
            </w:pPr>
            <w:r>
              <w:rPr>
                <w:rFonts w:ascii="Arial" w:hAnsi="Arial" w:cs="Arial"/>
                <w:lang w:val="en-CA" w:eastAsia="en-CA"/>
              </w:rPr>
              <w:t>1694408 Ontario Inc.</w:t>
            </w:r>
          </w:p>
          <w:p w:rsidR="00045B93" w:rsidRDefault="00045B93" w:rsidP="00AB6FEF">
            <w:pPr>
              <w:tabs>
                <w:tab w:val="left" w:pos="3402"/>
              </w:tabs>
              <w:rPr>
                <w:rFonts w:ascii="Arial" w:hAnsi="Arial" w:cs="Arial"/>
                <w:lang w:val="en-CA" w:eastAsia="en-CA"/>
              </w:rPr>
            </w:pPr>
            <w:r>
              <w:rPr>
                <w:rFonts w:ascii="Arial" w:hAnsi="Arial" w:cs="Arial"/>
                <w:lang w:val="en-CA" w:eastAsia="en-CA"/>
              </w:rPr>
              <w:t>Demik Brothers Hamilton Ltd.</w:t>
            </w:r>
          </w:p>
          <w:p w:rsidR="00DF2E6F" w:rsidRDefault="00045B93" w:rsidP="00AB6FEF">
            <w:pPr>
              <w:tabs>
                <w:tab w:val="left" w:pos="3402"/>
              </w:tabs>
              <w:rPr>
                <w:rFonts w:ascii="Arial" w:hAnsi="Arial" w:cs="Arial"/>
                <w:lang w:val="en-CA" w:eastAsia="en-CA"/>
              </w:rPr>
            </w:pPr>
            <w:r>
              <w:rPr>
                <w:rFonts w:ascii="Arial" w:hAnsi="Arial" w:cs="Arial"/>
                <w:lang w:val="en-CA" w:eastAsia="en-CA"/>
              </w:rPr>
              <w:t>John Edward Demik</w:t>
            </w:r>
          </w:p>
          <w:p w:rsidR="00045B93" w:rsidRDefault="00827BCF" w:rsidP="00AB6FEF">
            <w:pPr>
              <w:tabs>
                <w:tab w:val="left" w:pos="3402"/>
              </w:tabs>
              <w:rPr>
                <w:rFonts w:ascii="Arial" w:hAnsi="Arial" w:cs="Arial"/>
                <w:lang w:val="en-CA" w:eastAsia="en-CA"/>
              </w:rPr>
            </w:pPr>
            <w:r>
              <w:rPr>
                <w:rFonts w:ascii="Arial" w:hAnsi="Arial" w:cs="Arial"/>
                <w:lang w:val="en-CA" w:eastAsia="en-CA"/>
              </w:rPr>
              <w:t>Peter Demik</w:t>
            </w:r>
          </w:p>
          <w:p w:rsidR="00DF2E6F" w:rsidRDefault="00DF2E6F" w:rsidP="00AB6FEF">
            <w:pPr>
              <w:tabs>
                <w:tab w:val="left" w:pos="3402"/>
              </w:tabs>
              <w:rPr>
                <w:rFonts w:ascii="Arial" w:hAnsi="Arial" w:cs="Arial"/>
                <w:lang w:val="en-CA" w:eastAsia="en-CA"/>
              </w:rPr>
            </w:pPr>
            <w:r>
              <w:rPr>
                <w:rFonts w:ascii="Arial" w:hAnsi="Arial" w:cs="Arial"/>
                <w:lang w:val="en-CA" w:eastAsia="en-CA"/>
              </w:rPr>
              <w:t>Elaine Vyn</w:t>
            </w:r>
          </w:p>
          <w:p w:rsidR="00DF2E6F" w:rsidRDefault="00DF2E6F" w:rsidP="00AB6FEF">
            <w:pPr>
              <w:tabs>
                <w:tab w:val="left" w:pos="3402"/>
              </w:tabs>
              <w:rPr>
                <w:rFonts w:ascii="Arial" w:hAnsi="Arial" w:cs="Arial"/>
                <w:lang w:val="en-CA" w:eastAsia="en-CA"/>
              </w:rPr>
            </w:pPr>
            <w:r>
              <w:rPr>
                <w:rFonts w:ascii="Arial" w:hAnsi="Arial" w:cs="Arial"/>
                <w:lang w:val="en-CA" w:eastAsia="en-CA"/>
              </w:rPr>
              <w:t xml:space="preserve">(together known as </w:t>
            </w:r>
            <w:r w:rsidR="00165917">
              <w:rPr>
                <w:rFonts w:ascii="Arial" w:hAnsi="Arial" w:cs="Arial"/>
                <w:lang w:val="en-CA" w:eastAsia="en-CA"/>
              </w:rPr>
              <w:t>“</w:t>
            </w:r>
            <w:r>
              <w:rPr>
                <w:rFonts w:ascii="Arial" w:hAnsi="Arial" w:cs="Arial"/>
                <w:lang w:val="en-CA" w:eastAsia="en-CA"/>
              </w:rPr>
              <w:t>Twenty Road Landowners East</w:t>
            </w:r>
            <w:r w:rsidR="00165917">
              <w:rPr>
                <w:rFonts w:ascii="Arial" w:hAnsi="Arial" w:cs="Arial"/>
                <w:lang w:val="en-CA" w:eastAsia="en-CA"/>
              </w:rPr>
              <w:t>”</w:t>
            </w:r>
            <w:r>
              <w:rPr>
                <w:rFonts w:ascii="Arial" w:hAnsi="Arial" w:cs="Arial"/>
                <w:lang w:val="en-CA" w:eastAsia="en-CA"/>
              </w:rPr>
              <w:t>)</w:t>
            </w:r>
          </w:p>
          <w:p w:rsidR="00DF2E6F" w:rsidRDefault="00DF2E6F" w:rsidP="00AB6FEF">
            <w:pPr>
              <w:tabs>
                <w:tab w:val="left" w:pos="3402"/>
              </w:tabs>
              <w:rPr>
                <w:rFonts w:ascii="Arial" w:hAnsi="Arial" w:cs="Arial"/>
                <w:lang w:val="en-CA" w:eastAsia="en-CA"/>
              </w:rPr>
            </w:pPr>
          </w:p>
        </w:tc>
        <w:tc>
          <w:tcPr>
            <w:tcW w:w="5216" w:type="dxa"/>
          </w:tcPr>
          <w:p w:rsidR="00045B93" w:rsidRDefault="00045B93" w:rsidP="00AF4911">
            <w:pPr>
              <w:pStyle w:val="PartiesCounselAgent"/>
              <w:tabs>
                <w:tab w:val="left" w:pos="3402"/>
              </w:tabs>
              <w:ind w:left="147"/>
              <w:rPr>
                <w:rFonts w:cs="Arial"/>
              </w:rPr>
            </w:pPr>
          </w:p>
          <w:p w:rsidR="00DF2E6F" w:rsidRDefault="00DF2E6F" w:rsidP="00AF4911">
            <w:pPr>
              <w:pStyle w:val="PartiesCounselAgent"/>
              <w:tabs>
                <w:tab w:val="left" w:pos="3402"/>
              </w:tabs>
              <w:ind w:left="147"/>
              <w:rPr>
                <w:rFonts w:cs="Arial"/>
              </w:rPr>
            </w:pPr>
            <w:r>
              <w:rPr>
                <w:rFonts w:cs="Arial"/>
              </w:rPr>
              <w:t>D. Baker</w:t>
            </w:r>
          </w:p>
          <w:p w:rsidR="00DF2E6F" w:rsidRDefault="00DF2E6F" w:rsidP="00AF4911">
            <w:pPr>
              <w:pStyle w:val="PartiesCounselAgent"/>
              <w:tabs>
                <w:tab w:val="left" w:pos="3402"/>
              </w:tabs>
              <w:ind w:left="147"/>
              <w:rPr>
                <w:rFonts w:cs="Arial"/>
              </w:rPr>
            </w:pPr>
            <w:r>
              <w:rPr>
                <w:rFonts w:cs="Arial"/>
              </w:rPr>
              <w:t>S. Rosenthal</w:t>
            </w:r>
          </w:p>
        </w:tc>
      </w:tr>
      <w:tr w:rsidR="00DE0D78" w:rsidRPr="004704FF" w:rsidTr="00AB6FEF">
        <w:tc>
          <w:tcPr>
            <w:tcW w:w="4248" w:type="dxa"/>
          </w:tcPr>
          <w:p w:rsidR="00DE0D78" w:rsidRDefault="00045B93" w:rsidP="00AB6FEF">
            <w:pPr>
              <w:tabs>
                <w:tab w:val="left" w:pos="3402"/>
              </w:tabs>
              <w:rPr>
                <w:rFonts w:ascii="Arial"/>
              </w:rPr>
            </w:pPr>
            <w:r w:rsidRPr="00045B93">
              <w:rPr>
                <w:rFonts w:ascii="Arial"/>
              </w:rPr>
              <w:t>Sullstar</w:t>
            </w:r>
            <w:r w:rsidRPr="00045B93">
              <w:rPr>
                <w:rFonts w:ascii="Arial"/>
                <w:spacing w:val="-7"/>
              </w:rPr>
              <w:t xml:space="preserve"> </w:t>
            </w:r>
            <w:r w:rsidRPr="00045B93">
              <w:rPr>
                <w:rFonts w:ascii="Arial"/>
              </w:rPr>
              <w:t>Twenty</w:t>
            </w:r>
            <w:r w:rsidRPr="00045B93">
              <w:rPr>
                <w:rFonts w:ascii="Arial"/>
                <w:w w:val="99"/>
              </w:rPr>
              <w:t xml:space="preserve"> </w:t>
            </w:r>
            <w:r w:rsidRPr="00045B93">
              <w:rPr>
                <w:rFonts w:ascii="Arial"/>
              </w:rPr>
              <w:t>Limited</w:t>
            </w:r>
            <w:r w:rsidRPr="00045B93">
              <w:rPr>
                <w:rFonts w:ascii="Arial"/>
                <w:spacing w:val="-7"/>
              </w:rPr>
              <w:t xml:space="preserve"> </w:t>
            </w:r>
            <w:r w:rsidRPr="00045B93">
              <w:rPr>
                <w:rFonts w:ascii="Arial"/>
              </w:rPr>
              <w:t>,</w:t>
            </w:r>
            <w:r w:rsidRPr="00045B93">
              <w:rPr>
                <w:rFonts w:ascii="Arial"/>
                <w:spacing w:val="-7"/>
              </w:rPr>
              <w:t xml:space="preserve"> </w:t>
            </w:r>
            <w:r w:rsidRPr="00045B93">
              <w:rPr>
                <w:rFonts w:ascii="Arial"/>
              </w:rPr>
              <w:t>Twenty</w:t>
            </w:r>
            <w:r w:rsidRPr="00045B93">
              <w:rPr>
                <w:rFonts w:ascii="Arial"/>
                <w:spacing w:val="-11"/>
              </w:rPr>
              <w:t xml:space="preserve"> </w:t>
            </w:r>
            <w:r w:rsidRPr="00045B93">
              <w:rPr>
                <w:rFonts w:ascii="Arial"/>
              </w:rPr>
              <w:t>Limited,</w:t>
            </w:r>
            <w:r w:rsidRPr="00045B93">
              <w:rPr>
                <w:rFonts w:ascii="Arial"/>
                <w:spacing w:val="-7"/>
              </w:rPr>
              <w:t xml:space="preserve"> </w:t>
            </w:r>
            <w:r w:rsidRPr="00045B93">
              <w:rPr>
                <w:rFonts w:ascii="Arial"/>
              </w:rPr>
              <w:t>909940</w:t>
            </w:r>
            <w:r w:rsidRPr="00045B93">
              <w:rPr>
                <w:rFonts w:ascii="Arial"/>
                <w:spacing w:val="-7"/>
              </w:rPr>
              <w:t xml:space="preserve"> </w:t>
            </w:r>
            <w:r w:rsidRPr="00045B93">
              <w:rPr>
                <w:rFonts w:ascii="Arial"/>
              </w:rPr>
              <w:t>Ontario</w:t>
            </w:r>
            <w:r w:rsidRPr="00045B93">
              <w:rPr>
                <w:rFonts w:ascii="Arial"/>
                <w:spacing w:val="-7"/>
              </w:rPr>
              <w:t xml:space="preserve"> </w:t>
            </w:r>
            <w:r w:rsidRPr="00045B93">
              <w:rPr>
                <w:rFonts w:ascii="Arial"/>
              </w:rPr>
              <w:t>Inc.,</w:t>
            </w:r>
            <w:r w:rsidRPr="00045B93">
              <w:rPr>
                <w:rFonts w:ascii="Arial"/>
                <w:spacing w:val="-7"/>
              </w:rPr>
              <w:t xml:space="preserve"> </w:t>
            </w:r>
            <w:r w:rsidRPr="00045B93">
              <w:rPr>
                <w:rFonts w:ascii="Arial"/>
              </w:rPr>
              <w:t>Lynmount</w:t>
            </w:r>
            <w:r w:rsidRPr="00045B93">
              <w:rPr>
                <w:rFonts w:ascii="Arial"/>
                <w:w w:val="99"/>
              </w:rPr>
              <w:t xml:space="preserve"> </w:t>
            </w:r>
            <w:r w:rsidRPr="00045B93">
              <w:rPr>
                <w:rFonts w:ascii="Arial"/>
              </w:rPr>
              <w:t>Developments</w:t>
            </w:r>
            <w:r w:rsidRPr="00045B93">
              <w:rPr>
                <w:rFonts w:ascii="Arial"/>
                <w:spacing w:val="-8"/>
              </w:rPr>
              <w:t xml:space="preserve"> </w:t>
            </w:r>
            <w:r w:rsidRPr="00045B93">
              <w:rPr>
                <w:rFonts w:ascii="Arial"/>
              </w:rPr>
              <w:t>Limited,</w:t>
            </w:r>
            <w:r w:rsidRPr="00045B93">
              <w:rPr>
                <w:rFonts w:ascii="Arial"/>
                <w:spacing w:val="-8"/>
              </w:rPr>
              <w:t xml:space="preserve"> </w:t>
            </w:r>
            <w:r w:rsidRPr="00045B93">
              <w:rPr>
                <w:rFonts w:ascii="Arial"/>
              </w:rPr>
              <w:t>Twenty</w:t>
            </w:r>
            <w:r w:rsidRPr="00045B93">
              <w:rPr>
                <w:rFonts w:ascii="Arial"/>
                <w:spacing w:val="-12"/>
              </w:rPr>
              <w:t xml:space="preserve"> </w:t>
            </w:r>
            <w:r w:rsidRPr="00045B93">
              <w:rPr>
                <w:rFonts w:ascii="Arial"/>
              </w:rPr>
              <w:t>Road</w:t>
            </w:r>
            <w:r w:rsidRPr="00045B93">
              <w:rPr>
                <w:rFonts w:ascii="Arial"/>
                <w:spacing w:val="-8"/>
              </w:rPr>
              <w:t xml:space="preserve"> </w:t>
            </w:r>
            <w:r w:rsidRPr="00045B93">
              <w:rPr>
                <w:rFonts w:ascii="Arial"/>
              </w:rPr>
              <w:t>Developments</w:t>
            </w:r>
            <w:r w:rsidRPr="00045B93">
              <w:rPr>
                <w:rFonts w:ascii="Arial"/>
                <w:spacing w:val="-8"/>
              </w:rPr>
              <w:t xml:space="preserve"> </w:t>
            </w:r>
            <w:r w:rsidRPr="00045B93">
              <w:rPr>
                <w:rFonts w:ascii="Arial"/>
              </w:rPr>
              <w:t>Inc.,</w:t>
            </w:r>
            <w:r w:rsidRPr="00045B93">
              <w:rPr>
                <w:rFonts w:ascii="Arial"/>
                <w:w w:val="99"/>
              </w:rPr>
              <w:t xml:space="preserve"> </w:t>
            </w:r>
            <w:r w:rsidRPr="00045B93">
              <w:rPr>
                <w:rFonts w:ascii="Arial"/>
              </w:rPr>
              <w:t>Spallacci</w:t>
            </w:r>
            <w:r w:rsidRPr="00045B93">
              <w:rPr>
                <w:rFonts w:ascii="Arial"/>
                <w:spacing w:val="-7"/>
              </w:rPr>
              <w:t xml:space="preserve"> </w:t>
            </w:r>
            <w:r w:rsidRPr="00045B93">
              <w:rPr>
                <w:rFonts w:ascii="Arial"/>
              </w:rPr>
              <w:t>&amp;</w:t>
            </w:r>
            <w:r w:rsidRPr="00045B93">
              <w:rPr>
                <w:rFonts w:ascii="Arial"/>
                <w:spacing w:val="-6"/>
              </w:rPr>
              <w:t xml:space="preserve"> </w:t>
            </w:r>
            <w:r w:rsidRPr="00045B93">
              <w:rPr>
                <w:rFonts w:ascii="Arial"/>
              </w:rPr>
              <w:t>Sons</w:t>
            </w:r>
            <w:r w:rsidRPr="00045B93">
              <w:rPr>
                <w:rFonts w:ascii="Arial"/>
                <w:spacing w:val="-7"/>
              </w:rPr>
              <w:t xml:space="preserve"> </w:t>
            </w:r>
            <w:r w:rsidRPr="00045B93">
              <w:rPr>
                <w:rFonts w:ascii="Arial"/>
              </w:rPr>
              <w:t>Ltd,</w:t>
            </w:r>
            <w:r w:rsidRPr="00045B93">
              <w:rPr>
                <w:rFonts w:ascii="Arial"/>
                <w:spacing w:val="-7"/>
              </w:rPr>
              <w:t xml:space="preserve"> </w:t>
            </w:r>
            <w:r w:rsidRPr="00045B93">
              <w:rPr>
                <w:rFonts w:ascii="Arial"/>
              </w:rPr>
              <w:t>2051206</w:t>
            </w:r>
            <w:r w:rsidRPr="00045B93">
              <w:rPr>
                <w:rFonts w:ascii="Arial"/>
                <w:spacing w:val="-7"/>
              </w:rPr>
              <w:t xml:space="preserve"> </w:t>
            </w:r>
            <w:r w:rsidRPr="00045B93">
              <w:rPr>
                <w:rFonts w:ascii="Arial"/>
              </w:rPr>
              <w:t>Ontario</w:t>
            </w:r>
            <w:r w:rsidRPr="00045B93">
              <w:rPr>
                <w:rFonts w:ascii="Arial"/>
                <w:spacing w:val="-7"/>
              </w:rPr>
              <w:t xml:space="preserve"> </w:t>
            </w:r>
            <w:r w:rsidRPr="00045B93">
              <w:rPr>
                <w:rFonts w:ascii="Arial"/>
              </w:rPr>
              <w:t>Inc.</w:t>
            </w:r>
            <w:r>
              <w:rPr>
                <w:rFonts w:ascii="Arial"/>
              </w:rPr>
              <w:t xml:space="preserve"> and Yehezkel Zahavy (together known as </w:t>
            </w:r>
            <w:r w:rsidR="00165917">
              <w:rPr>
                <w:rFonts w:ascii="Arial"/>
              </w:rPr>
              <w:t>“</w:t>
            </w:r>
            <w:r>
              <w:rPr>
                <w:rFonts w:ascii="Arial"/>
              </w:rPr>
              <w:t>Twenty Road West Landowners</w:t>
            </w:r>
            <w:r w:rsidR="00165917">
              <w:rPr>
                <w:rFonts w:ascii="Arial"/>
              </w:rPr>
              <w:t>”</w:t>
            </w:r>
            <w:r>
              <w:rPr>
                <w:rFonts w:ascii="Arial"/>
              </w:rPr>
              <w:t>)</w:t>
            </w:r>
          </w:p>
          <w:p w:rsidR="00DF2E6F" w:rsidRPr="00045B93" w:rsidRDefault="00DF2E6F" w:rsidP="00AB6FEF">
            <w:pPr>
              <w:tabs>
                <w:tab w:val="left" w:pos="3402"/>
              </w:tabs>
              <w:rPr>
                <w:rFonts w:ascii="Arial" w:hAnsi="Arial" w:cs="Arial"/>
                <w:lang w:val="en-CA" w:eastAsia="en-CA"/>
              </w:rPr>
            </w:pPr>
          </w:p>
        </w:tc>
        <w:tc>
          <w:tcPr>
            <w:tcW w:w="5216" w:type="dxa"/>
          </w:tcPr>
          <w:p w:rsidR="00DE0D78" w:rsidRPr="004704FF" w:rsidRDefault="00045B93" w:rsidP="00AF4911">
            <w:pPr>
              <w:pStyle w:val="PartiesCounselAgent"/>
              <w:tabs>
                <w:tab w:val="left" w:pos="3402"/>
              </w:tabs>
              <w:ind w:left="147"/>
              <w:rPr>
                <w:rFonts w:cs="Arial"/>
              </w:rPr>
            </w:pPr>
            <w:r>
              <w:rPr>
                <w:rFonts w:cs="Arial"/>
              </w:rPr>
              <w:t>J. Farber</w:t>
            </w:r>
          </w:p>
        </w:tc>
      </w:tr>
      <w:tr w:rsidR="00DE0D78" w:rsidRPr="004704FF" w:rsidTr="00AB6FEF">
        <w:tc>
          <w:tcPr>
            <w:tcW w:w="4248" w:type="dxa"/>
          </w:tcPr>
          <w:p w:rsidR="00DE0D78" w:rsidRDefault="00045B93" w:rsidP="00AB6FEF">
            <w:pPr>
              <w:tabs>
                <w:tab w:val="left" w:pos="3402"/>
              </w:tabs>
              <w:rPr>
                <w:rFonts w:ascii="Arial" w:hAnsi="Arial" w:cs="Arial"/>
                <w:lang w:val="en-CA" w:eastAsia="en-CA"/>
              </w:rPr>
            </w:pPr>
            <w:r>
              <w:rPr>
                <w:rFonts w:ascii="Arial" w:hAnsi="Arial" w:cs="Arial"/>
                <w:lang w:val="en-CA" w:eastAsia="en-CA"/>
              </w:rPr>
              <w:t>2000963 Ontario Inc.</w:t>
            </w:r>
          </w:p>
          <w:p w:rsidR="00045B93" w:rsidRDefault="00045B93" w:rsidP="00AB6FEF">
            <w:pPr>
              <w:tabs>
                <w:tab w:val="left" w:pos="3402"/>
              </w:tabs>
              <w:rPr>
                <w:rFonts w:ascii="Arial" w:hAnsi="Arial" w:cs="Arial"/>
                <w:lang w:val="en-CA" w:eastAsia="en-CA"/>
              </w:rPr>
            </w:pPr>
            <w:r>
              <w:rPr>
                <w:rFonts w:ascii="Arial" w:hAnsi="Arial" w:cs="Arial"/>
                <w:lang w:val="en-CA" w:eastAsia="en-CA"/>
              </w:rPr>
              <w:t>2084696 Ontario Inc.</w:t>
            </w:r>
          </w:p>
          <w:p w:rsidR="00045B93" w:rsidRDefault="00045B93" w:rsidP="00AB6FEF">
            <w:pPr>
              <w:tabs>
                <w:tab w:val="left" w:pos="3402"/>
              </w:tabs>
              <w:rPr>
                <w:rFonts w:ascii="Arial" w:hAnsi="Arial" w:cs="Arial"/>
                <w:lang w:val="en-CA" w:eastAsia="en-CA"/>
              </w:rPr>
            </w:pPr>
            <w:r>
              <w:rPr>
                <w:rFonts w:ascii="Arial" w:hAnsi="Arial" w:cs="Arial"/>
                <w:lang w:val="en-CA" w:eastAsia="en-CA"/>
              </w:rPr>
              <w:t>2188410 Ontario Inc.</w:t>
            </w:r>
          </w:p>
          <w:p w:rsidR="00045B93" w:rsidRDefault="00045B93" w:rsidP="00AB6FEF">
            <w:pPr>
              <w:tabs>
                <w:tab w:val="left" w:pos="3402"/>
              </w:tabs>
              <w:rPr>
                <w:rFonts w:ascii="Arial" w:hAnsi="Arial" w:cs="Arial"/>
                <w:lang w:val="en-CA" w:eastAsia="en-CA"/>
              </w:rPr>
            </w:pPr>
            <w:r>
              <w:rPr>
                <w:rFonts w:ascii="Arial" w:hAnsi="Arial" w:cs="Arial"/>
                <w:lang w:val="en-CA" w:eastAsia="en-CA"/>
              </w:rPr>
              <w:t>Mud &amp; First Inc.</w:t>
            </w:r>
          </w:p>
          <w:p w:rsidR="00045B93" w:rsidRDefault="00045B93" w:rsidP="00AB6FEF">
            <w:pPr>
              <w:tabs>
                <w:tab w:val="left" w:pos="3402"/>
              </w:tabs>
              <w:rPr>
                <w:rFonts w:ascii="Arial" w:hAnsi="Arial" w:cs="Arial"/>
                <w:lang w:val="en-CA" w:eastAsia="en-CA"/>
              </w:rPr>
            </w:pPr>
            <w:r>
              <w:rPr>
                <w:rFonts w:ascii="Arial" w:hAnsi="Arial" w:cs="Arial"/>
                <w:lang w:val="en-CA" w:eastAsia="en-CA"/>
              </w:rPr>
              <w:t>Multi-Area Developments Inc.</w:t>
            </w:r>
          </w:p>
          <w:p w:rsidR="00045B93" w:rsidRDefault="00045B93" w:rsidP="00AB6FEF">
            <w:pPr>
              <w:tabs>
                <w:tab w:val="left" w:pos="3402"/>
              </w:tabs>
              <w:rPr>
                <w:rFonts w:ascii="Arial" w:hAnsi="Arial" w:cs="Arial"/>
                <w:lang w:val="en-CA" w:eastAsia="en-CA"/>
              </w:rPr>
            </w:pPr>
            <w:r>
              <w:rPr>
                <w:rFonts w:ascii="Arial" w:hAnsi="Arial" w:cs="Arial"/>
                <w:lang w:val="en-CA" w:eastAsia="en-CA"/>
              </w:rPr>
              <w:t>Paletta International Corporation</w:t>
            </w:r>
          </w:p>
          <w:p w:rsidR="00DF2E6F" w:rsidRDefault="00DF2E6F" w:rsidP="00AB6FEF">
            <w:pPr>
              <w:tabs>
                <w:tab w:val="left" w:pos="3402"/>
              </w:tabs>
              <w:rPr>
                <w:rFonts w:ascii="Arial" w:hAnsi="Arial" w:cs="Arial"/>
                <w:lang w:val="en-CA" w:eastAsia="en-CA"/>
              </w:rPr>
            </w:pPr>
            <w:r>
              <w:rPr>
                <w:rFonts w:ascii="Arial" w:hAnsi="Arial" w:cs="Arial"/>
                <w:lang w:val="en-CA" w:eastAsia="en-CA"/>
              </w:rPr>
              <w:t xml:space="preserve">(together known as </w:t>
            </w:r>
            <w:r w:rsidR="00165917">
              <w:rPr>
                <w:rFonts w:ascii="Arial" w:hAnsi="Arial" w:cs="Arial"/>
                <w:lang w:val="en-CA" w:eastAsia="en-CA"/>
              </w:rPr>
              <w:t>“</w:t>
            </w:r>
            <w:r>
              <w:rPr>
                <w:rFonts w:ascii="Arial" w:hAnsi="Arial" w:cs="Arial"/>
                <w:lang w:val="en-CA" w:eastAsia="en-CA"/>
              </w:rPr>
              <w:t xml:space="preserve">Elfrida </w:t>
            </w:r>
            <w:r>
              <w:rPr>
                <w:rFonts w:ascii="Arial" w:hAnsi="Arial" w:cs="Arial"/>
                <w:lang w:val="en-CA" w:eastAsia="en-CA"/>
              </w:rPr>
              <w:lastRenderedPageBreak/>
              <w:t>Landowners</w:t>
            </w:r>
            <w:r w:rsidR="00165917">
              <w:rPr>
                <w:rFonts w:ascii="Arial" w:hAnsi="Arial" w:cs="Arial"/>
                <w:lang w:val="en-CA" w:eastAsia="en-CA"/>
              </w:rPr>
              <w:t>”</w:t>
            </w:r>
            <w:r>
              <w:rPr>
                <w:rFonts w:ascii="Arial" w:hAnsi="Arial" w:cs="Arial"/>
                <w:lang w:val="en-CA" w:eastAsia="en-CA"/>
              </w:rPr>
              <w:t>)</w:t>
            </w:r>
          </w:p>
          <w:p w:rsidR="00DF2E6F" w:rsidRPr="004704FF" w:rsidRDefault="00DF2E6F" w:rsidP="00AB6FEF">
            <w:pPr>
              <w:tabs>
                <w:tab w:val="left" w:pos="3402"/>
              </w:tabs>
              <w:rPr>
                <w:rFonts w:ascii="Arial" w:hAnsi="Arial" w:cs="Arial"/>
                <w:lang w:val="en-CA" w:eastAsia="en-CA"/>
              </w:rPr>
            </w:pPr>
          </w:p>
        </w:tc>
        <w:tc>
          <w:tcPr>
            <w:tcW w:w="5216" w:type="dxa"/>
          </w:tcPr>
          <w:p w:rsidR="00DE0D78" w:rsidRPr="004704FF" w:rsidRDefault="00045B93" w:rsidP="00AF4911">
            <w:pPr>
              <w:pStyle w:val="PartiesCounselAgent"/>
              <w:tabs>
                <w:tab w:val="left" w:pos="3402"/>
              </w:tabs>
              <w:ind w:left="147"/>
              <w:rPr>
                <w:rFonts w:cs="Arial"/>
              </w:rPr>
            </w:pPr>
            <w:r>
              <w:rPr>
                <w:rFonts w:cs="Arial"/>
              </w:rPr>
              <w:lastRenderedPageBreak/>
              <w:t>J. Hoffman</w:t>
            </w:r>
          </w:p>
        </w:tc>
      </w:tr>
      <w:tr w:rsidR="00DE0D78" w:rsidRPr="004704FF" w:rsidTr="00AB6FEF">
        <w:tc>
          <w:tcPr>
            <w:tcW w:w="4248" w:type="dxa"/>
          </w:tcPr>
          <w:p w:rsidR="00045B93" w:rsidRDefault="00045B93" w:rsidP="00AB6FEF">
            <w:pPr>
              <w:tabs>
                <w:tab w:val="left" w:pos="3402"/>
              </w:tabs>
              <w:rPr>
                <w:rFonts w:ascii="Arial" w:hAnsi="Arial" w:cs="Arial"/>
                <w:lang w:val="en-CA" w:eastAsia="en-CA"/>
              </w:rPr>
            </w:pPr>
            <w:r>
              <w:rPr>
                <w:rFonts w:ascii="Arial" w:hAnsi="Arial" w:cs="Arial"/>
                <w:lang w:val="en-CA" w:eastAsia="en-CA"/>
              </w:rPr>
              <w:lastRenderedPageBreak/>
              <w:t>456941 Ontario Ltd.</w:t>
            </w:r>
          </w:p>
          <w:p w:rsidR="00045B93" w:rsidRDefault="00045B93" w:rsidP="00AB6FEF">
            <w:pPr>
              <w:tabs>
                <w:tab w:val="left" w:pos="3402"/>
              </w:tabs>
              <w:rPr>
                <w:rFonts w:ascii="Arial" w:hAnsi="Arial" w:cs="Arial"/>
                <w:lang w:val="en-CA" w:eastAsia="en-CA"/>
              </w:rPr>
            </w:pPr>
            <w:r>
              <w:rPr>
                <w:rFonts w:ascii="Arial" w:hAnsi="Arial" w:cs="Arial"/>
                <w:lang w:val="en-CA" w:eastAsia="en-CA"/>
              </w:rPr>
              <w:t>1263339 Ontario Ltd.</w:t>
            </w:r>
          </w:p>
          <w:p w:rsidR="00045B93" w:rsidRDefault="00045B93" w:rsidP="00AB6FEF">
            <w:pPr>
              <w:tabs>
                <w:tab w:val="left" w:pos="3402"/>
              </w:tabs>
              <w:rPr>
                <w:rFonts w:ascii="Arial" w:hAnsi="Arial" w:cs="Arial"/>
                <w:lang w:val="en-CA" w:eastAsia="en-CA"/>
              </w:rPr>
            </w:pPr>
            <w:r>
              <w:rPr>
                <w:rFonts w:ascii="Arial" w:hAnsi="Arial" w:cs="Arial"/>
                <w:lang w:val="en-CA" w:eastAsia="en-CA"/>
              </w:rPr>
              <w:t>Lea Silvestri</w:t>
            </w:r>
            <w:r w:rsidR="00165917">
              <w:rPr>
                <w:rFonts w:ascii="Arial" w:hAnsi="Arial" w:cs="Arial"/>
                <w:lang w:val="en-CA" w:eastAsia="en-CA"/>
              </w:rPr>
              <w:t xml:space="preserve"> </w:t>
            </w:r>
          </w:p>
          <w:p w:rsidR="00165917" w:rsidRDefault="00165917" w:rsidP="00AB6FEF">
            <w:pPr>
              <w:tabs>
                <w:tab w:val="left" w:pos="3402"/>
              </w:tabs>
              <w:rPr>
                <w:rFonts w:ascii="Arial" w:hAnsi="Arial" w:cs="Arial"/>
                <w:lang w:val="en-CA" w:eastAsia="en-CA"/>
              </w:rPr>
            </w:pPr>
            <w:r>
              <w:rPr>
                <w:rFonts w:ascii="Arial" w:hAnsi="Arial" w:cs="Arial"/>
                <w:lang w:val="en-CA" w:eastAsia="en-CA"/>
              </w:rPr>
              <w:t>Lea Silvestri Investments Limited</w:t>
            </w:r>
          </w:p>
          <w:p w:rsidR="00045B93" w:rsidRDefault="00045B93" w:rsidP="00AB6FEF">
            <w:pPr>
              <w:tabs>
                <w:tab w:val="left" w:pos="3402"/>
              </w:tabs>
              <w:rPr>
                <w:rFonts w:ascii="Arial" w:hAnsi="Arial" w:cs="Arial"/>
                <w:lang w:val="en-CA" w:eastAsia="en-CA"/>
              </w:rPr>
            </w:pPr>
            <w:r>
              <w:rPr>
                <w:rFonts w:ascii="Arial" w:hAnsi="Arial" w:cs="Arial"/>
                <w:lang w:val="en-CA" w:eastAsia="en-CA"/>
              </w:rPr>
              <w:t>(togethe</w:t>
            </w:r>
            <w:r w:rsidR="00293394">
              <w:rPr>
                <w:rFonts w:ascii="Arial" w:hAnsi="Arial" w:cs="Arial"/>
                <w:lang w:val="en-CA" w:eastAsia="en-CA"/>
              </w:rPr>
              <w:t xml:space="preserve">r known as </w:t>
            </w:r>
            <w:r w:rsidR="00165917">
              <w:rPr>
                <w:rFonts w:ascii="Arial" w:hAnsi="Arial" w:cs="Arial"/>
                <w:lang w:val="en-CA" w:eastAsia="en-CA"/>
              </w:rPr>
              <w:t>“</w:t>
            </w:r>
            <w:r w:rsidR="00293394">
              <w:rPr>
                <w:rFonts w:ascii="Arial" w:hAnsi="Arial" w:cs="Arial"/>
                <w:lang w:val="en-CA" w:eastAsia="en-CA"/>
              </w:rPr>
              <w:t>Silvestri</w:t>
            </w:r>
            <w:r w:rsidR="00165917">
              <w:rPr>
                <w:rFonts w:ascii="Arial" w:hAnsi="Arial" w:cs="Arial"/>
                <w:lang w:val="en-CA" w:eastAsia="en-CA"/>
              </w:rPr>
              <w:t>”)</w:t>
            </w:r>
          </w:p>
          <w:p w:rsidR="00DF2E6F" w:rsidRPr="004704FF" w:rsidRDefault="00DF2E6F" w:rsidP="00AB6FEF">
            <w:pPr>
              <w:tabs>
                <w:tab w:val="left" w:pos="3402"/>
              </w:tabs>
              <w:rPr>
                <w:rFonts w:ascii="Arial" w:hAnsi="Arial" w:cs="Arial"/>
                <w:lang w:val="en-CA" w:eastAsia="en-CA"/>
              </w:rPr>
            </w:pPr>
          </w:p>
        </w:tc>
        <w:tc>
          <w:tcPr>
            <w:tcW w:w="5216" w:type="dxa"/>
          </w:tcPr>
          <w:p w:rsidR="00DE0D78" w:rsidRPr="004704FF" w:rsidRDefault="00DF2E6F" w:rsidP="00AF4911">
            <w:pPr>
              <w:pStyle w:val="PartiesCounselAgent"/>
              <w:tabs>
                <w:tab w:val="left" w:pos="3402"/>
              </w:tabs>
              <w:ind w:left="147"/>
              <w:rPr>
                <w:rFonts w:cs="Arial"/>
              </w:rPr>
            </w:pPr>
            <w:r>
              <w:rPr>
                <w:rFonts w:cs="Arial"/>
              </w:rPr>
              <w:t>P. Pickfield</w:t>
            </w:r>
          </w:p>
        </w:tc>
      </w:tr>
      <w:tr w:rsidR="00DE0D78" w:rsidRPr="004704FF" w:rsidTr="00AB6FEF">
        <w:tc>
          <w:tcPr>
            <w:tcW w:w="4248" w:type="dxa"/>
          </w:tcPr>
          <w:p w:rsidR="00DE0D78" w:rsidRDefault="00244179" w:rsidP="00AB6FEF">
            <w:pPr>
              <w:tabs>
                <w:tab w:val="left" w:pos="3402"/>
              </w:tabs>
              <w:rPr>
                <w:rFonts w:ascii="Arial" w:hAnsi="Arial" w:cs="Arial"/>
                <w:lang w:val="en-CA" w:eastAsia="en-CA"/>
              </w:rPr>
            </w:pPr>
            <w:r>
              <w:rPr>
                <w:rFonts w:ascii="Arial" w:hAnsi="Arial" w:cs="Arial"/>
                <w:lang w:val="en-CA" w:eastAsia="en-CA"/>
              </w:rPr>
              <w:t>Artstone Holdings Limited</w:t>
            </w:r>
          </w:p>
          <w:p w:rsidR="00244179" w:rsidRDefault="00244179" w:rsidP="00AB6FEF">
            <w:pPr>
              <w:tabs>
                <w:tab w:val="left" w:pos="3402"/>
              </w:tabs>
              <w:rPr>
                <w:rFonts w:ascii="Arial" w:hAnsi="Arial" w:cs="Arial"/>
                <w:lang w:val="en-CA" w:eastAsia="en-CA"/>
              </w:rPr>
            </w:pPr>
            <w:r>
              <w:rPr>
                <w:rFonts w:ascii="Arial" w:hAnsi="Arial" w:cs="Arial"/>
                <w:lang w:val="en-CA" w:eastAsia="en-CA"/>
              </w:rPr>
              <w:t>Corpveil Holdings Limited</w:t>
            </w:r>
          </w:p>
          <w:p w:rsidR="00244179" w:rsidRDefault="00244179" w:rsidP="00AB6FEF">
            <w:pPr>
              <w:tabs>
                <w:tab w:val="left" w:pos="3402"/>
              </w:tabs>
              <w:rPr>
                <w:rFonts w:ascii="Arial" w:hAnsi="Arial" w:cs="Arial"/>
                <w:lang w:val="en-CA" w:eastAsia="en-CA"/>
              </w:rPr>
            </w:pPr>
            <w:r>
              <w:rPr>
                <w:rFonts w:ascii="Arial" w:hAnsi="Arial" w:cs="Arial"/>
                <w:lang w:val="en-CA" w:eastAsia="en-CA"/>
              </w:rPr>
              <w:t>LIUNA Group Corp.</w:t>
            </w:r>
          </w:p>
          <w:p w:rsidR="00244179" w:rsidRDefault="00244179" w:rsidP="00AB6FEF">
            <w:pPr>
              <w:tabs>
                <w:tab w:val="left" w:pos="3402"/>
              </w:tabs>
              <w:rPr>
                <w:rFonts w:ascii="Arial" w:hAnsi="Arial" w:cs="Arial"/>
                <w:lang w:val="en-CA" w:eastAsia="en-CA"/>
              </w:rPr>
            </w:pPr>
            <w:r>
              <w:rPr>
                <w:rFonts w:ascii="Arial" w:hAnsi="Arial" w:cs="Arial"/>
                <w:lang w:val="en-CA" w:eastAsia="en-CA"/>
              </w:rPr>
              <w:t>Weizer Investments Limited</w:t>
            </w:r>
          </w:p>
          <w:p w:rsidR="00244179" w:rsidRPr="004704FF" w:rsidRDefault="00244179" w:rsidP="00AB6FEF">
            <w:pPr>
              <w:tabs>
                <w:tab w:val="left" w:pos="3402"/>
              </w:tabs>
              <w:rPr>
                <w:rFonts w:ascii="Arial" w:hAnsi="Arial" w:cs="Arial"/>
                <w:lang w:val="en-CA" w:eastAsia="en-CA"/>
              </w:rPr>
            </w:pPr>
          </w:p>
        </w:tc>
        <w:tc>
          <w:tcPr>
            <w:tcW w:w="5216" w:type="dxa"/>
          </w:tcPr>
          <w:p w:rsidR="00DE0D78" w:rsidRPr="004704FF" w:rsidRDefault="00244179" w:rsidP="00AF4911">
            <w:pPr>
              <w:pStyle w:val="PartiesCounselAgent"/>
              <w:tabs>
                <w:tab w:val="left" w:pos="3402"/>
              </w:tabs>
              <w:ind w:left="147"/>
              <w:rPr>
                <w:rFonts w:cs="Arial"/>
              </w:rPr>
            </w:pPr>
            <w:r>
              <w:rPr>
                <w:rFonts w:cs="Arial"/>
              </w:rPr>
              <w:t>N. Smith for S. Snider</w:t>
            </w:r>
          </w:p>
        </w:tc>
      </w:tr>
      <w:tr w:rsidR="00DE0D78" w:rsidRPr="004704FF" w:rsidTr="00AB6FEF">
        <w:tc>
          <w:tcPr>
            <w:tcW w:w="4248" w:type="dxa"/>
          </w:tcPr>
          <w:p w:rsidR="00244179" w:rsidRDefault="00244179" w:rsidP="00AB6FEF">
            <w:pPr>
              <w:tabs>
                <w:tab w:val="left" w:pos="3402"/>
              </w:tabs>
              <w:rPr>
                <w:rFonts w:ascii="Arial" w:hAnsi="Arial" w:cs="Arial"/>
                <w:lang w:eastAsia="en-CA"/>
              </w:rPr>
            </w:pPr>
            <w:r>
              <w:rPr>
                <w:rFonts w:ascii="Arial" w:hAnsi="Arial" w:cs="Arial"/>
                <w:lang w:eastAsia="en-CA"/>
              </w:rPr>
              <w:t xml:space="preserve">DiCenzo (Golf Club Road ) Holdings </w:t>
            </w:r>
          </w:p>
          <w:p w:rsidR="00DE0D78" w:rsidRDefault="00244179" w:rsidP="009300A7">
            <w:pPr>
              <w:tabs>
                <w:tab w:val="right" w:pos="4032"/>
              </w:tabs>
              <w:rPr>
                <w:rFonts w:ascii="Arial" w:hAnsi="Arial" w:cs="Arial"/>
                <w:lang w:eastAsia="en-CA"/>
              </w:rPr>
            </w:pPr>
            <w:r>
              <w:rPr>
                <w:rFonts w:ascii="Arial" w:hAnsi="Arial" w:cs="Arial"/>
                <w:lang w:eastAsia="en-CA"/>
              </w:rPr>
              <w:t>Inc.</w:t>
            </w:r>
            <w:r w:rsidR="009300A7">
              <w:rPr>
                <w:rFonts w:ascii="Arial" w:hAnsi="Arial" w:cs="Arial"/>
                <w:lang w:eastAsia="en-CA"/>
              </w:rPr>
              <w:tab/>
            </w:r>
          </w:p>
          <w:p w:rsidR="00244179" w:rsidRPr="00244179" w:rsidRDefault="00244179" w:rsidP="00AB6FEF">
            <w:pPr>
              <w:tabs>
                <w:tab w:val="left" w:pos="3402"/>
              </w:tabs>
              <w:rPr>
                <w:rFonts w:ascii="Arial" w:hAnsi="Arial" w:cs="Arial"/>
                <w:lang w:eastAsia="en-CA"/>
              </w:rPr>
            </w:pPr>
          </w:p>
        </w:tc>
        <w:tc>
          <w:tcPr>
            <w:tcW w:w="5216" w:type="dxa"/>
          </w:tcPr>
          <w:p w:rsidR="00DE0D78" w:rsidRPr="00244179" w:rsidRDefault="00244179" w:rsidP="00AF4911">
            <w:pPr>
              <w:pStyle w:val="PartiesCounselAgent"/>
              <w:tabs>
                <w:tab w:val="left" w:pos="3402"/>
              </w:tabs>
              <w:ind w:left="147"/>
              <w:rPr>
                <w:rFonts w:cs="Arial"/>
                <w:lang w:val="en-US"/>
              </w:rPr>
            </w:pPr>
            <w:r>
              <w:rPr>
                <w:rFonts w:cs="Arial"/>
                <w:lang w:val="en-US"/>
              </w:rPr>
              <w:t>G. Bell</w:t>
            </w:r>
          </w:p>
        </w:tc>
      </w:tr>
      <w:tr w:rsidR="00DE0D78" w:rsidRPr="004704FF" w:rsidTr="00AB6FEF">
        <w:tc>
          <w:tcPr>
            <w:tcW w:w="4248" w:type="dxa"/>
          </w:tcPr>
          <w:p w:rsidR="00DE0D78" w:rsidRPr="004704FF" w:rsidRDefault="00244179" w:rsidP="00AB6FEF">
            <w:pPr>
              <w:tabs>
                <w:tab w:val="left" w:pos="3402"/>
              </w:tabs>
              <w:rPr>
                <w:rFonts w:ascii="Arial" w:hAnsi="Arial" w:cs="Arial"/>
                <w:lang w:val="en-CA" w:eastAsia="en-CA"/>
              </w:rPr>
            </w:pPr>
            <w:r>
              <w:rPr>
                <w:rFonts w:ascii="Arial" w:hAnsi="Arial" w:cs="Arial"/>
                <w:lang w:val="en-CA" w:eastAsia="en-CA"/>
              </w:rPr>
              <w:t>DiCenzo Construction Company Limited</w:t>
            </w:r>
          </w:p>
        </w:tc>
        <w:tc>
          <w:tcPr>
            <w:tcW w:w="5216" w:type="dxa"/>
          </w:tcPr>
          <w:p w:rsidR="00DE0D78" w:rsidRPr="004704FF" w:rsidRDefault="00244179" w:rsidP="00AF4911">
            <w:pPr>
              <w:pStyle w:val="PartiesCounselAgent"/>
              <w:tabs>
                <w:tab w:val="left" w:pos="3402"/>
              </w:tabs>
              <w:ind w:left="147"/>
              <w:rPr>
                <w:rFonts w:cs="Arial"/>
              </w:rPr>
            </w:pPr>
            <w:r>
              <w:rPr>
                <w:rFonts w:cs="Arial"/>
              </w:rPr>
              <w:t>L. Dean</w:t>
            </w:r>
          </w:p>
        </w:tc>
      </w:tr>
    </w:tbl>
    <w:p w:rsidR="009A6A2E" w:rsidRDefault="009A6A2E" w:rsidP="007B76AB">
      <w:pPr>
        <w:pStyle w:val="DecisionDeliveredby"/>
        <w:pBdr>
          <w:bottom w:val="single" w:sz="4" w:space="1" w:color="auto"/>
        </w:pBdr>
        <w:rPr>
          <w:rFonts w:cs="Arial"/>
        </w:rPr>
      </w:pPr>
    </w:p>
    <w:p w:rsidR="007B76AB" w:rsidRDefault="007B76AB" w:rsidP="007B76AB">
      <w:pPr>
        <w:pStyle w:val="DecisionDeliveredby"/>
        <w:pBdr>
          <w:bottom w:val="single" w:sz="4" w:space="1" w:color="auto"/>
        </w:pBdr>
        <w:rPr>
          <w:rFonts w:cs="Arial"/>
        </w:rPr>
      </w:pPr>
      <w:r w:rsidRPr="004704FF">
        <w:rPr>
          <w:rFonts w:cs="Arial"/>
        </w:rPr>
        <w:t>DECISION DELIVERED BY SUSAN de AVELLAR SCHILLER AND</w:t>
      </w:r>
      <w:r w:rsidR="00D11C1E">
        <w:rPr>
          <w:rFonts w:cs="Arial"/>
        </w:rPr>
        <w:t xml:space="preserve"> ORDER OF THE TRIBUNAL</w:t>
      </w:r>
    </w:p>
    <w:p w:rsidR="002106DB" w:rsidRDefault="002106DB" w:rsidP="007B76AB">
      <w:pPr>
        <w:pStyle w:val="DecisionBody"/>
        <w:spacing w:beforeLines="150" w:before="360" w:afterLines="150" w:after="360"/>
        <w:rPr>
          <w:rFonts w:cs="Arial"/>
        </w:rPr>
      </w:pPr>
      <w:r>
        <w:rPr>
          <w:rFonts w:cs="Arial"/>
        </w:rPr>
        <w:t xml:space="preserve">The City of Hamilton (“City”) has adopted two official plans: the Rural Hamilton Official Plan (“RHOP’) and the Urban Hamilton Official Plan (“UHOP”).  The RHOP is case PL090114 and the UHOP is case PL110331. </w:t>
      </w:r>
    </w:p>
    <w:p w:rsidR="00D57A8A" w:rsidRDefault="002106DB" w:rsidP="007B76AB">
      <w:pPr>
        <w:pStyle w:val="DecisionBody"/>
        <w:spacing w:beforeLines="150" w:before="360" w:afterLines="150" w:after="360"/>
        <w:rPr>
          <w:rFonts w:cs="Arial"/>
        </w:rPr>
      </w:pPr>
      <w:r w:rsidRPr="002106DB">
        <w:rPr>
          <w:rFonts w:cs="Arial"/>
        </w:rPr>
        <w:t>Parties in each of these cases have been grouped according to the subject area of the issues in which they have an interest. Both of these cases have been the subject of pre-hearing conferences and</w:t>
      </w:r>
      <w:r>
        <w:rPr>
          <w:rFonts w:cs="Arial"/>
        </w:rPr>
        <w:t xml:space="preserve"> several hearings that have resulted in the disposition of </w:t>
      </w:r>
      <w:r w:rsidR="00D57A8A">
        <w:rPr>
          <w:rFonts w:cs="Arial"/>
        </w:rPr>
        <w:t>a large number</w:t>
      </w:r>
      <w:r>
        <w:rPr>
          <w:rFonts w:cs="Arial"/>
        </w:rPr>
        <w:t xml:space="preserve"> of the matters in various issue groups. </w:t>
      </w:r>
      <w:r w:rsidR="00D57A8A">
        <w:rPr>
          <w:rFonts w:cs="Arial"/>
        </w:rPr>
        <w:t>This pre-hearing was scheduled to consider necessary next steps. With a large overlap in the parties, issues and evidence that may be called in the remaining matters in each of these files, this pre-hearing dealt with both cases. Although they have been grouped to be heard together at this point, the cases are not consolidated.</w:t>
      </w:r>
    </w:p>
    <w:p w:rsidR="006E7EA8" w:rsidRPr="006E7EA8" w:rsidRDefault="006E7EA8" w:rsidP="006E7EA8">
      <w:pPr>
        <w:pStyle w:val="DecisionBody"/>
        <w:numPr>
          <w:ilvl w:val="0"/>
          <w:numId w:val="0"/>
        </w:numPr>
        <w:spacing w:beforeLines="150" w:before="360" w:afterLines="150" w:after="360"/>
        <w:rPr>
          <w:rStyle w:val="Strong"/>
        </w:rPr>
      </w:pPr>
      <w:r>
        <w:rPr>
          <w:rStyle w:val="Strong"/>
        </w:rPr>
        <w:t>DiCenzo Construction Company Limited, 313 Stone Church Road</w:t>
      </w:r>
    </w:p>
    <w:p w:rsidR="00743DDD" w:rsidRDefault="006E7EA8" w:rsidP="007B76AB">
      <w:pPr>
        <w:pStyle w:val="DecisionBody"/>
        <w:spacing w:beforeLines="150" w:before="360" w:afterLines="150" w:after="360"/>
        <w:rPr>
          <w:rFonts w:cs="Arial"/>
        </w:rPr>
      </w:pPr>
      <w:r>
        <w:rPr>
          <w:rFonts w:cs="Arial"/>
        </w:rPr>
        <w:t xml:space="preserve">The January 20, 2016 decision of the Ontario Municipal Board (“Board”) in case </w:t>
      </w:r>
      <w:r>
        <w:rPr>
          <w:rFonts w:cs="Arial"/>
        </w:rPr>
        <w:lastRenderedPageBreak/>
        <w:t>PL110331 ordered certain matters regarding the DiCenzo Construction Company Limited (“DCCL”) appeal regarding 313 Stone Church Road. One of the Board’s requirements, agreed to between DCCL and the City, was that DCCL undertake an Environmental Impact Study (“EIS”), to be peer reviewed by the City’s expert consultant.</w:t>
      </w:r>
    </w:p>
    <w:p w:rsidR="006E7EA8" w:rsidRDefault="006E7EA8" w:rsidP="007B76AB">
      <w:pPr>
        <w:pStyle w:val="DecisionBody"/>
        <w:spacing w:beforeLines="150" w:before="360" w:afterLines="150" w:after="360"/>
        <w:rPr>
          <w:rFonts w:cs="Arial"/>
        </w:rPr>
      </w:pPr>
      <w:r>
        <w:rPr>
          <w:rFonts w:cs="Arial"/>
        </w:rPr>
        <w:t>The Tribunal was advised that the EIS has been completed and filed with the City but that the City’s peer reviewer has not yet completed the peer review. It is unknown at this point whether the City will require any additional work on the EIS.</w:t>
      </w:r>
    </w:p>
    <w:p w:rsidR="006E7EA8" w:rsidRDefault="006E7EA8" w:rsidP="007B76AB">
      <w:pPr>
        <w:pStyle w:val="DecisionBody"/>
        <w:spacing w:beforeLines="150" w:before="360" w:afterLines="150" w:after="360"/>
        <w:rPr>
          <w:rFonts w:cs="Arial"/>
        </w:rPr>
      </w:pPr>
      <w:r>
        <w:rPr>
          <w:rFonts w:cs="Arial"/>
        </w:rPr>
        <w:t>Rather than schedule a further appearance for this matter</w:t>
      </w:r>
      <w:r w:rsidR="003073E8">
        <w:rPr>
          <w:rFonts w:cs="Arial"/>
        </w:rPr>
        <w:t xml:space="preserve"> at this time, the Tribunal </w:t>
      </w:r>
      <w:r w:rsidR="00F62332">
        <w:rPr>
          <w:rFonts w:cs="Arial"/>
        </w:rPr>
        <w:t xml:space="preserve">orders that </w:t>
      </w:r>
      <w:r w:rsidR="003073E8">
        <w:rPr>
          <w:rFonts w:cs="Arial"/>
        </w:rPr>
        <w:t xml:space="preserve">DCCL and the City file a joint statement of Readiness to Proceed (“RTP”). The RTP is to indicate whether the parties are ready to proceed to a settlement hearing or whether they are ready to </w:t>
      </w:r>
      <w:r w:rsidR="006B2C0D">
        <w:rPr>
          <w:rFonts w:cs="Arial"/>
        </w:rPr>
        <w:t xml:space="preserve">proceed to </w:t>
      </w:r>
      <w:r w:rsidR="003073E8">
        <w:rPr>
          <w:rFonts w:cs="Arial"/>
        </w:rPr>
        <w:t xml:space="preserve">a disputed hearing of the merits. The Tribunal will then determine the most appropriate format for </w:t>
      </w:r>
      <w:r w:rsidR="006B2C0D">
        <w:rPr>
          <w:rFonts w:cs="Arial"/>
        </w:rPr>
        <w:t>deal</w:t>
      </w:r>
      <w:r w:rsidR="003073E8">
        <w:rPr>
          <w:rFonts w:cs="Arial"/>
        </w:rPr>
        <w:t xml:space="preserve">ing </w:t>
      </w:r>
      <w:r w:rsidR="006B2C0D">
        <w:rPr>
          <w:rFonts w:cs="Arial"/>
        </w:rPr>
        <w:t>with</w:t>
      </w:r>
      <w:r w:rsidR="003073E8">
        <w:rPr>
          <w:rFonts w:cs="Arial"/>
        </w:rPr>
        <w:t xml:space="preserve"> this matter.</w:t>
      </w:r>
    </w:p>
    <w:p w:rsidR="003073E8" w:rsidRDefault="003073E8" w:rsidP="007B76AB">
      <w:pPr>
        <w:pStyle w:val="DecisionBody"/>
        <w:spacing w:beforeLines="150" w:before="360" w:afterLines="150" w:after="360"/>
        <w:rPr>
          <w:rFonts w:cs="Arial"/>
        </w:rPr>
      </w:pPr>
      <w:r>
        <w:rPr>
          <w:rFonts w:cs="Arial"/>
        </w:rPr>
        <w:t xml:space="preserve">If no RTP is filed by November 2, 2018, </w:t>
      </w:r>
      <w:r w:rsidR="00F62332">
        <w:rPr>
          <w:rFonts w:cs="Arial"/>
        </w:rPr>
        <w:t xml:space="preserve">the Tribunal orders that </w:t>
      </w:r>
      <w:r>
        <w:rPr>
          <w:rFonts w:cs="Arial"/>
        </w:rPr>
        <w:t>DCCL and the City are to file a jointly agreed upon status report on this matter.</w:t>
      </w:r>
      <w:r w:rsidR="002D0291">
        <w:rPr>
          <w:rFonts w:cs="Arial"/>
        </w:rPr>
        <w:t xml:space="preserve"> </w:t>
      </w:r>
      <w:r w:rsidR="006B2C0D">
        <w:rPr>
          <w:rFonts w:cs="Arial"/>
        </w:rPr>
        <w:t>On rece</w:t>
      </w:r>
      <w:r w:rsidR="00F62332">
        <w:rPr>
          <w:rFonts w:cs="Arial"/>
        </w:rPr>
        <w:t>ipt and review of</w:t>
      </w:r>
      <w:r w:rsidR="006B2C0D">
        <w:rPr>
          <w:rFonts w:cs="Arial"/>
        </w:rPr>
        <w:t xml:space="preserve"> a status report without an RTP having been filed</w:t>
      </w:r>
      <w:r w:rsidR="002D0291">
        <w:rPr>
          <w:rFonts w:cs="Arial"/>
        </w:rPr>
        <w:t>, the Tribunal will make such other directions as it considers appropriate.</w:t>
      </w:r>
    </w:p>
    <w:p w:rsidR="00CC3090" w:rsidRPr="00CC3090" w:rsidRDefault="00CC3090" w:rsidP="00CC3090">
      <w:pPr>
        <w:pStyle w:val="DecisionBody"/>
        <w:numPr>
          <w:ilvl w:val="0"/>
          <w:numId w:val="0"/>
        </w:numPr>
        <w:spacing w:beforeLines="150" w:before="360" w:afterLines="150" w:after="360"/>
        <w:rPr>
          <w:rStyle w:val="Strong"/>
        </w:rPr>
      </w:pPr>
      <w:r>
        <w:rPr>
          <w:rStyle w:val="Strong"/>
        </w:rPr>
        <w:t>LIUNA Group Corp., James Street North</w:t>
      </w:r>
    </w:p>
    <w:p w:rsidR="00CC3090" w:rsidRDefault="00CC3090" w:rsidP="007B76AB">
      <w:pPr>
        <w:pStyle w:val="DecisionBody"/>
        <w:spacing w:beforeLines="150" w:before="360" w:afterLines="150" w:after="360"/>
        <w:rPr>
          <w:rFonts w:cs="Arial"/>
        </w:rPr>
      </w:pPr>
      <w:r>
        <w:rPr>
          <w:rFonts w:cs="Arial"/>
        </w:rPr>
        <w:t xml:space="preserve">LIUNA Group Corp. (“LIUNA”) and the City have been engaged in further discussions. </w:t>
      </w:r>
      <w:r w:rsidR="00F62332">
        <w:rPr>
          <w:rFonts w:cs="Arial"/>
        </w:rPr>
        <w:t xml:space="preserve">The Tribunal orders that </w:t>
      </w:r>
      <w:r>
        <w:rPr>
          <w:rFonts w:cs="Arial"/>
        </w:rPr>
        <w:t>LIUNA and the City are to file a jointly agreed upon status report on this matter</w:t>
      </w:r>
      <w:r w:rsidR="00F635A9">
        <w:rPr>
          <w:rFonts w:cs="Arial"/>
        </w:rPr>
        <w:t xml:space="preserve"> not later than November 2, 2018</w:t>
      </w:r>
      <w:r>
        <w:rPr>
          <w:rFonts w:cs="Arial"/>
        </w:rPr>
        <w:t xml:space="preserve">. </w:t>
      </w:r>
      <w:r w:rsidR="00F62332">
        <w:rPr>
          <w:rFonts w:cs="Arial"/>
        </w:rPr>
        <w:t>On receipt and review of the status report</w:t>
      </w:r>
      <w:r>
        <w:rPr>
          <w:rFonts w:cs="Arial"/>
        </w:rPr>
        <w:t>, the Tribunal will make such other directions as it considers appropriate.</w:t>
      </w:r>
      <w:r w:rsidR="00F635A9">
        <w:rPr>
          <w:rFonts w:cs="Arial"/>
        </w:rPr>
        <w:t xml:space="preserve"> If the LIUNA and the City find that they are ready to proceed, they are free to file a joint agreed upon RTP. As with DCCL, if an RTP is filed the parties are to indicate whether a settlement has been reached or whether the matter should proceed to a disputed hearing of the merits.</w:t>
      </w:r>
    </w:p>
    <w:p w:rsidR="00270687" w:rsidRDefault="00270687" w:rsidP="00CC3090">
      <w:pPr>
        <w:pStyle w:val="DecisionBody"/>
        <w:numPr>
          <w:ilvl w:val="0"/>
          <w:numId w:val="0"/>
        </w:numPr>
        <w:spacing w:beforeLines="150" w:before="360" w:afterLines="150" w:after="360"/>
        <w:rPr>
          <w:rStyle w:val="Strong"/>
        </w:rPr>
      </w:pPr>
    </w:p>
    <w:p w:rsidR="00CC3090" w:rsidRPr="00D360C5" w:rsidRDefault="00D360C5" w:rsidP="00CC3090">
      <w:pPr>
        <w:pStyle w:val="DecisionBody"/>
        <w:numPr>
          <w:ilvl w:val="0"/>
          <w:numId w:val="0"/>
        </w:numPr>
        <w:spacing w:beforeLines="150" w:before="360" w:afterLines="150" w:after="360"/>
        <w:rPr>
          <w:rStyle w:val="Strong"/>
        </w:rPr>
      </w:pPr>
      <w:r>
        <w:rPr>
          <w:rStyle w:val="Strong"/>
        </w:rPr>
        <w:lastRenderedPageBreak/>
        <w:t>Application of the Growth Plan for the Greater Golden Horseshoe 2017</w:t>
      </w:r>
    </w:p>
    <w:p w:rsidR="00CC3090" w:rsidRDefault="00293394" w:rsidP="007B76AB">
      <w:pPr>
        <w:pStyle w:val="DecisionBody"/>
        <w:spacing w:beforeLines="150" w:before="360" w:afterLines="150" w:after="360"/>
        <w:rPr>
          <w:rFonts w:cs="Arial"/>
        </w:rPr>
      </w:pPr>
      <w:r>
        <w:rPr>
          <w:rFonts w:cs="Arial"/>
        </w:rPr>
        <w:t>An issue has arisen regarding the correct application of transition regulations dealing with the applicability of the Growth Plan for the Greater Golden Horseshoe 2017 (“GGH 2017”). Specifically,</w:t>
      </w:r>
      <w:r w:rsidR="003D3FA7">
        <w:rPr>
          <w:rFonts w:cs="Arial"/>
        </w:rPr>
        <w:t xml:space="preserve"> the parties known as Silvestri</w:t>
      </w:r>
      <w:r>
        <w:rPr>
          <w:rFonts w:cs="Arial"/>
        </w:rPr>
        <w:t>, Twenty Road West Landowners and Twenty Road East Landowners assert that they are subject to the Growth Plan for the Greater Golden Horseshoe 2006 (“GGH 2006”) and not the GGH 2017. The City disagrees</w:t>
      </w:r>
      <w:r w:rsidR="00EA5470">
        <w:rPr>
          <w:rFonts w:cs="Arial"/>
        </w:rPr>
        <w:t xml:space="preserve"> and intends to bring a motion</w:t>
      </w:r>
      <w:r>
        <w:rPr>
          <w:rFonts w:cs="Arial"/>
        </w:rPr>
        <w:t xml:space="preserve">. The Tribunal is persuaded that this question needs to be decided before these, and the other remaining appeals not dealt with above, are scheduled for hearing. </w:t>
      </w:r>
    </w:p>
    <w:p w:rsidR="002106DB" w:rsidRPr="003D3FA7" w:rsidRDefault="002106DB" w:rsidP="007B76AB">
      <w:pPr>
        <w:pStyle w:val="DecisionBody"/>
        <w:spacing w:beforeLines="150" w:before="360" w:afterLines="150" w:after="360"/>
        <w:rPr>
          <w:rFonts w:cs="Arial"/>
        </w:rPr>
      </w:pPr>
      <w:r w:rsidRPr="003D3FA7">
        <w:rPr>
          <w:rFonts w:cs="Arial"/>
        </w:rPr>
        <w:t>Certain parties to these cases were also parties to a hearing regarding the City</w:t>
      </w:r>
      <w:r w:rsidR="002E6A00">
        <w:rPr>
          <w:rFonts w:cs="Arial"/>
        </w:rPr>
        <w:t>’s</w:t>
      </w:r>
      <w:r w:rsidRPr="003D3FA7">
        <w:rPr>
          <w:rFonts w:cs="Arial"/>
        </w:rPr>
        <w:t xml:space="preserve"> Airport Employment Growth District Secondary Plan (“AEGD”).  The AEGD is case PL101300. </w:t>
      </w:r>
      <w:r w:rsidR="003D3FA7" w:rsidRPr="003D3FA7">
        <w:rPr>
          <w:rFonts w:cs="Arial"/>
        </w:rPr>
        <w:t xml:space="preserve">The decision in that matter was issued April 10, 2015. </w:t>
      </w:r>
      <w:r w:rsidR="003D3FA7">
        <w:rPr>
          <w:rFonts w:cs="Arial"/>
        </w:rPr>
        <w:t xml:space="preserve">The City advised the Board that it is of the view that, as a result of Minutes of Settlement reached with Silvestri and Twenty Road West Landowners in that proceeding, the appeals of these two parties were to have been withdrawn in these proceedings now before the Tribunal. </w:t>
      </w:r>
      <w:r w:rsidR="00F2000A">
        <w:rPr>
          <w:rFonts w:cs="Arial"/>
        </w:rPr>
        <w:t xml:space="preserve">If the City intends to pursue this matter </w:t>
      </w:r>
      <w:r w:rsidR="00EA5470">
        <w:rPr>
          <w:rFonts w:cs="Arial"/>
        </w:rPr>
        <w:t>at the Tribunal, i</w:t>
      </w:r>
      <w:r w:rsidR="00F2000A">
        <w:rPr>
          <w:rFonts w:cs="Arial"/>
        </w:rPr>
        <w:t>t is to bring a formal motion to dismiss these appeals.</w:t>
      </w:r>
    </w:p>
    <w:p w:rsidR="002106DB" w:rsidRDefault="00F2000A" w:rsidP="007B76AB">
      <w:pPr>
        <w:pStyle w:val="DecisionBody"/>
        <w:spacing w:beforeLines="150" w:before="360" w:afterLines="150" w:after="360"/>
        <w:rPr>
          <w:rFonts w:cs="Arial"/>
        </w:rPr>
      </w:pPr>
      <w:r>
        <w:rPr>
          <w:rFonts w:cs="Arial"/>
        </w:rPr>
        <w:t xml:space="preserve">The Tribunal sets a two-day motion hearing to commence at </w:t>
      </w:r>
      <w:r w:rsidRPr="000A4649">
        <w:rPr>
          <w:rFonts w:cs="Arial"/>
          <w:b/>
        </w:rPr>
        <w:t>10 a.m. on Wednesday, October 24, 2018.</w:t>
      </w:r>
      <w:r>
        <w:rPr>
          <w:rFonts w:cs="Arial"/>
        </w:rPr>
        <w:t xml:space="preserve"> The City’s hearing facilities are currently under renovations which may be complete by the time of this motion hearing. The City is directed to advise the Tribunal and all parties of the location of the motion hearing.</w:t>
      </w:r>
      <w:r w:rsidR="000A4649">
        <w:rPr>
          <w:rFonts w:cs="Arial"/>
        </w:rPr>
        <w:t xml:space="preserve"> This advice from the City is to come to the Tribunal and to the parties at the earliest possible opportunity and, in any event, not later than August 30, 2018.</w:t>
      </w:r>
    </w:p>
    <w:p w:rsidR="002106DB" w:rsidRDefault="00EA5470" w:rsidP="007B76AB">
      <w:pPr>
        <w:pStyle w:val="DecisionBody"/>
        <w:spacing w:beforeLines="150" w:before="360" w:afterLines="150" w:after="360"/>
        <w:rPr>
          <w:rFonts w:cs="Arial"/>
        </w:rPr>
      </w:pPr>
      <w:r>
        <w:rPr>
          <w:rFonts w:cs="Arial"/>
        </w:rPr>
        <w:t xml:space="preserve">This motion hearing will deal with any motions brought to deal </w:t>
      </w:r>
      <w:r w:rsidR="0031439B">
        <w:rPr>
          <w:rFonts w:cs="Arial"/>
        </w:rPr>
        <w:t xml:space="preserve">with </w:t>
      </w:r>
      <w:r>
        <w:rPr>
          <w:rFonts w:cs="Arial"/>
        </w:rPr>
        <w:t>the question of the applicability of the GGH 2017 and any motion the City may bring to dismiss certain appeals.</w:t>
      </w:r>
    </w:p>
    <w:p w:rsidR="00EA5470" w:rsidRDefault="00F62332" w:rsidP="007B76AB">
      <w:pPr>
        <w:pStyle w:val="DecisionBody"/>
        <w:spacing w:beforeLines="150" w:before="360" w:afterLines="150" w:after="360"/>
        <w:rPr>
          <w:rFonts w:cs="Arial"/>
        </w:rPr>
      </w:pPr>
      <w:r>
        <w:rPr>
          <w:rFonts w:cs="Arial"/>
        </w:rPr>
        <w:t>The Tribunal orders that m</w:t>
      </w:r>
      <w:r w:rsidR="00EA5470">
        <w:rPr>
          <w:rFonts w:cs="Arial"/>
        </w:rPr>
        <w:t xml:space="preserve">otions, responses and replies are to be served and </w:t>
      </w:r>
      <w:r w:rsidR="00EA5470">
        <w:rPr>
          <w:rFonts w:cs="Arial"/>
        </w:rPr>
        <w:lastRenderedPageBreak/>
        <w:t xml:space="preserve">filed in accordance with Tribunal </w:t>
      </w:r>
      <w:r w:rsidR="00EA5470" w:rsidRPr="0085668F">
        <w:rPr>
          <w:rFonts w:cs="Arial"/>
          <w:i/>
        </w:rPr>
        <w:t>Rules</w:t>
      </w:r>
      <w:r w:rsidR="00270687" w:rsidRPr="0085668F">
        <w:rPr>
          <w:rFonts w:cs="Arial"/>
          <w:i/>
        </w:rPr>
        <w:t xml:space="preserve"> of Practice and Procedure</w:t>
      </w:r>
      <w:r w:rsidR="00EA5470">
        <w:rPr>
          <w:rFonts w:cs="Arial"/>
        </w:rPr>
        <w:t xml:space="preserve"> 10.04, 10.05, 10.06, 10.07 and 10.08 </w:t>
      </w:r>
      <w:r w:rsidR="00EA5470">
        <w:rPr>
          <w:rFonts w:cs="Arial"/>
          <w:b/>
        </w:rPr>
        <w:t>except</w:t>
      </w:r>
      <w:r w:rsidR="00EA5470">
        <w:rPr>
          <w:rFonts w:cs="Arial"/>
        </w:rPr>
        <w:t xml:space="preserve"> that the notice of motion is to be served </w:t>
      </w:r>
      <w:r w:rsidR="003559A2">
        <w:rPr>
          <w:rFonts w:cs="Arial"/>
        </w:rPr>
        <w:t xml:space="preserve">and filed </w:t>
      </w:r>
      <w:r w:rsidR="00EA5470">
        <w:rPr>
          <w:rFonts w:cs="Arial"/>
          <w:b/>
        </w:rPr>
        <w:t xml:space="preserve">20 </w:t>
      </w:r>
      <w:r w:rsidR="00EA5470">
        <w:rPr>
          <w:rFonts w:cs="Arial"/>
        </w:rPr>
        <w:t xml:space="preserve">days prior to the motion hearing, the notice of response is to be served </w:t>
      </w:r>
      <w:r w:rsidR="003559A2">
        <w:rPr>
          <w:rFonts w:cs="Arial"/>
        </w:rPr>
        <w:t xml:space="preserve">and filed </w:t>
      </w:r>
      <w:r w:rsidR="00EA5470">
        <w:rPr>
          <w:rFonts w:cs="Arial"/>
          <w:b/>
        </w:rPr>
        <w:t>10</w:t>
      </w:r>
      <w:r w:rsidR="00EA5470">
        <w:rPr>
          <w:rFonts w:cs="Arial"/>
        </w:rPr>
        <w:t xml:space="preserve"> days prior to the motion hearing, and reply submissions, if any, are to be served </w:t>
      </w:r>
      <w:r w:rsidR="003559A2">
        <w:rPr>
          <w:rFonts w:cs="Arial"/>
        </w:rPr>
        <w:t xml:space="preserve">and filed </w:t>
      </w:r>
      <w:r w:rsidR="00EA5470">
        <w:rPr>
          <w:rFonts w:cs="Arial"/>
          <w:b/>
        </w:rPr>
        <w:t>5</w:t>
      </w:r>
      <w:r w:rsidR="00EA5470">
        <w:rPr>
          <w:rFonts w:cs="Arial"/>
        </w:rPr>
        <w:t xml:space="preserve"> days before the motion hearing.</w:t>
      </w:r>
      <w:r w:rsidR="003559A2">
        <w:rPr>
          <w:rFonts w:cs="Arial"/>
        </w:rPr>
        <w:t xml:space="preserve"> The filing of these materials with the Tribunal is to be in both hard and electronic </w:t>
      </w:r>
      <w:r w:rsidR="00D62A07">
        <w:rPr>
          <w:rFonts w:cs="Arial"/>
        </w:rPr>
        <w:t>form</w:t>
      </w:r>
      <w:r w:rsidR="003559A2">
        <w:rPr>
          <w:rFonts w:cs="Arial"/>
        </w:rPr>
        <w:t xml:space="preserve"> and the deadlines for the Tribunal to receive these materials is the same for both hard and electronic copies.</w:t>
      </w:r>
    </w:p>
    <w:p w:rsidR="00AC514C" w:rsidRDefault="00AC514C" w:rsidP="00AC514C">
      <w:pPr>
        <w:pStyle w:val="DecisionBody"/>
        <w:numPr>
          <w:ilvl w:val="0"/>
          <w:numId w:val="0"/>
        </w:numPr>
        <w:spacing w:beforeLines="150" w:before="360" w:afterLines="150" w:after="360"/>
        <w:rPr>
          <w:rFonts w:cs="Arial"/>
        </w:rPr>
      </w:pPr>
    </w:p>
    <w:p w:rsidR="007B76AB" w:rsidRDefault="007B76AB" w:rsidP="007B76AB">
      <w:pPr>
        <w:pStyle w:val="Member"/>
        <w:jc w:val="right"/>
      </w:pPr>
      <w:r w:rsidRPr="004704FF">
        <w:t>“Susan de Avellar Schiller”</w:t>
      </w:r>
    </w:p>
    <w:p w:rsidR="007B76AB" w:rsidRPr="004704FF" w:rsidRDefault="007B76AB" w:rsidP="007B76AB">
      <w:pPr>
        <w:pStyle w:val="Member"/>
        <w:jc w:val="right"/>
      </w:pPr>
    </w:p>
    <w:p w:rsidR="007B76AB" w:rsidRPr="004704FF" w:rsidRDefault="007B76AB" w:rsidP="007B76AB">
      <w:pPr>
        <w:pStyle w:val="Member"/>
        <w:jc w:val="right"/>
        <w:rPr>
          <w:i w:val="0"/>
        </w:rPr>
      </w:pPr>
      <w:r w:rsidRPr="004704FF">
        <w:rPr>
          <w:i w:val="0"/>
        </w:rPr>
        <w:t>SUSAN de AVELLAR SCHILLER</w:t>
      </w:r>
    </w:p>
    <w:p w:rsidR="007B76AB" w:rsidRDefault="007B76AB" w:rsidP="007B76AB">
      <w:pPr>
        <w:pStyle w:val="Member"/>
        <w:jc w:val="right"/>
        <w:rPr>
          <w:i w:val="0"/>
        </w:rPr>
      </w:pPr>
      <w:r>
        <w:rPr>
          <w:i w:val="0"/>
        </w:rPr>
        <w:t>VICE-</w:t>
      </w:r>
      <w:r w:rsidRPr="004704FF">
        <w:rPr>
          <w:i w:val="0"/>
        </w:rPr>
        <w:t>CHAIR</w:t>
      </w:r>
    </w:p>
    <w:p w:rsidR="007B76AB" w:rsidRDefault="007B76AB" w:rsidP="007B76AB">
      <w:pPr>
        <w:pStyle w:val="Member"/>
        <w:jc w:val="right"/>
        <w:rPr>
          <w:i w:val="0"/>
        </w:rPr>
      </w:pPr>
    </w:p>
    <w:p w:rsidR="007B76AB" w:rsidRDefault="007B76AB" w:rsidP="007B76AB">
      <w:pPr>
        <w:pStyle w:val="Member"/>
        <w:jc w:val="right"/>
        <w:rPr>
          <w:i w:val="0"/>
        </w:rPr>
      </w:pPr>
    </w:p>
    <w:p w:rsidR="007B76AB" w:rsidRDefault="007B76AB" w:rsidP="007B76AB">
      <w:pPr>
        <w:pStyle w:val="Member"/>
        <w:jc w:val="right"/>
        <w:rPr>
          <w:i w:val="0"/>
        </w:rPr>
      </w:pPr>
    </w:p>
    <w:p w:rsidR="007B76AB" w:rsidRDefault="007B76AB" w:rsidP="007B76AB">
      <w:pPr>
        <w:pStyle w:val="Member"/>
        <w:jc w:val="right"/>
        <w:rPr>
          <w:i w:val="0"/>
        </w:rPr>
      </w:pPr>
    </w:p>
    <w:p w:rsidR="007B76AB" w:rsidRDefault="007B76AB" w:rsidP="007B76AB">
      <w:pPr>
        <w:pStyle w:val="Member"/>
        <w:jc w:val="right"/>
        <w:rPr>
          <w:i w:val="0"/>
        </w:rPr>
      </w:pPr>
    </w:p>
    <w:p w:rsidR="00AA5F1B" w:rsidRDefault="00AA5F1B" w:rsidP="007B76AB">
      <w:pPr>
        <w:pStyle w:val="Member"/>
        <w:jc w:val="right"/>
        <w:rPr>
          <w:i w:val="0"/>
        </w:rPr>
      </w:pPr>
    </w:p>
    <w:p w:rsidR="00AA5F1B" w:rsidRDefault="00AA5F1B" w:rsidP="007B76AB">
      <w:pPr>
        <w:pStyle w:val="Member"/>
        <w:jc w:val="right"/>
        <w:rPr>
          <w:i w:val="0"/>
        </w:rPr>
      </w:pPr>
    </w:p>
    <w:p w:rsidR="00AA5F1B" w:rsidRDefault="00AA5F1B" w:rsidP="007B76AB">
      <w:pPr>
        <w:pStyle w:val="Member"/>
        <w:jc w:val="right"/>
        <w:rPr>
          <w:i w:val="0"/>
        </w:rPr>
      </w:pPr>
    </w:p>
    <w:p w:rsidR="00AA5F1B" w:rsidRDefault="00AA5F1B" w:rsidP="007B76AB">
      <w:pPr>
        <w:pStyle w:val="Member"/>
        <w:jc w:val="right"/>
        <w:rPr>
          <w:i w:val="0"/>
        </w:rPr>
      </w:pPr>
    </w:p>
    <w:p w:rsidR="00AA5F1B" w:rsidRDefault="00AA5F1B" w:rsidP="007B76AB">
      <w:pPr>
        <w:pStyle w:val="Member"/>
        <w:jc w:val="right"/>
        <w:rPr>
          <w:i w:val="0"/>
        </w:rPr>
      </w:pPr>
    </w:p>
    <w:p w:rsidR="00AA5F1B" w:rsidRDefault="00AA5F1B" w:rsidP="007B76AB">
      <w:pPr>
        <w:pStyle w:val="Member"/>
        <w:jc w:val="right"/>
        <w:rPr>
          <w:i w:val="0"/>
        </w:rPr>
      </w:pPr>
    </w:p>
    <w:p w:rsidR="00AA5F1B" w:rsidRDefault="00AA5F1B" w:rsidP="007B76AB">
      <w:pPr>
        <w:pStyle w:val="Member"/>
        <w:jc w:val="right"/>
        <w:rPr>
          <w:i w:val="0"/>
        </w:rPr>
      </w:pPr>
    </w:p>
    <w:p w:rsidR="00AA5F1B" w:rsidRDefault="00AA5F1B" w:rsidP="007B76AB">
      <w:pPr>
        <w:pStyle w:val="Member"/>
        <w:jc w:val="right"/>
        <w:rPr>
          <w:i w:val="0"/>
        </w:rPr>
      </w:pPr>
    </w:p>
    <w:p w:rsidR="00AA5F1B" w:rsidRDefault="00AA5F1B" w:rsidP="007B76AB">
      <w:pPr>
        <w:pStyle w:val="Member"/>
        <w:jc w:val="right"/>
        <w:rPr>
          <w:i w:val="0"/>
        </w:rPr>
      </w:pPr>
    </w:p>
    <w:p w:rsidR="007B76AB" w:rsidRDefault="007B76AB" w:rsidP="007B76AB">
      <w:pPr>
        <w:pStyle w:val="Member"/>
        <w:jc w:val="right"/>
        <w:rPr>
          <w:i w:val="0"/>
        </w:rPr>
      </w:pPr>
    </w:p>
    <w:p w:rsidR="00270687" w:rsidRDefault="00270687" w:rsidP="007B76AB">
      <w:pPr>
        <w:pStyle w:val="Member"/>
        <w:jc w:val="right"/>
        <w:rPr>
          <w:i w:val="0"/>
        </w:rPr>
      </w:pPr>
    </w:p>
    <w:p w:rsidR="00270687" w:rsidRDefault="00270687" w:rsidP="007B76AB">
      <w:pPr>
        <w:pStyle w:val="Member"/>
        <w:jc w:val="right"/>
        <w:rPr>
          <w:i w:val="0"/>
        </w:rPr>
      </w:pPr>
    </w:p>
    <w:p w:rsidR="00270687" w:rsidRDefault="00270687" w:rsidP="007B76AB">
      <w:pPr>
        <w:pStyle w:val="Member"/>
        <w:jc w:val="right"/>
        <w:rPr>
          <w:i w:val="0"/>
        </w:rPr>
      </w:pPr>
    </w:p>
    <w:p w:rsidR="00270687" w:rsidRDefault="00270687" w:rsidP="007B76AB">
      <w:pPr>
        <w:pStyle w:val="Member"/>
        <w:jc w:val="right"/>
        <w:rPr>
          <w:i w:val="0"/>
        </w:rPr>
      </w:pPr>
    </w:p>
    <w:p w:rsidR="00270687" w:rsidRDefault="00270687" w:rsidP="007B76AB">
      <w:pPr>
        <w:pStyle w:val="Member"/>
        <w:jc w:val="right"/>
        <w:rPr>
          <w:i w:val="0"/>
        </w:rPr>
      </w:pPr>
    </w:p>
    <w:p w:rsidR="007B76AB" w:rsidRDefault="007B76AB" w:rsidP="007B76AB">
      <w:pPr>
        <w:jc w:val="center"/>
        <w:rPr>
          <w:rFonts w:ascii="Arial" w:hAnsi="Arial" w:cs="Arial"/>
          <w:lang w:eastAsia="en-CA"/>
        </w:rPr>
      </w:pPr>
      <w:r>
        <w:rPr>
          <w:rFonts w:ascii="Arial" w:hAnsi="Arial" w:cs="Arial"/>
          <w:lang w:eastAsia="en-CA"/>
        </w:rPr>
        <w:t>If there is an attachment referred to in this document,</w:t>
      </w:r>
    </w:p>
    <w:p w:rsidR="007B76AB" w:rsidRDefault="007B76AB" w:rsidP="007B76AB">
      <w:pPr>
        <w:jc w:val="center"/>
        <w:rPr>
          <w:rFonts w:ascii="Arial" w:hAnsi="Arial" w:cs="Arial"/>
          <w:lang w:eastAsia="en-CA"/>
        </w:rPr>
      </w:pPr>
      <w:proofErr w:type="gramStart"/>
      <w:r>
        <w:rPr>
          <w:rFonts w:ascii="Arial" w:hAnsi="Arial" w:cs="Arial"/>
          <w:lang w:eastAsia="en-CA"/>
        </w:rPr>
        <w:t>please</w:t>
      </w:r>
      <w:proofErr w:type="gramEnd"/>
      <w:r>
        <w:rPr>
          <w:rFonts w:ascii="Arial" w:hAnsi="Arial" w:cs="Arial"/>
          <w:lang w:eastAsia="en-CA"/>
        </w:rPr>
        <w:t xml:space="preserve"> visit www.elto.gov.on.ca to view the attachment in PDF format.</w:t>
      </w:r>
    </w:p>
    <w:p w:rsidR="007B76AB" w:rsidRDefault="007B76AB" w:rsidP="007B76AB">
      <w:pPr>
        <w:pStyle w:val="Member"/>
        <w:jc w:val="right"/>
        <w:rPr>
          <w:i w:val="0"/>
        </w:rPr>
      </w:pPr>
    </w:p>
    <w:p w:rsidR="007B76AB" w:rsidRPr="004704FF" w:rsidRDefault="007B76AB" w:rsidP="007B76AB">
      <w:pPr>
        <w:pStyle w:val="Member"/>
        <w:jc w:val="right"/>
        <w:rPr>
          <w:i w:val="0"/>
        </w:rPr>
      </w:pPr>
    </w:p>
    <w:p w:rsidR="007B76AB" w:rsidRPr="004704FF" w:rsidRDefault="00D11C1E" w:rsidP="007B76AB">
      <w:pPr>
        <w:keepLines/>
        <w:jc w:val="center"/>
        <w:rPr>
          <w:rFonts w:ascii="Arial" w:hAnsi="Arial" w:cs="Arial"/>
          <w:b/>
          <w:lang w:val="en-CA"/>
        </w:rPr>
      </w:pPr>
      <w:r>
        <w:rPr>
          <w:rFonts w:ascii="Arial" w:hAnsi="Arial" w:cs="Arial"/>
          <w:b/>
          <w:lang w:val="en-CA"/>
        </w:rPr>
        <w:t>Local Planning Appeal Tribunal</w:t>
      </w:r>
    </w:p>
    <w:p w:rsidR="007B76AB" w:rsidRPr="004704FF" w:rsidRDefault="007B76AB" w:rsidP="007B76AB">
      <w:pPr>
        <w:keepLines/>
        <w:jc w:val="center"/>
        <w:rPr>
          <w:rFonts w:ascii="Arial" w:hAnsi="Arial" w:cs="Arial"/>
          <w:lang w:val="en-CA"/>
        </w:rPr>
      </w:pPr>
      <w:r w:rsidRPr="004704FF">
        <w:rPr>
          <w:rFonts w:ascii="Arial" w:hAnsi="Arial" w:cs="Arial"/>
          <w:lang w:val="en-CA"/>
        </w:rPr>
        <w:t>A constituent tribunal of Environment and Land Tribunals Ontario</w:t>
      </w:r>
    </w:p>
    <w:p w:rsidR="007B76AB" w:rsidRPr="004704FF" w:rsidRDefault="007B76AB" w:rsidP="007B76AB">
      <w:pPr>
        <w:pStyle w:val="Footer"/>
        <w:jc w:val="center"/>
        <w:rPr>
          <w:rFonts w:ascii="Arial" w:hAnsi="Arial" w:cs="Arial"/>
          <w:lang w:val="en-CA"/>
        </w:rPr>
      </w:pPr>
      <w:r w:rsidRPr="004704FF">
        <w:rPr>
          <w:rFonts w:ascii="Arial" w:hAnsi="Arial" w:cs="Arial"/>
          <w:lang w:val="en-CA"/>
        </w:rPr>
        <w:t xml:space="preserve">Website: </w:t>
      </w:r>
      <w:proofErr w:type="gramStart"/>
      <w:r w:rsidRPr="004704FF">
        <w:rPr>
          <w:rFonts w:ascii="Arial" w:hAnsi="Arial" w:cs="Arial"/>
          <w:lang w:val="en-CA"/>
        </w:rPr>
        <w:t>www.elto.gov.on.ca  Telephone</w:t>
      </w:r>
      <w:proofErr w:type="gramEnd"/>
      <w:r w:rsidRPr="004704FF">
        <w:rPr>
          <w:rFonts w:ascii="Arial" w:hAnsi="Arial" w:cs="Arial"/>
          <w:lang w:val="en-CA"/>
        </w:rPr>
        <w:t>: 416-212-6349  Toll Free: 1-866-448-2248</w:t>
      </w:r>
      <w:bookmarkEnd w:id="1"/>
    </w:p>
    <w:sectPr w:rsidR="007B76AB" w:rsidRPr="004704FF" w:rsidSect="00B92BA3">
      <w:headerReference w:type="default" r:id="rId9"/>
      <w:pgSz w:w="12240" w:h="15840" w:code="1"/>
      <w:pgMar w:top="1239"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76" w:rsidRDefault="00936376">
      <w:r>
        <w:separator/>
      </w:r>
    </w:p>
  </w:endnote>
  <w:endnote w:type="continuationSeparator" w:id="0">
    <w:p w:rsidR="00936376" w:rsidRDefault="0093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76" w:rsidRDefault="00936376">
      <w:r>
        <w:separator/>
      </w:r>
    </w:p>
  </w:footnote>
  <w:footnote w:type="continuationSeparator" w:id="0">
    <w:p w:rsidR="00936376" w:rsidRDefault="00936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78" w:rsidRDefault="005D1ED7" w:rsidP="002D2254">
    <w:pPr>
      <w:pStyle w:val="Header"/>
      <w:tabs>
        <w:tab w:val="clear" w:pos="8640"/>
        <w:tab w:val="center" w:pos="4680"/>
        <w:tab w:val="left" w:pos="6804"/>
        <w:tab w:val="right" w:pos="9360"/>
      </w:tabs>
      <w:rPr>
        <w:rFonts w:ascii="Arial" w:hAnsi="Arial" w:cs="Arial"/>
        <w:noProof/>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9A32CB">
      <w:rPr>
        <w:rFonts w:ascii="Arial" w:hAnsi="Arial" w:cs="Arial"/>
        <w:noProof/>
      </w:rPr>
      <w:t>9</w:t>
    </w:r>
    <w:r w:rsidRPr="005E51AF">
      <w:rPr>
        <w:rFonts w:ascii="Arial" w:hAnsi="Arial" w:cs="Arial"/>
        <w:noProof/>
      </w:rPr>
      <w:fldChar w:fldCharType="end"/>
    </w:r>
    <w:r w:rsidR="00C02B28">
      <w:rPr>
        <w:rFonts w:ascii="Arial" w:hAnsi="Arial" w:cs="Arial"/>
        <w:noProof/>
      </w:rPr>
      <w:tab/>
    </w:r>
    <w:r w:rsidR="002D2254">
      <w:rPr>
        <w:rFonts w:ascii="Arial" w:hAnsi="Arial" w:cs="Arial"/>
        <w:noProof/>
      </w:rPr>
      <w:tab/>
    </w:r>
    <w:r w:rsidRPr="005E51AF">
      <w:rPr>
        <w:rFonts w:ascii="Arial" w:hAnsi="Arial" w:cs="Arial"/>
        <w:noProof/>
      </w:rPr>
      <w:t>PL</w:t>
    </w:r>
    <w:r w:rsidR="00DE0D78">
      <w:rPr>
        <w:rFonts w:ascii="Arial" w:hAnsi="Arial" w:cs="Arial"/>
        <w:noProof/>
      </w:rPr>
      <w:t>090114</w:t>
    </w:r>
  </w:p>
  <w:p w:rsidR="00420FFD" w:rsidRDefault="00DE0D78" w:rsidP="00DE0D78">
    <w:pPr>
      <w:pStyle w:val="Header"/>
      <w:tabs>
        <w:tab w:val="clear" w:pos="8640"/>
        <w:tab w:val="center" w:pos="4680"/>
        <w:tab w:val="left" w:pos="6804"/>
        <w:tab w:val="right" w:pos="9360"/>
      </w:tabs>
      <w:jc w:val="right"/>
      <w:rPr>
        <w:rFonts w:ascii="Arial" w:hAnsi="Arial" w:cs="Arial"/>
        <w:noProof/>
      </w:rPr>
    </w:pPr>
    <w:r>
      <w:rPr>
        <w:rFonts w:ascii="Arial" w:hAnsi="Arial" w:cs="Arial"/>
        <w:noProof/>
      </w:rPr>
      <w:t>PL</w:t>
    </w:r>
    <w:r w:rsidR="00235621">
      <w:rPr>
        <w:rFonts w:ascii="Arial" w:hAnsi="Arial" w:cs="Arial"/>
        <w:noProof/>
      </w:rPr>
      <w:t>1</w:t>
    </w:r>
    <w:r w:rsidR="007B76AB">
      <w:rPr>
        <w:rFonts w:ascii="Arial" w:hAnsi="Arial" w:cs="Arial"/>
        <w:noProof/>
      </w:rPr>
      <w:t>10331</w:t>
    </w:r>
  </w:p>
  <w:p w:rsidR="00F2000A" w:rsidRPr="005E51AF" w:rsidRDefault="00F2000A" w:rsidP="00DE0D78">
    <w:pPr>
      <w:pStyle w:val="Header"/>
      <w:tabs>
        <w:tab w:val="clear" w:pos="8640"/>
        <w:tab w:val="center" w:pos="4680"/>
        <w:tab w:val="left" w:pos="6804"/>
        <w:tab w:val="right" w:pos="9360"/>
      </w:tabs>
      <w:jc w:val="right"/>
      <w:rPr>
        <w:rFonts w:ascii="Arial" w:hAnsi="Arial" w:cs="Arial"/>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A12260"/>
    <w:multiLevelType w:val="hybridMultilevel"/>
    <w:tmpl w:val="15F4981A"/>
    <w:lvl w:ilvl="0" w:tplc="99E21244">
      <w:start w:val="1"/>
      <w:numFmt w:val="decimal"/>
      <w:pStyle w:val="DecisionBody"/>
      <w:lvlText w:val="[%1]"/>
      <w:lvlJc w:val="left"/>
      <w:pPr>
        <w:ind w:left="720" w:hanging="360"/>
      </w:pPr>
      <w:rPr>
        <w:rFonts w:hint="default"/>
        <w:b w:val="0"/>
      </w:rPr>
    </w:lvl>
    <w:lvl w:ilvl="1" w:tplc="63A0851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7"/>
  </w:num>
  <w:num w:numId="4">
    <w:abstractNumId w:val="7"/>
  </w:num>
  <w:num w:numId="5">
    <w:abstractNumId w:val="19"/>
  </w:num>
  <w:num w:numId="6">
    <w:abstractNumId w:val="4"/>
  </w:num>
  <w:num w:numId="7">
    <w:abstractNumId w:val="1"/>
  </w:num>
  <w:num w:numId="8">
    <w:abstractNumId w:val="16"/>
  </w:num>
  <w:num w:numId="9">
    <w:abstractNumId w:val="10"/>
  </w:num>
  <w:num w:numId="10">
    <w:abstractNumId w:val="9"/>
  </w:num>
  <w:num w:numId="11">
    <w:abstractNumId w:val="14"/>
  </w:num>
  <w:num w:numId="12">
    <w:abstractNumId w:val="18"/>
  </w:num>
  <w:num w:numId="13">
    <w:abstractNumId w:val="3"/>
  </w:num>
  <w:num w:numId="14">
    <w:abstractNumId w:val="11"/>
  </w:num>
  <w:num w:numId="15">
    <w:abstractNumId w:val="15"/>
  </w:num>
  <w:num w:numId="16">
    <w:abstractNumId w:val="13"/>
  </w:num>
  <w:num w:numId="17">
    <w:abstractNumId w:val="6"/>
  </w:num>
  <w:num w:numId="18">
    <w:abstractNumId w:val="8"/>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C4"/>
    <w:rsid w:val="0001398A"/>
    <w:rsid w:val="000169B4"/>
    <w:rsid w:val="000170F3"/>
    <w:rsid w:val="000173C0"/>
    <w:rsid w:val="00017DFC"/>
    <w:rsid w:val="00031C6E"/>
    <w:rsid w:val="0003783B"/>
    <w:rsid w:val="000424A6"/>
    <w:rsid w:val="00045B93"/>
    <w:rsid w:val="00054A9F"/>
    <w:rsid w:val="00057B18"/>
    <w:rsid w:val="00075342"/>
    <w:rsid w:val="00076196"/>
    <w:rsid w:val="0008105B"/>
    <w:rsid w:val="00081B93"/>
    <w:rsid w:val="000923E6"/>
    <w:rsid w:val="0009757E"/>
    <w:rsid w:val="000A0F00"/>
    <w:rsid w:val="000A4649"/>
    <w:rsid w:val="000B4BFB"/>
    <w:rsid w:val="000C21BB"/>
    <w:rsid w:val="000C480C"/>
    <w:rsid w:val="000C7608"/>
    <w:rsid w:val="000D6F9D"/>
    <w:rsid w:val="000D7BBD"/>
    <w:rsid w:val="00115F93"/>
    <w:rsid w:val="00137797"/>
    <w:rsid w:val="001551CC"/>
    <w:rsid w:val="001562BE"/>
    <w:rsid w:val="001634FB"/>
    <w:rsid w:val="001656BC"/>
    <w:rsid w:val="00165917"/>
    <w:rsid w:val="001702F3"/>
    <w:rsid w:val="00172CE7"/>
    <w:rsid w:val="001765FB"/>
    <w:rsid w:val="00182765"/>
    <w:rsid w:val="00183497"/>
    <w:rsid w:val="00190DF3"/>
    <w:rsid w:val="001A0829"/>
    <w:rsid w:val="001A3C06"/>
    <w:rsid w:val="001A76EB"/>
    <w:rsid w:val="001B5CE4"/>
    <w:rsid w:val="001D6F93"/>
    <w:rsid w:val="001F179F"/>
    <w:rsid w:val="0020298E"/>
    <w:rsid w:val="00204A56"/>
    <w:rsid w:val="00205167"/>
    <w:rsid w:val="002106DB"/>
    <w:rsid w:val="0021608D"/>
    <w:rsid w:val="00220639"/>
    <w:rsid w:val="0022133C"/>
    <w:rsid w:val="00225203"/>
    <w:rsid w:val="00226115"/>
    <w:rsid w:val="00227E95"/>
    <w:rsid w:val="002346B3"/>
    <w:rsid w:val="00235621"/>
    <w:rsid w:val="002419BB"/>
    <w:rsid w:val="002433A2"/>
    <w:rsid w:val="00244179"/>
    <w:rsid w:val="002446DE"/>
    <w:rsid w:val="00246A65"/>
    <w:rsid w:val="0026320F"/>
    <w:rsid w:val="00266E3A"/>
    <w:rsid w:val="00270687"/>
    <w:rsid w:val="00277F40"/>
    <w:rsid w:val="00283370"/>
    <w:rsid w:val="00293394"/>
    <w:rsid w:val="00293E85"/>
    <w:rsid w:val="002959D2"/>
    <w:rsid w:val="002B47E9"/>
    <w:rsid w:val="002C00E1"/>
    <w:rsid w:val="002D0291"/>
    <w:rsid w:val="002D2254"/>
    <w:rsid w:val="002D38E7"/>
    <w:rsid w:val="002E6A00"/>
    <w:rsid w:val="002E7C9F"/>
    <w:rsid w:val="002F73E5"/>
    <w:rsid w:val="003011F4"/>
    <w:rsid w:val="003051EA"/>
    <w:rsid w:val="00305578"/>
    <w:rsid w:val="003073E8"/>
    <w:rsid w:val="00307DEE"/>
    <w:rsid w:val="0031439B"/>
    <w:rsid w:val="00316394"/>
    <w:rsid w:val="00322161"/>
    <w:rsid w:val="00324440"/>
    <w:rsid w:val="00340879"/>
    <w:rsid w:val="00345480"/>
    <w:rsid w:val="003506EA"/>
    <w:rsid w:val="00350E1B"/>
    <w:rsid w:val="003559A2"/>
    <w:rsid w:val="003620BF"/>
    <w:rsid w:val="00367CB0"/>
    <w:rsid w:val="00375BC0"/>
    <w:rsid w:val="00375F31"/>
    <w:rsid w:val="0038484F"/>
    <w:rsid w:val="003916D5"/>
    <w:rsid w:val="003918DD"/>
    <w:rsid w:val="00391DD7"/>
    <w:rsid w:val="00397A2C"/>
    <w:rsid w:val="003B236D"/>
    <w:rsid w:val="003B298B"/>
    <w:rsid w:val="003B7CE2"/>
    <w:rsid w:val="003C2E86"/>
    <w:rsid w:val="003D3375"/>
    <w:rsid w:val="003D3FA7"/>
    <w:rsid w:val="003F266C"/>
    <w:rsid w:val="00401F7B"/>
    <w:rsid w:val="00403715"/>
    <w:rsid w:val="00420FFD"/>
    <w:rsid w:val="004233D2"/>
    <w:rsid w:val="00441A9B"/>
    <w:rsid w:val="004507E6"/>
    <w:rsid w:val="00452228"/>
    <w:rsid w:val="004568CC"/>
    <w:rsid w:val="004628B6"/>
    <w:rsid w:val="004662FE"/>
    <w:rsid w:val="004A4461"/>
    <w:rsid w:val="004C06AB"/>
    <w:rsid w:val="004C5ADC"/>
    <w:rsid w:val="004E03A4"/>
    <w:rsid w:val="004E4C91"/>
    <w:rsid w:val="004E4CD6"/>
    <w:rsid w:val="004E7FC6"/>
    <w:rsid w:val="004F13B0"/>
    <w:rsid w:val="004F3A2E"/>
    <w:rsid w:val="00505DF1"/>
    <w:rsid w:val="00513CCD"/>
    <w:rsid w:val="005176E6"/>
    <w:rsid w:val="00526987"/>
    <w:rsid w:val="00530A9E"/>
    <w:rsid w:val="005425ED"/>
    <w:rsid w:val="0055024F"/>
    <w:rsid w:val="005507F5"/>
    <w:rsid w:val="00581834"/>
    <w:rsid w:val="00581FFB"/>
    <w:rsid w:val="005832B8"/>
    <w:rsid w:val="005839FE"/>
    <w:rsid w:val="00585632"/>
    <w:rsid w:val="0058684A"/>
    <w:rsid w:val="005A6B29"/>
    <w:rsid w:val="005A767F"/>
    <w:rsid w:val="005B0EFC"/>
    <w:rsid w:val="005B5DDE"/>
    <w:rsid w:val="005C7251"/>
    <w:rsid w:val="005D0D8D"/>
    <w:rsid w:val="005D1ED7"/>
    <w:rsid w:val="005E51AF"/>
    <w:rsid w:val="005F182A"/>
    <w:rsid w:val="005F3484"/>
    <w:rsid w:val="005F7A16"/>
    <w:rsid w:val="006002DC"/>
    <w:rsid w:val="0060505C"/>
    <w:rsid w:val="00614648"/>
    <w:rsid w:val="00616822"/>
    <w:rsid w:val="006419E7"/>
    <w:rsid w:val="00641AD3"/>
    <w:rsid w:val="00647ECC"/>
    <w:rsid w:val="006510E9"/>
    <w:rsid w:val="00653B50"/>
    <w:rsid w:val="00655F95"/>
    <w:rsid w:val="00656CC7"/>
    <w:rsid w:val="0066296A"/>
    <w:rsid w:val="00663C56"/>
    <w:rsid w:val="00665DAE"/>
    <w:rsid w:val="006664C3"/>
    <w:rsid w:val="00677294"/>
    <w:rsid w:val="00684AEA"/>
    <w:rsid w:val="006A119C"/>
    <w:rsid w:val="006A19B7"/>
    <w:rsid w:val="006A7167"/>
    <w:rsid w:val="006B2C0D"/>
    <w:rsid w:val="006E7EA8"/>
    <w:rsid w:val="006F214C"/>
    <w:rsid w:val="006F2DF2"/>
    <w:rsid w:val="006F5589"/>
    <w:rsid w:val="007057F0"/>
    <w:rsid w:val="00706196"/>
    <w:rsid w:val="00707B3B"/>
    <w:rsid w:val="00715DD1"/>
    <w:rsid w:val="00716030"/>
    <w:rsid w:val="00743DDD"/>
    <w:rsid w:val="0076119A"/>
    <w:rsid w:val="00765C2D"/>
    <w:rsid w:val="00795D66"/>
    <w:rsid w:val="007A1709"/>
    <w:rsid w:val="007A2C3D"/>
    <w:rsid w:val="007B1C33"/>
    <w:rsid w:val="007B76AB"/>
    <w:rsid w:val="007C08BD"/>
    <w:rsid w:val="007D5A2D"/>
    <w:rsid w:val="007E0C30"/>
    <w:rsid w:val="007F7583"/>
    <w:rsid w:val="008046EB"/>
    <w:rsid w:val="0080724D"/>
    <w:rsid w:val="008173CF"/>
    <w:rsid w:val="00823753"/>
    <w:rsid w:val="00827BCF"/>
    <w:rsid w:val="008316DB"/>
    <w:rsid w:val="0083211C"/>
    <w:rsid w:val="00833DC0"/>
    <w:rsid w:val="00835A80"/>
    <w:rsid w:val="0085668F"/>
    <w:rsid w:val="00865727"/>
    <w:rsid w:val="00866681"/>
    <w:rsid w:val="0089782A"/>
    <w:rsid w:val="008A0CAE"/>
    <w:rsid w:val="008A1A0C"/>
    <w:rsid w:val="008A3586"/>
    <w:rsid w:val="008B3EB4"/>
    <w:rsid w:val="008B667D"/>
    <w:rsid w:val="008C09C4"/>
    <w:rsid w:val="008C7470"/>
    <w:rsid w:val="008D3B01"/>
    <w:rsid w:val="008E147D"/>
    <w:rsid w:val="008E5B11"/>
    <w:rsid w:val="00900C5B"/>
    <w:rsid w:val="0092090D"/>
    <w:rsid w:val="009300A7"/>
    <w:rsid w:val="00930FD3"/>
    <w:rsid w:val="009333AA"/>
    <w:rsid w:val="00935ABA"/>
    <w:rsid w:val="00936376"/>
    <w:rsid w:val="00945F40"/>
    <w:rsid w:val="00947A9A"/>
    <w:rsid w:val="00951EE2"/>
    <w:rsid w:val="0096422B"/>
    <w:rsid w:val="009650D8"/>
    <w:rsid w:val="009748FB"/>
    <w:rsid w:val="00976AA8"/>
    <w:rsid w:val="00981E7A"/>
    <w:rsid w:val="00990F55"/>
    <w:rsid w:val="009936CF"/>
    <w:rsid w:val="009A31C9"/>
    <w:rsid w:val="009A32CB"/>
    <w:rsid w:val="009A34A1"/>
    <w:rsid w:val="009A6A2E"/>
    <w:rsid w:val="009A6D63"/>
    <w:rsid w:val="009A73F6"/>
    <w:rsid w:val="009C0242"/>
    <w:rsid w:val="009C4D62"/>
    <w:rsid w:val="009D0B82"/>
    <w:rsid w:val="009D5078"/>
    <w:rsid w:val="009E0DF7"/>
    <w:rsid w:val="009E202F"/>
    <w:rsid w:val="009E6983"/>
    <w:rsid w:val="009F3047"/>
    <w:rsid w:val="00A07D8A"/>
    <w:rsid w:val="00A13AC4"/>
    <w:rsid w:val="00A20E8C"/>
    <w:rsid w:val="00A452B0"/>
    <w:rsid w:val="00A45D63"/>
    <w:rsid w:val="00A47406"/>
    <w:rsid w:val="00A53EAA"/>
    <w:rsid w:val="00A5482E"/>
    <w:rsid w:val="00A550FC"/>
    <w:rsid w:val="00A70E2F"/>
    <w:rsid w:val="00A81716"/>
    <w:rsid w:val="00A86E97"/>
    <w:rsid w:val="00A955CF"/>
    <w:rsid w:val="00AA1090"/>
    <w:rsid w:val="00AA5F1B"/>
    <w:rsid w:val="00AA6E2C"/>
    <w:rsid w:val="00AB07FC"/>
    <w:rsid w:val="00AB7E2E"/>
    <w:rsid w:val="00AC514C"/>
    <w:rsid w:val="00AD29BF"/>
    <w:rsid w:val="00AD5E6E"/>
    <w:rsid w:val="00AE075F"/>
    <w:rsid w:val="00AE1098"/>
    <w:rsid w:val="00AE5E8E"/>
    <w:rsid w:val="00AE6366"/>
    <w:rsid w:val="00AF4911"/>
    <w:rsid w:val="00B157E1"/>
    <w:rsid w:val="00B16A05"/>
    <w:rsid w:val="00B225A1"/>
    <w:rsid w:val="00B25ACB"/>
    <w:rsid w:val="00B25ECF"/>
    <w:rsid w:val="00B35686"/>
    <w:rsid w:val="00B51EBA"/>
    <w:rsid w:val="00B5261C"/>
    <w:rsid w:val="00B5585B"/>
    <w:rsid w:val="00B62606"/>
    <w:rsid w:val="00B6431E"/>
    <w:rsid w:val="00B67AB9"/>
    <w:rsid w:val="00B702CE"/>
    <w:rsid w:val="00B721A7"/>
    <w:rsid w:val="00B73739"/>
    <w:rsid w:val="00B77B07"/>
    <w:rsid w:val="00B818DE"/>
    <w:rsid w:val="00B92BA3"/>
    <w:rsid w:val="00BA5F87"/>
    <w:rsid w:val="00BB1683"/>
    <w:rsid w:val="00BC66D9"/>
    <w:rsid w:val="00BE0FA0"/>
    <w:rsid w:val="00BF497A"/>
    <w:rsid w:val="00BF7426"/>
    <w:rsid w:val="00C02B28"/>
    <w:rsid w:val="00C64645"/>
    <w:rsid w:val="00C83BD6"/>
    <w:rsid w:val="00C92977"/>
    <w:rsid w:val="00CC269B"/>
    <w:rsid w:val="00CC29F3"/>
    <w:rsid w:val="00CC3090"/>
    <w:rsid w:val="00CC5C59"/>
    <w:rsid w:val="00CD235D"/>
    <w:rsid w:val="00CD5591"/>
    <w:rsid w:val="00CE10CC"/>
    <w:rsid w:val="00CE28B6"/>
    <w:rsid w:val="00CF3536"/>
    <w:rsid w:val="00CF3F96"/>
    <w:rsid w:val="00CF4C37"/>
    <w:rsid w:val="00CF55CF"/>
    <w:rsid w:val="00D008AB"/>
    <w:rsid w:val="00D00968"/>
    <w:rsid w:val="00D11C1E"/>
    <w:rsid w:val="00D30F49"/>
    <w:rsid w:val="00D360C5"/>
    <w:rsid w:val="00D42D9F"/>
    <w:rsid w:val="00D57A8A"/>
    <w:rsid w:val="00D62A07"/>
    <w:rsid w:val="00D66856"/>
    <w:rsid w:val="00D725C0"/>
    <w:rsid w:val="00D76186"/>
    <w:rsid w:val="00D76968"/>
    <w:rsid w:val="00D83C03"/>
    <w:rsid w:val="00D8571F"/>
    <w:rsid w:val="00D90F52"/>
    <w:rsid w:val="00D91064"/>
    <w:rsid w:val="00D919E5"/>
    <w:rsid w:val="00DB023D"/>
    <w:rsid w:val="00DB16DE"/>
    <w:rsid w:val="00DB1E88"/>
    <w:rsid w:val="00DB49FE"/>
    <w:rsid w:val="00DD35F5"/>
    <w:rsid w:val="00DD4CB4"/>
    <w:rsid w:val="00DD6665"/>
    <w:rsid w:val="00DE0D78"/>
    <w:rsid w:val="00DE62BC"/>
    <w:rsid w:val="00DF2E6F"/>
    <w:rsid w:val="00DF48F7"/>
    <w:rsid w:val="00DF75FB"/>
    <w:rsid w:val="00E11D71"/>
    <w:rsid w:val="00E12DE7"/>
    <w:rsid w:val="00E15446"/>
    <w:rsid w:val="00E40778"/>
    <w:rsid w:val="00E4148F"/>
    <w:rsid w:val="00E45C87"/>
    <w:rsid w:val="00E5336E"/>
    <w:rsid w:val="00E65759"/>
    <w:rsid w:val="00E73226"/>
    <w:rsid w:val="00E75833"/>
    <w:rsid w:val="00E87A9B"/>
    <w:rsid w:val="00E92B74"/>
    <w:rsid w:val="00EA5470"/>
    <w:rsid w:val="00EA73B7"/>
    <w:rsid w:val="00EB3E73"/>
    <w:rsid w:val="00EC1739"/>
    <w:rsid w:val="00EC181A"/>
    <w:rsid w:val="00EE4BA3"/>
    <w:rsid w:val="00EF7452"/>
    <w:rsid w:val="00F2000A"/>
    <w:rsid w:val="00F20B8D"/>
    <w:rsid w:val="00F376E5"/>
    <w:rsid w:val="00F404B1"/>
    <w:rsid w:val="00F408C2"/>
    <w:rsid w:val="00F548C9"/>
    <w:rsid w:val="00F62332"/>
    <w:rsid w:val="00F635A9"/>
    <w:rsid w:val="00F76E36"/>
    <w:rsid w:val="00F90029"/>
    <w:rsid w:val="00F9597B"/>
    <w:rsid w:val="00FA016B"/>
    <w:rsid w:val="00FD10D9"/>
    <w:rsid w:val="00FD4182"/>
    <w:rsid w:val="00FE3524"/>
    <w:rsid w:val="00FE478E"/>
    <w:rsid w:val="00FE4D6A"/>
    <w:rsid w:val="00FE5B7C"/>
    <w:rsid w:val="00FF1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FE478E"/>
    <w:pPr>
      <w:keepNext/>
      <w:outlineLvl w:val="0"/>
    </w:pPr>
    <w:rPr>
      <w:rFonts w:ascii="Arial" w:hAnsi="Arial"/>
      <w:b/>
      <w:bCs/>
      <w:sz w:val="16"/>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aliases w:val="Page#"/>
    <w:basedOn w:val="Normal"/>
    <w:link w:val="HeaderChar"/>
    <w:rsid w:val="00A550FC"/>
    <w:pPr>
      <w:tabs>
        <w:tab w:val="center" w:pos="4320"/>
        <w:tab w:val="right" w:pos="8640"/>
      </w:tabs>
    </w:pPr>
  </w:style>
  <w:style w:type="paragraph" w:styleId="Footer">
    <w:name w:val="footer"/>
    <w:basedOn w:val="Normal"/>
    <w:link w:val="FooterChar"/>
    <w:uiPriority w:val="99"/>
    <w:rsid w:val="00A550FC"/>
    <w:pPr>
      <w:tabs>
        <w:tab w:val="center" w:pos="4320"/>
        <w:tab w:val="right" w:pos="8640"/>
      </w:tabs>
    </w:p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link w:val="PartiesCounselAgentChar"/>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link w:val="DecisionBodyChar"/>
    <w:autoRedefine/>
    <w:rsid w:val="00CF3536"/>
    <w:pPr>
      <w:widowControl w:val="0"/>
      <w:numPr>
        <w:numId w:val="11"/>
      </w:numPr>
      <w:spacing w:before="120" w:after="120" w:line="360" w:lineRule="auto"/>
      <w:ind w:left="0" w:firstLine="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Page# Char"/>
    <w:link w:val="Header"/>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paragraph" w:customStyle="1" w:styleId="StyleofClause">
    <w:name w:val="StyleofClause"/>
    <w:basedOn w:val="PartiesCounselAgent"/>
    <w:autoRedefine/>
    <w:rsid w:val="004F3A2E"/>
    <w:pPr>
      <w:ind w:left="2147"/>
      <w:jc w:val="both"/>
    </w:pPr>
  </w:style>
  <w:style w:type="paragraph" w:customStyle="1" w:styleId="ombquote">
    <w:name w:val="omb quote"/>
    <w:basedOn w:val="DecisionBody"/>
    <w:link w:val="ombquoteChar"/>
    <w:qFormat/>
    <w:rsid w:val="00CF3536"/>
    <w:pPr>
      <w:numPr>
        <w:numId w:val="0"/>
      </w:numPr>
      <w:spacing w:line="240" w:lineRule="auto"/>
      <w:ind w:left="1440"/>
    </w:pPr>
    <w:rPr>
      <w:rFonts w:cs="Arial"/>
      <w:sz w:val="20"/>
      <w:szCs w:val="20"/>
    </w:rPr>
  </w:style>
  <w:style w:type="character" w:customStyle="1" w:styleId="PartiesCounselAgentChar">
    <w:name w:val="Parties/Counsel*/Agent Char"/>
    <w:basedOn w:val="DefaultParagraphFont"/>
    <w:link w:val="PartiesCounselAgent"/>
    <w:rsid w:val="00CF3536"/>
    <w:rPr>
      <w:rFonts w:ascii="Arial" w:hAnsi="Arial"/>
      <w:sz w:val="24"/>
      <w:szCs w:val="24"/>
      <w:lang w:eastAsia="en-US"/>
    </w:rPr>
  </w:style>
  <w:style w:type="character" w:customStyle="1" w:styleId="DecisionBodyChar">
    <w:name w:val="DecisionBody Char"/>
    <w:basedOn w:val="PartiesCounselAgentChar"/>
    <w:link w:val="DecisionBody"/>
    <w:rsid w:val="00CF3536"/>
    <w:rPr>
      <w:rFonts w:ascii="Arial" w:hAnsi="Arial"/>
      <w:bCs/>
      <w:sz w:val="24"/>
      <w:szCs w:val="24"/>
      <w:lang w:eastAsia="en-US"/>
    </w:rPr>
  </w:style>
  <w:style w:type="character" w:customStyle="1" w:styleId="ombquoteChar">
    <w:name w:val="omb quote Char"/>
    <w:basedOn w:val="DecisionBodyChar"/>
    <w:link w:val="ombquote"/>
    <w:rsid w:val="00CF3536"/>
    <w:rPr>
      <w:rFonts w:ascii="Arial" w:hAnsi="Arial" w:cs="Arial"/>
      <w:bCs/>
      <w:sz w:val="24"/>
      <w:szCs w:val="24"/>
      <w:lang w:eastAsia="en-US"/>
    </w:rPr>
  </w:style>
  <w:style w:type="paragraph" w:styleId="Date">
    <w:name w:val="Date"/>
    <w:basedOn w:val="Normal"/>
    <w:next w:val="Normal"/>
    <w:link w:val="DateChar"/>
    <w:unhideWhenUsed/>
    <w:rsid w:val="007B76AB"/>
    <w:rPr>
      <w:rFonts w:ascii="Arial" w:hAnsi="Arial"/>
    </w:rPr>
  </w:style>
  <w:style w:type="character" w:customStyle="1" w:styleId="DateChar">
    <w:name w:val="Date Char"/>
    <w:basedOn w:val="DefaultParagraphFont"/>
    <w:link w:val="Date"/>
    <w:rsid w:val="007B76AB"/>
    <w:rPr>
      <w:rFonts w:ascii="Arial" w:hAnsi="Arial"/>
      <w:sz w:val="24"/>
      <w:szCs w:val="24"/>
      <w:lang w:val="en-US" w:eastAsia="en-US"/>
    </w:rPr>
  </w:style>
  <w:style w:type="character" w:styleId="Strong">
    <w:name w:val="Strong"/>
    <w:qFormat/>
    <w:rsid w:val="007B76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FE478E"/>
    <w:pPr>
      <w:keepNext/>
      <w:outlineLvl w:val="0"/>
    </w:pPr>
    <w:rPr>
      <w:rFonts w:ascii="Arial" w:hAnsi="Arial"/>
      <w:b/>
      <w:bCs/>
      <w:sz w:val="16"/>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aliases w:val="Page#"/>
    <w:basedOn w:val="Normal"/>
    <w:link w:val="HeaderChar"/>
    <w:rsid w:val="00A550FC"/>
    <w:pPr>
      <w:tabs>
        <w:tab w:val="center" w:pos="4320"/>
        <w:tab w:val="right" w:pos="8640"/>
      </w:tabs>
    </w:pPr>
  </w:style>
  <w:style w:type="paragraph" w:styleId="Footer">
    <w:name w:val="footer"/>
    <w:basedOn w:val="Normal"/>
    <w:link w:val="FooterChar"/>
    <w:uiPriority w:val="99"/>
    <w:rsid w:val="00A550FC"/>
    <w:pPr>
      <w:tabs>
        <w:tab w:val="center" w:pos="4320"/>
        <w:tab w:val="right" w:pos="8640"/>
      </w:tabs>
    </w:p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link w:val="PartiesCounselAgentChar"/>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link w:val="DecisionBodyChar"/>
    <w:autoRedefine/>
    <w:rsid w:val="00CF3536"/>
    <w:pPr>
      <w:widowControl w:val="0"/>
      <w:numPr>
        <w:numId w:val="11"/>
      </w:numPr>
      <w:spacing w:before="120" w:after="120" w:line="360" w:lineRule="auto"/>
      <w:ind w:left="0" w:firstLine="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Page# Char"/>
    <w:link w:val="Header"/>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paragraph" w:customStyle="1" w:styleId="StyleofClause">
    <w:name w:val="StyleofClause"/>
    <w:basedOn w:val="PartiesCounselAgent"/>
    <w:autoRedefine/>
    <w:rsid w:val="004F3A2E"/>
    <w:pPr>
      <w:ind w:left="2147"/>
      <w:jc w:val="both"/>
    </w:pPr>
  </w:style>
  <w:style w:type="paragraph" w:customStyle="1" w:styleId="ombquote">
    <w:name w:val="omb quote"/>
    <w:basedOn w:val="DecisionBody"/>
    <w:link w:val="ombquoteChar"/>
    <w:qFormat/>
    <w:rsid w:val="00CF3536"/>
    <w:pPr>
      <w:numPr>
        <w:numId w:val="0"/>
      </w:numPr>
      <w:spacing w:line="240" w:lineRule="auto"/>
      <w:ind w:left="1440"/>
    </w:pPr>
    <w:rPr>
      <w:rFonts w:cs="Arial"/>
      <w:sz w:val="20"/>
      <w:szCs w:val="20"/>
    </w:rPr>
  </w:style>
  <w:style w:type="character" w:customStyle="1" w:styleId="PartiesCounselAgentChar">
    <w:name w:val="Parties/Counsel*/Agent Char"/>
    <w:basedOn w:val="DefaultParagraphFont"/>
    <w:link w:val="PartiesCounselAgent"/>
    <w:rsid w:val="00CF3536"/>
    <w:rPr>
      <w:rFonts w:ascii="Arial" w:hAnsi="Arial"/>
      <w:sz w:val="24"/>
      <w:szCs w:val="24"/>
      <w:lang w:eastAsia="en-US"/>
    </w:rPr>
  </w:style>
  <w:style w:type="character" w:customStyle="1" w:styleId="DecisionBodyChar">
    <w:name w:val="DecisionBody Char"/>
    <w:basedOn w:val="PartiesCounselAgentChar"/>
    <w:link w:val="DecisionBody"/>
    <w:rsid w:val="00CF3536"/>
    <w:rPr>
      <w:rFonts w:ascii="Arial" w:hAnsi="Arial"/>
      <w:bCs/>
      <w:sz w:val="24"/>
      <w:szCs w:val="24"/>
      <w:lang w:eastAsia="en-US"/>
    </w:rPr>
  </w:style>
  <w:style w:type="character" w:customStyle="1" w:styleId="ombquoteChar">
    <w:name w:val="omb quote Char"/>
    <w:basedOn w:val="DecisionBodyChar"/>
    <w:link w:val="ombquote"/>
    <w:rsid w:val="00CF3536"/>
    <w:rPr>
      <w:rFonts w:ascii="Arial" w:hAnsi="Arial" w:cs="Arial"/>
      <w:bCs/>
      <w:sz w:val="24"/>
      <w:szCs w:val="24"/>
      <w:lang w:eastAsia="en-US"/>
    </w:rPr>
  </w:style>
  <w:style w:type="paragraph" w:styleId="Date">
    <w:name w:val="Date"/>
    <w:basedOn w:val="Normal"/>
    <w:next w:val="Normal"/>
    <w:link w:val="DateChar"/>
    <w:unhideWhenUsed/>
    <w:rsid w:val="007B76AB"/>
    <w:rPr>
      <w:rFonts w:ascii="Arial" w:hAnsi="Arial"/>
    </w:rPr>
  </w:style>
  <w:style w:type="character" w:customStyle="1" w:styleId="DateChar">
    <w:name w:val="Date Char"/>
    <w:basedOn w:val="DefaultParagraphFont"/>
    <w:link w:val="Date"/>
    <w:rsid w:val="007B76AB"/>
    <w:rPr>
      <w:rFonts w:ascii="Arial" w:hAnsi="Arial"/>
      <w:sz w:val="24"/>
      <w:szCs w:val="24"/>
      <w:lang w:val="en-US" w:eastAsia="en-US"/>
    </w:rPr>
  </w:style>
  <w:style w:type="character" w:styleId="Strong">
    <w:name w:val="Strong"/>
    <w:qFormat/>
    <w:rsid w:val="007B7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2144</Words>
  <Characters>11388</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2018-05-14T14:38:00Z</cp:lastPrinted>
  <dcterms:created xsi:type="dcterms:W3CDTF">2018-05-14T14:16:00Z</dcterms:created>
  <dcterms:modified xsi:type="dcterms:W3CDTF">2018-05-14T14:38:00Z</dcterms:modified>
</cp:coreProperties>
</file>