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DE0" w:rsidRPr="0074642F" w:rsidRDefault="001D7F7E">
      <w:pPr>
        <w:framePr w:w="6624" w:h="2059" w:hRule="exact" w:wrap="around" w:vAnchor="page" w:hAnchor="page" w:x="2708" w:y="649"/>
        <w:jc w:val="center"/>
        <w:rPr>
          <w:lang w:val="en-CA"/>
        </w:rPr>
      </w:pPr>
      <w:bookmarkStart w:id="0" w:name="_GoBack"/>
      <w:bookmarkEnd w:id="0"/>
      <w:r>
        <w:rPr>
          <w:noProof/>
          <w:lang w:val="en-CA" w:eastAsia="en-CA"/>
        </w:rPr>
        <w:drawing>
          <wp:inline distT="0" distB="0" distL="0" distR="0">
            <wp:extent cx="923925" cy="962025"/>
            <wp:effectExtent l="0" t="0" r="9525" b="9525"/>
            <wp:docPr id="2" name="Picture 2" descr="Ontario Coat of Arms&#10;Ontario Municipal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tario Coat of Arms&#10;Ontario Municipal Boa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62025"/>
                    </a:xfrm>
                    <a:prstGeom prst="rect">
                      <a:avLst/>
                    </a:prstGeom>
                    <a:noFill/>
                    <a:ln>
                      <a:noFill/>
                    </a:ln>
                  </pic:spPr>
                </pic:pic>
              </a:graphicData>
            </a:graphic>
          </wp:inline>
        </w:drawing>
      </w:r>
    </w:p>
    <w:p w:rsidR="00103DE0" w:rsidRPr="001A77ED" w:rsidRDefault="00103DE0">
      <w:pPr>
        <w:framePr w:w="6624" w:h="2059" w:hRule="exact" w:wrap="around" w:vAnchor="page" w:hAnchor="page" w:x="2708" w:y="649"/>
        <w:jc w:val="center"/>
        <w:rPr>
          <w:rFonts w:ascii="Arial" w:hAnsi="Arial" w:cs="Arial"/>
          <w:lang w:val="fr-CA"/>
        </w:rPr>
      </w:pPr>
      <w:r w:rsidRPr="001A77ED">
        <w:rPr>
          <w:rFonts w:ascii="Arial" w:hAnsi="Arial" w:cs="Arial"/>
          <w:lang w:val="fr-CA"/>
        </w:rPr>
        <w:t>Ontario Municipal Board</w:t>
      </w:r>
    </w:p>
    <w:p w:rsidR="00103DE0" w:rsidRPr="001A77ED" w:rsidRDefault="00103DE0">
      <w:pPr>
        <w:framePr w:w="6624" w:h="2059" w:hRule="exact" w:wrap="around" w:vAnchor="page" w:hAnchor="page" w:x="2708" w:y="649"/>
        <w:jc w:val="center"/>
        <w:rPr>
          <w:lang w:val="fr-CA"/>
        </w:rPr>
      </w:pPr>
      <w:r w:rsidRPr="001A77ED">
        <w:rPr>
          <w:rFonts w:ascii="Arial" w:hAnsi="Arial" w:cs="Arial"/>
          <w:lang w:val="fr-CA"/>
        </w:rPr>
        <w:t>Commission des affaires municipales de l’Ontario</w:t>
      </w:r>
    </w:p>
    <w:p w:rsidR="00103DE0" w:rsidRPr="0074642F" w:rsidRDefault="00103DE0">
      <w:pPr>
        <w:framePr w:w="1963" w:h="1260" w:hSpace="180" w:wrap="around" w:vAnchor="text" w:hAnchor="page" w:x="1630" w:y="-895"/>
        <w:pBdr>
          <w:top w:val="single" w:sz="8" w:space="7" w:color="000000"/>
          <w:left w:val="single" w:sz="8" w:space="7" w:color="000000"/>
          <w:bottom w:val="single" w:sz="8" w:space="7" w:color="000000"/>
          <w:right w:val="single" w:sz="8" w:space="7" w:color="000000"/>
        </w:pBdr>
        <w:shd w:val="solid" w:color="FFFFFF" w:fill="FFFFFF"/>
        <w:rPr>
          <w:rFonts w:ascii="Arial" w:hAnsi="Arial" w:cs="Arial"/>
          <w:color w:val="000000"/>
          <w:sz w:val="18"/>
          <w:lang w:val="en-CA"/>
        </w:rPr>
      </w:pPr>
      <w:r w:rsidRPr="0074642F">
        <w:rPr>
          <w:rFonts w:ascii="Arial" w:hAnsi="Arial" w:cs="Arial"/>
          <w:sz w:val="18"/>
          <w:lang w:val="en-CA"/>
        </w:rPr>
        <w:fldChar w:fldCharType="begin"/>
      </w:r>
      <w:r w:rsidRPr="0074642F">
        <w:rPr>
          <w:rFonts w:ascii="Arial" w:hAnsi="Arial" w:cs="Arial"/>
          <w:sz w:val="18"/>
          <w:lang w:val="en-CA"/>
        </w:rPr>
        <w:instrText xml:space="preserve"> SEQ CHAPTER \h \r 1</w:instrText>
      </w:r>
      <w:r w:rsidRPr="0074642F">
        <w:rPr>
          <w:rFonts w:ascii="Arial" w:hAnsi="Arial" w:cs="Arial"/>
          <w:sz w:val="18"/>
          <w:lang w:val="en-CA"/>
        </w:rPr>
        <w:fldChar w:fldCharType="end"/>
      </w:r>
      <w:r w:rsidRPr="0074642F">
        <w:rPr>
          <w:rFonts w:ascii="Arial" w:hAnsi="Arial" w:cs="Arial"/>
          <w:color w:val="000000"/>
          <w:sz w:val="18"/>
          <w:szCs w:val="18"/>
          <w:lang w:val="en-CA"/>
        </w:rPr>
        <w:t>ISSUE DATE</w:t>
      </w:r>
      <w:r w:rsidRPr="0074642F">
        <w:rPr>
          <w:rFonts w:ascii="Arial" w:hAnsi="Arial" w:cs="Arial"/>
          <w:color w:val="000000"/>
          <w:sz w:val="18"/>
          <w:lang w:val="en-CA"/>
        </w:rPr>
        <w:t>:</w:t>
      </w:r>
    </w:p>
    <w:p w:rsidR="00103DE0" w:rsidRDefault="00103DE0">
      <w:pPr>
        <w:pStyle w:val="Header"/>
        <w:framePr w:w="1963" w:h="1260" w:hSpace="180" w:wrap="around" w:vAnchor="text" w:hAnchor="page" w:x="1630" w:y="-895"/>
        <w:pBdr>
          <w:top w:val="single" w:sz="8" w:space="7" w:color="000000"/>
          <w:left w:val="single" w:sz="8" w:space="7" w:color="000000"/>
          <w:bottom w:val="single" w:sz="8" w:space="7" w:color="000000"/>
          <w:right w:val="single" w:sz="8" w:space="7" w:color="000000"/>
        </w:pBdr>
        <w:shd w:val="solid" w:color="FFFFFF" w:fill="FFFFFF"/>
        <w:spacing w:before="120" w:after="120"/>
        <w:jc w:val="center"/>
      </w:pPr>
    </w:p>
    <w:p w:rsidR="009F2BC0" w:rsidRPr="0074642F" w:rsidRDefault="009F2BC0">
      <w:pPr>
        <w:pStyle w:val="Header"/>
        <w:framePr w:w="1963" w:h="1260" w:hSpace="180" w:wrap="around" w:vAnchor="text" w:hAnchor="page" w:x="1630" w:y="-895"/>
        <w:pBdr>
          <w:top w:val="single" w:sz="8" w:space="7" w:color="000000"/>
          <w:left w:val="single" w:sz="8" w:space="7" w:color="000000"/>
          <w:bottom w:val="single" w:sz="8" w:space="7" w:color="000000"/>
          <w:right w:val="single" w:sz="8" w:space="7" w:color="000000"/>
        </w:pBdr>
        <w:shd w:val="solid" w:color="FFFFFF" w:fill="FFFFFF"/>
        <w:spacing w:before="120" w:after="120"/>
        <w:jc w:val="center"/>
      </w:pPr>
      <w:r>
        <w:t>April 16, 2012</w:t>
      </w:r>
    </w:p>
    <w:p w:rsidR="00103DE0" w:rsidRPr="0074642F" w:rsidRDefault="00103DE0">
      <w:pPr>
        <w:pStyle w:val="Header"/>
        <w:framePr w:w="1963" w:h="1260" w:hSpace="180" w:wrap="around" w:vAnchor="text" w:hAnchor="page" w:x="1630" w:y="-895"/>
        <w:pBdr>
          <w:top w:val="single" w:sz="8" w:space="7" w:color="000000"/>
          <w:left w:val="single" w:sz="8" w:space="7" w:color="000000"/>
          <w:bottom w:val="single" w:sz="8" w:space="7" w:color="000000"/>
          <w:right w:val="single" w:sz="8" w:space="7" w:color="000000"/>
        </w:pBdr>
        <w:shd w:val="solid" w:color="FFFFFF" w:fill="FFFFFF"/>
        <w:jc w:val="center"/>
      </w:pPr>
    </w:p>
    <w:p w:rsidR="00103DE0" w:rsidRPr="0074642F" w:rsidRDefault="00103DE0" w:rsidP="00AA4455">
      <w:pPr>
        <w:pStyle w:val="CaseNo"/>
        <w:rPr>
          <w:color w:val="000000"/>
        </w:rPr>
      </w:pPr>
      <w:r w:rsidRPr="0074642F">
        <w:fldChar w:fldCharType="begin"/>
      </w:r>
      <w:r w:rsidRPr="0074642F">
        <w:instrText xml:space="preserve"> SEQ CHAPTER \h \r 1</w:instrText>
      </w:r>
      <w:r w:rsidRPr="0074642F">
        <w:fldChar w:fldCharType="end"/>
      </w:r>
      <w:r w:rsidRPr="0074642F">
        <w:t xml:space="preserve"> </w:t>
      </w:r>
      <w:bookmarkStart w:id="1" w:name="Case"/>
      <w:r w:rsidR="00740237">
        <w:t>PL1</w:t>
      </w:r>
      <w:bookmarkEnd w:id="1"/>
      <w:r w:rsidR="00312DFE">
        <w:t>10837</w:t>
      </w:r>
    </w:p>
    <w:p w:rsidR="00103DE0" w:rsidRPr="0074642F" w:rsidRDefault="00103DE0">
      <w:pPr>
        <w:ind w:left="2880"/>
        <w:jc w:val="right"/>
        <w:rPr>
          <w:rFonts w:ascii="Arial" w:hAnsi="Arial" w:cs="Arial"/>
          <w:color w:val="000000"/>
          <w:lang w:val="en-CA"/>
        </w:rPr>
      </w:pPr>
    </w:p>
    <w:p w:rsidR="00103DE0" w:rsidRPr="0074642F" w:rsidRDefault="00103DE0">
      <w:pPr>
        <w:pStyle w:val="DefaultParagraphFontnew"/>
      </w:pPr>
    </w:p>
    <w:p w:rsidR="00103DE0" w:rsidRPr="0074642F" w:rsidRDefault="00103DE0">
      <w:pPr>
        <w:pStyle w:val="Header"/>
      </w:pPr>
    </w:p>
    <w:p w:rsidR="00103DE0" w:rsidRPr="0074642F" w:rsidRDefault="00103DE0">
      <w:pPr>
        <w:pStyle w:val="StyleofClause"/>
      </w:pPr>
    </w:p>
    <w:p w:rsidR="00103DE0" w:rsidRPr="0074642F" w:rsidRDefault="00103DE0">
      <w:pPr>
        <w:pStyle w:val="StyleofClause"/>
      </w:pPr>
    </w:p>
    <w:p w:rsidR="00224CC1" w:rsidRDefault="00224CC1" w:rsidP="00224CC1">
      <w:pPr>
        <w:rPr>
          <w:rFonts w:ascii="Arial" w:hAnsi="Arial" w:cs="Arial"/>
          <w:sz w:val="22"/>
        </w:rPr>
      </w:pPr>
    </w:p>
    <w:p w:rsidR="00224CC1" w:rsidRDefault="00224CC1" w:rsidP="00224CC1">
      <w:pPr>
        <w:rPr>
          <w:rFonts w:ascii="Arial" w:hAnsi="Arial" w:cs="Arial"/>
          <w:sz w:val="22"/>
          <w:szCs w:val="22"/>
        </w:rPr>
      </w:pPr>
      <w:r w:rsidRPr="00A16A89">
        <w:rPr>
          <w:rFonts w:ascii="Arial" w:hAnsi="Arial" w:cs="Arial"/>
          <w:sz w:val="22"/>
          <w:szCs w:val="22"/>
        </w:rPr>
        <w:t xml:space="preserve">IN THE MATTER OF subsection 53(19) of the </w:t>
      </w:r>
      <w:r w:rsidRPr="00A16A89">
        <w:rPr>
          <w:rFonts w:ascii="Arial" w:hAnsi="Arial" w:cs="Arial"/>
          <w:i/>
          <w:iCs/>
          <w:sz w:val="22"/>
          <w:szCs w:val="22"/>
        </w:rPr>
        <w:t>Planning Act</w:t>
      </w:r>
      <w:r w:rsidRPr="00A16A89">
        <w:rPr>
          <w:rFonts w:ascii="Arial" w:hAnsi="Arial" w:cs="Arial"/>
          <w:sz w:val="22"/>
          <w:szCs w:val="22"/>
        </w:rPr>
        <w:t xml:space="preserve">, R.S.O. 1990, c. P. 13, as </w:t>
      </w:r>
    </w:p>
    <w:p w:rsidR="00224CC1" w:rsidRPr="00A16A89" w:rsidRDefault="00224CC1" w:rsidP="00224CC1">
      <w:pPr>
        <w:rPr>
          <w:rFonts w:ascii="Arial" w:hAnsi="Arial" w:cs="Arial"/>
          <w:sz w:val="22"/>
          <w:szCs w:val="22"/>
        </w:rPr>
      </w:pPr>
      <w:r w:rsidRPr="00255A4B">
        <w:rPr>
          <w:rFonts w:ascii="Arial" w:hAnsi="Arial" w:cs="Arial"/>
          <w:sz w:val="22"/>
          <w:szCs w:val="22"/>
          <w:lang w:val="en-CA"/>
        </w:rPr>
        <w:t>amended</w:t>
      </w:r>
    </w:p>
    <w:p w:rsidR="00224CC1" w:rsidRPr="00A16A89" w:rsidRDefault="00224CC1" w:rsidP="00224CC1">
      <w:pPr>
        <w:rPr>
          <w:rFonts w:ascii="Arial" w:hAnsi="Arial" w:cs="Arial"/>
          <w:sz w:val="22"/>
          <w:szCs w:val="22"/>
        </w:rPr>
      </w:pPr>
    </w:p>
    <w:tbl>
      <w:tblPr>
        <w:tblW w:w="0" w:type="auto"/>
        <w:tblBorders>
          <w:top w:val="nil"/>
          <w:left w:val="nil"/>
          <w:bottom w:val="nil"/>
          <w:right w:val="nil"/>
          <w:insideH w:val="nil"/>
          <w:insideV w:val="nil"/>
        </w:tblBorders>
        <w:tblLook w:val="00A0" w:firstRow="1" w:lastRow="0" w:firstColumn="1" w:lastColumn="0" w:noHBand="0" w:noVBand="0"/>
      </w:tblPr>
      <w:tblGrid>
        <w:gridCol w:w="3277"/>
        <w:gridCol w:w="5579"/>
      </w:tblGrid>
      <w:tr w:rsidR="00224CC1" w:rsidRPr="00A16A89" w:rsidTr="00096611">
        <w:tc>
          <w:tcPr>
            <w:tcW w:w="3277" w:type="dxa"/>
          </w:tcPr>
          <w:p w:rsidR="00224CC1" w:rsidRPr="00A16A89" w:rsidRDefault="00224CC1" w:rsidP="00096611">
            <w:pPr>
              <w:rPr>
                <w:rFonts w:ascii="Arial" w:hAnsi="Arial" w:cs="Arial"/>
                <w:sz w:val="22"/>
                <w:szCs w:val="22"/>
              </w:rPr>
            </w:pPr>
            <w:r w:rsidRPr="00A16A89">
              <w:rPr>
                <w:rFonts w:ascii="Arial" w:hAnsi="Arial" w:cs="Arial"/>
                <w:sz w:val="22"/>
                <w:szCs w:val="22"/>
              </w:rPr>
              <w:t>Appellant:</w:t>
            </w:r>
          </w:p>
        </w:tc>
        <w:tc>
          <w:tcPr>
            <w:tcW w:w="5579" w:type="dxa"/>
          </w:tcPr>
          <w:p w:rsidR="00224CC1" w:rsidRPr="00A16A89" w:rsidRDefault="00224CC1" w:rsidP="00096611">
            <w:pPr>
              <w:rPr>
                <w:rFonts w:ascii="Arial" w:hAnsi="Arial" w:cs="Arial"/>
                <w:sz w:val="22"/>
                <w:szCs w:val="22"/>
              </w:rPr>
            </w:pPr>
            <w:r>
              <w:rPr>
                <w:rFonts w:ascii="Arial" w:hAnsi="Arial" w:cs="Arial"/>
                <w:sz w:val="22"/>
                <w:szCs w:val="22"/>
              </w:rPr>
              <w:t>Anthony Hurst</w:t>
            </w:r>
          </w:p>
        </w:tc>
      </w:tr>
      <w:tr w:rsidR="00224CC1" w:rsidRPr="00A16A89" w:rsidTr="00096611">
        <w:tc>
          <w:tcPr>
            <w:tcW w:w="3277" w:type="dxa"/>
          </w:tcPr>
          <w:p w:rsidR="00224CC1" w:rsidRPr="00A16A89" w:rsidRDefault="00224CC1" w:rsidP="00096611">
            <w:pPr>
              <w:rPr>
                <w:rFonts w:ascii="Arial" w:hAnsi="Arial" w:cs="Arial"/>
                <w:sz w:val="22"/>
                <w:szCs w:val="22"/>
              </w:rPr>
            </w:pPr>
            <w:r>
              <w:rPr>
                <w:rFonts w:ascii="Arial" w:hAnsi="Arial" w:cs="Arial"/>
                <w:sz w:val="22"/>
                <w:szCs w:val="22"/>
              </w:rPr>
              <w:t>Appellant:</w:t>
            </w:r>
          </w:p>
        </w:tc>
        <w:tc>
          <w:tcPr>
            <w:tcW w:w="5579" w:type="dxa"/>
          </w:tcPr>
          <w:p w:rsidR="00224CC1" w:rsidRPr="00A16A89" w:rsidRDefault="00224CC1" w:rsidP="00096611">
            <w:pPr>
              <w:rPr>
                <w:rFonts w:ascii="Arial" w:hAnsi="Arial" w:cs="Arial"/>
                <w:sz w:val="22"/>
                <w:szCs w:val="22"/>
              </w:rPr>
            </w:pPr>
            <w:r>
              <w:rPr>
                <w:rFonts w:ascii="Arial" w:hAnsi="Arial" w:cs="Arial"/>
                <w:sz w:val="22"/>
                <w:szCs w:val="22"/>
              </w:rPr>
              <w:t>William Roebuck</w:t>
            </w:r>
          </w:p>
        </w:tc>
      </w:tr>
      <w:tr w:rsidR="00224CC1" w:rsidRPr="00A16A89" w:rsidTr="00096611">
        <w:tc>
          <w:tcPr>
            <w:tcW w:w="3277" w:type="dxa"/>
          </w:tcPr>
          <w:p w:rsidR="00224CC1" w:rsidRPr="00A16A89" w:rsidRDefault="00224CC1" w:rsidP="00096611">
            <w:pPr>
              <w:rPr>
                <w:rFonts w:ascii="Arial" w:hAnsi="Arial" w:cs="Arial"/>
                <w:sz w:val="22"/>
                <w:szCs w:val="22"/>
              </w:rPr>
            </w:pPr>
            <w:r w:rsidRPr="00A16A89">
              <w:rPr>
                <w:rFonts w:ascii="Arial" w:hAnsi="Arial" w:cs="Arial"/>
                <w:sz w:val="22"/>
                <w:szCs w:val="22"/>
              </w:rPr>
              <w:t>Applicant:</w:t>
            </w:r>
          </w:p>
        </w:tc>
        <w:tc>
          <w:tcPr>
            <w:tcW w:w="5579" w:type="dxa"/>
          </w:tcPr>
          <w:p w:rsidR="00224CC1" w:rsidRPr="00A16A89" w:rsidRDefault="00224CC1" w:rsidP="00096611">
            <w:pPr>
              <w:rPr>
                <w:rFonts w:ascii="Arial" w:hAnsi="Arial" w:cs="Arial"/>
                <w:sz w:val="22"/>
                <w:szCs w:val="22"/>
              </w:rPr>
            </w:pPr>
            <w:r>
              <w:rPr>
                <w:rFonts w:ascii="Arial" w:hAnsi="Arial" w:cs="Arial"/>
                <w:sz w:val="22"/>
                <w:szCs w:val="22"/>
              </w:rPr>
              <w:t>166968</w:t>
            </w:r>
            <w:r w:rsidR="00312DFE">
              <w:rPr>
                <w:rFonts w:ascii="Arial" w:hAnsi="Arial" w:cs="Arial"/>
                <w:sz w:val="22"/>
                <w:szCs w:val="22"/>
              </w:rPr>
              <w:t>2 Ontario Ltd.</w:t>
            </w:r>
          </w:p>
        </w:tc>
      </w:tr>
      <w:tr w:rsidR="00224CC1" w:rsidRPr="00A16A89" w:rsidTr="00096611">
        <w:tc>
          <w:tcPr>
            <w:tcW w:w="3277" w:type="dxa"/>
          </w:tcPr>
          <w:p w:rsidR="00224CC1" w:rsidRPr="00A16A89" w:rsidRDefault="00224CC1" w:rsidP="00096611">
            <w:pPr>
              <w:rPr>
                <w:rFonts w:ascii="Arial" w:hAnsi="Arial" w:cs="Arial"/>
                <w:sz w:val="22"/>
                <w:szCs w:val="22"/>
              </w:rPr>
            </w:pPr>
            <w:r w:rsidRPr="00A16A89">
              <w:rPr>
                <w:rFonts w:ascii="Arial" w:hAnsi="Arial" w:cs="Arial"/>
                <w:sz w:val="22"/>
                <w:szCs w:val="22"/>
              </w:rPr>
              <w:t>Subject:</w:t>
            </w:r>
          </w:p>
        </w:tc>
        <w:tc>
          <w:tcPr>
            <w:tcW w:w="5579" w:type="dxa"/>
          </w:tcPr>
          <w:p w:rsidR="00224CC1" w:rsidRPr="00A16A89" w:rsidRDefault="00224CC1" w:rsidP="00096611">
            <w:pPr>
              <w:rPr>
                <w:rFonts w:ascii="Arial" w:hAnsi="Arial" w:cs="Arial"/>
                <w:sz w:val="22"/>
                <w:szCs w:val="22"/>
              </w:rPr>
            </w:pPr>
            <w:r w:rsidRPr="00A16A89">
              <w:rPr>
                <w:rFonts w:ascii="Arial" w:hAnsi="Arial" w:cs="Arial"/>
                <w:sz w:val="22"/>
                <w:szCs w:val="22"/>
              </w:rPr>
              <w:t>Consent to sever</w:t>
            </w:r>
          </w:p>
        </w:tc>
      </w:tr>
      <w:tr w:rsidR="00224CC1" w:rsidRPr="00A16A89" w:rsidTr="00096611">
        <w:tc>
          <w:tcPr>
            <w:tcW w:w="3277" w:type="dxa"/>
          </w:tcPr>
          <w:p w:rsidR="00224CC1" w:rsidRPr="00A16A89" w:rsidRDefault="00224CC1" w:rsidP="00096611">
            <w:pPr>
              <w:rPr>
                <w:rFonts w:ascii="Arial" w:hAnsi="Arial" w:cs="Arial"/>
                <w:sz w:val="22"/>
                <w:szCs w:val="22"/>
              </w:rPr>
            </w:pPr>
            <w:r w:rsidRPr="00A16A89">
              <w:rPr>
                <w:rFonts w:ascii="Arial" w:hAnsi="Arial" w:cs="Arial"/>
                <w:sz w:val="22"/>
                <w:szCs w:val="22"/>
              </w:rPr>
              <w:t>Property Address/Description:</w:t>
            </w:r>
          </w:p>
        </w:tc>
        <w:tc>
          <w:tcPr>
            <w:tcW w:w="5579" w:type="dxa"/>
          </w:tcPr>
          <w:p w:rsidR="00224CC1" w:rsidRPr="00A16A89" w:rsidRDefault="00224CC1" w:rsidP="00096611">
            <w:pPr>
              <w:rPr>
                <w:rFonts w:ascii="Arial" w:hAnsi="Arial" w:cs="Arial"/>
                <w:sz w:val="22"/>
                <w:szCs w:val="22"/>
              </w:rPr>
            </w:pPr>
            <w:r>
              <w:rPr>
                <w:rFonts w:ascii="Arial" w:hAnsi="Arial" w:cs="Arial"/>
                <w:sz w:val="22"/>
                <w:szCs w:val="22"/>
              </w:rPr>
              <w:t>196 Governor’s Road</w:t>
            </w:r>
          </w:p>
        </w:tc>
      </w:tr>
      <w:tr w:rsidR="00224CC1" w:rsidRPr="00A16A89" w:rsidTr="00096611">
        <w:tc>
          <w:tcPr>
            <w:tcW w:w="3277" w:type="dxa"/>
          </w:tcPr>
          <w:p w:rsidR="00224CC1" w:rsidRPr="00A16A89" w:rsidRDefault="00224CC1" w:rsidP="00096611">
            <w:pPr>
              <w:rPr>
                <w:rFonts w:ascii="Arial" w:hAnsi="Arial" w:cs="Arial"/>
                <w:sz w:val="22"/>
                <w:szCs w:val="22"/>
              </w:rPr>
            </w:pPr>
            <w:r w:rsidRPr="00A16A89">
              <w:rPr>
                <w:rFonts w:ascii="Arial" w:hAnsi="Arial" w:cs="Arial"/>
                <w:sz w:val="22"/>
                <w:szCs w:val="22"/>
              </w:rPr>
              <w:t>Municipality:</w:t>
            </w:r>
          </w:p>
        </w:tc>
        <w:tc>
          <w:tcPr>
            <w:tcW w:w="5579" w:type="dxa"/>
          </w:tcPr>
          <w:p w:rsidR="00224CC1" w:rsidRPr="00A16A89" w:rsidRDefault="00224CC1" w:rsidP="00096611">
            <w:pPr>
              <w:rPr>
                <w:rFonts w:ascii="Arial" w:hAnsi="Arial" w:cs="Arial"/>
                <w:sz w:val="22"/>
                <w:szCs w:val="22"/>
              </w:rPr>
            </w:pPr>
            <w:r>
              <w:rPr>
                <w:rFonts w:ascii="Arial" w:hAnsi="Arial" w:cs="Arial"/>
                <w:sz w:val="22"/>
                <w:szCs w:val="22"/>
              </w:rPr>
              <w:t xml:space="preserve">City of </w:t>
            </w:r>
            <w:smartTag w:uri="urn:schemas-microsoft-com:office:smarttags" w:element="place">
              <w:smartTag w:uri="urn:schemas-microsoft-com:office:smarttags" w:element="City">
                <w:r>
                  <w:rPr>
                    <w:rFonts w:ascii="Arial" w:hAnsi="Arial" w:cs="Arial"/>
                    <w:sz w:val="22"/>
                    <w:szCs w:val="22"/>
                  </w:rPr>
                  <w:t>Hamilton</w:t>
                </w:r>
              </w:smartTag>
            </w:smartTag>
          </w:p>
        </w:tc>
      </w:tr>
      <w:tr w:rsidR="00224CC1" w:rsidRPr="00A16A89" w:rsidTr="00096611">
        <w:tc>
          <w:tcPr>
            <w:tcW w:w="3277" w:type="dxa"/>
          </w:tcPr>
          <w:p w:rsidR="00224CC1" w:rsidRPr="00A16A89" w:rsidRDefault="00224CC1" w:rsidP="00096611">
            <w:pPr>
              <w:rPr>
                <w:rFonts w:ascii="Arial" w:hAnsi="Arial" w:cs="Arial"/>
                <w:sz w:val="22"/>
                <w:szCs w:val="22"/>
              </w:rPr>
            </w:pPr>
            <w:r w:rsidRPr="00A16A89">
              <w:rPr>
                <w:rFonts w:ascii="Arial" w:hAnsi="Arial" w:cs="Arial"/>
                <w:sz w:val="22"/>
                <w:szCs w:val="22"/>
              </w:rPr>
              <w:t>Municipal File No.:</w:t>
            </w:r>
          </w:p>
        </w:tc>
        <w:tc>
          <w:tcPr>
            <w:tcW w:w="5579" w:type="dxa"/>
          </w:tcPr>
          <w:p w:rsidR="00224CC1" w:rsidRPr="00A16A89" w:rsidRDefault="00224CC1" w:rsidP="00096611">
            <w:pPr>
              <w:rPr>
                <w:rFonts w:ascii="Arial" w:hAnsi="Arial" w:cs="Arial"/>
                <w:sz w:val="22"/>
                <w:szCs w:val="22"/>
              </w:rPr>
            </w:pPr>
            <w:r>
              <w:rPr>
                <w:rFonts w:ascii="Arial" w:hAnsi="Arial" w:cs="Arial"/>
                <w:sz w:val="22"/>
                <w:szCs w:val="22"/>
              </w:rPr>
              <w:t>B-41/11</w:t>
            </w:r>
          </w:p>
        </w:tc>
      </w:tr>
      <w:tr w:rsidR="00224CC1" w:rsidRPr="00A16A89" w:rsidTr="00096611">
        <w:tc>
          <w:tcPr>
            <w:tcW w:w="3277" w:type="dxa"/>
          </w:tcPr>
          <w:p w:rsidR="00224CC1" w:rsidRPr="00A16A89" w:rsidRDefault="00224CC1" w:rsidP="00096611">
            <w:pPr>
              <w:rPr>
                <w:rFonts w:ascii="Arial" w:hAnsi="Arial" w:cs="Arial"/>
                <w:sz w:val="22"/>
                <w:szCs w:val="22"/>
              </w:rPr>
            </w:pPr>
            <w:r w:rsidRPr="00A16A89">
              <w:rPr>
                <w:rFonts w:ascii="Arial" w:hAnsi="Arial" w:cs="Arial"/>
                <w:sz w:val="22"/>
                <w:szCs w:val="22"/>
              </w:rPr>
              <w:t>OMB Case No.:</w:t>
            </w:r>
          </w:p>
        </w:tc>
        <w:tc>
          <w:tcPr>
            <w:tcW w:w="5579" w:type="dxa"/>
          </w:tcPr>
          <w:p w:rsidR="00224CC1" w:rsidRPr="00A16A89" w:rsidRDefault="00224CC1" w:rsidP="00096611">
            <w:pPr>
              <w:rPr>
                <w:rFonts w:ascii="Arial" w:hAnsi="Arial" w:cs="Arial"/>
                <w:sz w:val="22"/>
                <w:szCs w:val="22"/>
              </w:rPr>
            </w:pPr>
            <w:r>
              <w:rPr>
                <w:rFonts w:ascii="Arial" w:hAnsi="Arial" w:cs="Arial"/>
                <w:sz w:val="22"/>
                <w:szCs w:val="22"/>
              </w:rPr>
              <w:t>PL110837</w:t>
            </w:r>
          </w:p>
        </w:tc>
      </w:tr>
      <w:tr w:rsidR="00224CC1" w:rsidRPr="00A16A89" w:rsidTr="00096611">
        <w:tc>
          <w:tcPr>
            <w:tcW w:w="3277" w:type="dxa"/>
          </w:tcPr>
          <w:p w:rsidR="00224CC1" w:rsidRPr="00A16A89" w:rsidRDefault="00224CC1" w:rsidP="00096611">
            <w:pPr>
              <w:rPr>
                <w:rFonts w:ascii="Arial" w:hAnsi="Arial" w:cs="Arial"/>
                <w:sz w:val="22"/>
                <w:szCs w:val="22"/>
              </w:rPr>
            </w:pPr>
            <w:r w:rsidRPr="00A16A89">
              <w:rPr>
                <w:rFonts w:ascii="Arial" w:hAnsi="Arial" w:cs="Arial"/>
                <w:sz w:val="22"/>
                <w:szCs w:val="22"/>
              </w:rPr>
              <w:t>OMB File No.:</w:t>
            </w:r>
          </w:p>
        </w:tc>
        <w:tc>
          <w:tcPr>
            <w:tcW w:w="5579" w:type="dxa"/>
          </w:tcPr>
          <w:p w:rsidR="00224CC1" w:rsidRPr="00A16A89" w:rsidRDefault="00224CC1" w:rsidP="00096611">
            <w:pPr>
              <w:rPr>
                <w:rFonts w:ascii="Arial" w:hAnsi="Arial" w:cs="Arial"/>
                <w:sz w:val="22"/>
                <w:szCs w:val="22"/>
              </w:rPr>
            </w:pPr>
            <w:r>
              <w:rPr>
                <w:rFonts w:ascii="Arial" w:hAnsi="Arial" w:cs="Arial"/>
                <w:sz w:val="22"/>
                <w:szCs w:val="22"/>
              </w:rPr>
              <w:t>PL110837</w:t>
            </w:r>
          </w:p>
        </w:tc>
      </w:tr>
    </w:tbl>
    <w:p w:rsidR="00224CC1" w:rsidRDefault="00224CC1" w:rsidP="00224CC1">
      <w:pPr>
        <w:rPr>
          <w:rFonts w:ascii="Arial" w:hAnsi="Arial" w:cs="Arial"/>
          <w:sz w:val="22"/>
        </w:rPr>
      </w:pPr>
    </w:p>
    <w:p w:rsidR="00224CC1" w:rsidRDefault="00224CC1" w:rsidP="00224CC1">
      <w:pPr>
        <w:rPr>
          <w:rFonts w:ascii="Arial" w:hAnsi="Arial" w:cs="Arial"/>
          <w:sz w:val="22"/>
        </w:rPr>
      </w:pPr>
    </w:p>
    <w:tbl>
      <w:tblPr>
        <w:tblW w:w="0" w:type="auto"/>
        <w:tblLook w:val="0000" w:firstRow="0" w:lastRow="0" w:firstColumn="0" w:lastColumn="0" w:noHBand="0" w:noVBand="0"/>
      </w:tblPr>
      <w:tblGrid>
        <w:gridCol w:w="3348"/>
        <w:gridCol w:w="5508"/>
      </w:tblGrid>
      <w:tr w:rsidR="00224CC1" w:rsidTr="00096611">
        <w:trPr>
          <w:cantSplit/>
          <w:trHeight w:val="732"/>
        </w:trPr>
        <w:tc>
          <w:tcPr>
            <w:tcW w:w="8856" w:type="dxa"/>
            <w:gridSpan w:val="2"/>
          </w:tcPr>
          <w:p w:rsidR="00224CC1" w:rsidRDefault="00224CC1" w:rsidP="00096611">
            <w:pPr>
              <w:rPr>
                <w:rFonts w:ascii="Arial" w:hAnsi="Arial" w:cs="Arial"/>
                <w:sz w:val="22"/>
              </w:rPr>
            </w:pPr>
            <w:r>
              <w:rPr>
                <w:rFonts w:ascii="Arial" w:hAnsi="Arial" w:cs="Arial"/>
                <w:sz w:val="22"/>
              </w:rPr>
              <w:t xml:space="preserve">IN THE MATTER OF subsection 45(12) of the </w:t>
            </w:r>
            <w:r w:rsidRPr="00A16A89">
              <w:rPr>
                <w:rFonts w:ascii="Arial" w:hAnsi="Arial" w:cs="Arial"/>
                <w:i/>
                <w:sz w:val="22"/>
              </w:rPr>
              <w:t>Planning Act</w:t>
            </w:r>
            <w:r>
              <w:rPr>
                <w:rFonts w:ascii="Arial" w:hAnsi="Arial" w:cs="Arial"/>
                <w:sz w:val="22"/>
              </w:rPr>
              <w:t>, R.S.O. 1990, c. P.13, as amended</w:t>
            </w:r>
          </w:p>
        </w:tc>
      </w:tr>
      <w:tr w:rsidR="00224CC1" w:rsidTr="00096611">
        <w:tc>
          <w:tcPr>
            <w:tcW w:w="3348" w:type="dxa"/>
          </w:tcPr>
          <w:p w:rsidR="00224CC1" w:rsidRDefault="00224CC1" w:rsidP="00096611">
            <w:pPr>
              <w:rPr>
                <w:rFonts w:ascii="Arial" w:hAnsi="Arial" w:cs="Arial"/>
                <w:sz w:val="22"/>
              </w:rPr>
            </w:pPr>
            <w:r>
              <w:rPr>
                <w:rFonts w:ascii="Arial" w:hAnsi="Arial" w:cs="Arial"/>
                <w:sz w:val="22"/>
              </w:rPr>
              <w:t>Appellant:</w:t>
            </w:r>
          </w:p>
        </w:tc>
        <w:tc>
          <w:tcPr>
            <w:tcW w:w="5508" w:type="dxa"/>
          </w:tcPr>
          <w:p w:rsidR="00224CC1" w:rsidRDefault="00224CC1" w:rsidP="00096611">
            <w:pPr>
              <w:rPr>
                <w:rFonts w:ascii="Arial" w:hAnsi="Arial" w:cs="Arial"/>
                <w:sz w:val="22"/>
              </w:rPr>
            </w:pPr>
            <w:r>
              <w:rPr>
                <w:rFonts w:ascii="Arial" w:hAnsi="Arial" w:cs="Arial"/>
                <w:sz w:val="22"/>
              </w:rPr>
              <w:t>Anthony Hurst</w:t>
            </w:r>
          </w:p>
        </w:tc>
      </w:tr>
      <w:tr w:rsidR="00224CC1" w:rsidTr="00096611">
        <w:tc>
          <w:tcPr>
            <w:tcW w:w="3348" w:type="dxa"/>
          </w:tcPr>
          <w:p w:rsidR="00224CC1" w:rsidRDefault="00224CC1" w:rsidP="00096611">
            <w:pPr>
              <w:rPr>
                <w:rFonts w:ascii="Arial" w:hAnsi="Arial" w:cs="Arial"/>
                <w:sz w:val="22"/>
              </w:rPr>
            </w:pPr>
            <w:r>
              <w:rPr>
                <w:rFonts w:ascii="Arial" w:hAnsi="Arial" w:cs="Arial"/>
                <w:sz w:val="22"/>
              </w:rPr>
              <w:t>Applicant:</w:t>
            </w:r>
          </w:p>
        </w:tc>
        <w:tc>
          <w:tcPr>
            <w:tcW w:w="5508" w:type="dxa"/>
          </w:tcPr>
          <w:p w:rsidR="00224CC1" w:rsidRPr="00312DFE" w:rsidRDefault="00224CC1" w:rsidP="00096611">
            <w:pPr>
              <w:rPr>
                <w:rFonts w:ascii="Arial" w:hAnsi="Arial" w:cs="Arial"/>
                <w:sz w:val="22"/>
              </w:rPr>
            </w:pPr>
            <w:bookmarkStart w:id="2" w:name="OLE_LINK1"/>
            <w:bookmarkStart w:id="3" w:name="OLE_LINK2"/>
            <w:r>
              <w:rPr>
                <w:rFonts w:ascii="Arial" w:hAnsi="Arial" w:cs="Arial"/>
                <w:sz w:val="22"/>
              </w:rPr>
              <w:t>166968</w:t>
            </w:r>
            <w:r w:rsidR="00312DFE">
              <w:rPr>
                <w:rFonts w:ascii="Arial" w:hAnsi="Arial" w:cs="Arial"/>
                <w:sz w:val="22"/>
              </w:rPr>
              <w:t>2 Ontario Ltd.</w:t>
            </w:r>
            <w:bookmarkEnd w:id="2"/>
            <w:bookmarkEnd w:id="3"/>
          </w:p>
        </w:tc>
      </w:tr>
      <w:tr w:rsidR="00224CC1" w:rsidTr="00096611">
        <w:tc>
          <w:tcPr>
            <w:tcW w:w="3348" w:type="dxa"/>
          </w:tcPr>
          <w:p w:rsidR="00224CC1" w:rsidRDefault="00224CC1" w:rsidP="00096611">
            <w:pPr>
              <w:rPr>
                <w:rFonts w:ascii="Arial" w:hAnsi="Arial" w:cs="Arial"/>
                <w:sz w:val="22"/>
              </w:rPr>
            </w:pPr>
            <w:r>
              <w:rPr>
                <w:rFonts w:ascii="Arial" w:hAnsi="Arial" w:cs="Arial"/>
                <w:sz w:val="22"/>
              </w:rPr>
              <w:t xml:space="preserve">Subject: </w:t>
            </w:r>
          </w:p>
        </w:tc>
        <w:tc>
          <w:tcPr>
            <w:tcW w:w="5508" w:type="dxa"/>
          </w:tcPr>
          <w:p w:rsidR="00224CC1" w:rsidRDefault="00224CC1" w:rsidP="00096611">
            <w:pPr>
              <w:rPr>
                <w:rFonts w:ascii="Arial" w:hAnsi="Arial" w:cs="Arial"/>
                <w:sz w:val="22"/>
              </w:rPr>
            </w:pPr>
            <w:r>
              <w:rPr>
                <w:rFonts w:ascii="Arial" w:hAnsi="Arial" w:cs="Arial"/>
                <w:sz w:val="22"/>
              </w:rPr>
              <w:t>Minor Variance</w:t>
            </w:r>
          </w:p>
        </w:tc>
      </w:tr>
      <w:tr w:rsidR="00224CC1" w:rsidTr="00096611">
        <w:tc>
          <w:tcPr>
            <w:tcW w:w="3348" w:type="dxa"/>
          </w:tcPr>
          <w:p w:rsidR="00224CC1" w:rsidRDefault="00224CC1" w:rsidP="00096611">
            <w:pPr>
              <w:rPr>
                <w:rFonts w:ascii="Arial" w:hAnsi="Arial" w:cs="Arial"/>
                <w:sz w:val="22"/>
              </w:rPr>
            </w:pPr>
            <w:r>
              <w:rPr>
                <w:rFonts w:ascii="Arial" w:hAnsi="Arial" w:cs="Arial"/>
                <w:sz w:val="22"/>
              </w:rPr>
              <w:t xml:space="preserve">Variance from By-law No.: </w:t>
            </w:r>
          </w:p>
        </w:tc>
        <w:tc>
          <w:tcPr>
            <w:tcW w:w="5508" w:type="dxa"/>
          </w:tcPr>
          <w:p w:rsidR="00224CC1" w:rsidRDefault="00224CC1" w:rsidP="00096611">
            <w:pPr>
              <w:rPr>
                <w:rFonts w:ascii="Arial" w:hAnsi="Arial" w:cs="Arial"/>
                <w:sz w:val="22"/>
              </w:rPr>
            </w:pPr>
            <w:r>
              <w:rPr>
                <w:rFonts w:ascii="Arial" w:hAnsi="Arial" w:cs="Arial"/>
                <w:sz w:val="22"/>
              </w:rPr>
              <w:t xml:space="preserve">3581-86                                                                                                                                                                                                                                                        </w:t>
            </w:r>
          </w:p>
        </w:tc>
      </w:tr>
      <w:tr w:rsidR="00224CC1" w:rsidTr="00096611">
        <w:tc>
          <w:tcPr>
            <w:tcW w:w="3348" w:type="dxa"/>
          </w:tcPr>
          <w:p w:rsidR="00224CC1" w:rsidRDefault="00224CC1" w:rsidP="00096611">
            <w:pPr>
              <w:rPr>
                <w:rFonts w:ascii="Arial" w:hAnsi="Arial" w:cs="Arial"/>
                <w:sz w:val="22"/>
              </w:rPr>
            </w:pPr>
            <w:r>
              <w:rPr>
                <w:rFonts w:ascii="Arial" w:hAnsi="Arial" w:cs="Arial"/>
                <w:sz w:val="22"/>
              </w:rPr>
              <w:t>Property Address/Description:</w:t>
            </w:r>
          </w:p>
        </w:tc>
        <w:tc>
          <w:tcPr>
            <w:tcW w:w="5508" w:type="dxa"/>
          </w:tcPr>
          <w:p w:rsidR="00224CC1" w:rsidRDefault="00224CC1" w:rsidP="00096611">
            <w:pPr>
              <w:rPr>
                <w:rFonts w:ascii="Arial" w:hAnsi="Arial" w:cs="Arial"/>
                <w:sz w:val="22"/>
              </w:rPr>
            </w:pPr>
            <w:r>
              <w:rPr>
                <w:rFonts w:ascii="Arial" w:hAnsi="Arial" w:cs="Arial"/>
                <w:sz w:val="22"/>
              </w:rPr>
              <w:t>196 Governor’s Road</w:t>
            </w:r>
          </w:p>
        </w:tc>
      </w:tr>
      <w:tr w:rsidR="00224CC1" w:rsidTr="00096611">
        <w:tc>
          <w:tcPr>
            <w:tcW w:w="3348" w:type="dxa"/>
          </w:tcPr>
          <w:p w:rsidR="00224CC1" w:rsidRDefault="00224CC1" w:rsidP="00096611">
            <w:pPr>
              <w:rPr>
                <w:rFonts w:ascii="Arial" w:hAnsi="Arial" w:cs="Arial"/>
                <w:sz w:val="22"/>
              </w:rPr>
            </w:pPr>
            <w:r>
              <w:rPr>
                <w:rFonts w:ascii="Arial" w:hAnsi="Arial" w:cs="Arial"/>
                <w:sz w:val="22"/>
              </w:rPr>
              <w:t xml:space="preserve">Municipality: </w:t>
            </w:r>
          </w:p>
        </w:tc>
        <w:tc>
          <w:tcPr>
            <w:tcW w:w="5508" w:type="dxa"/>
          </w:tcPr>
          <w:p w:rsidR="00224CC1" w:rsidRDefault="00224CC1" w:rsidP="00096611">
            <w:pPr>
              <w:rPr>
                <w:rFonts w:ascii="Arial" w:hAnsi="Arial" w:cs="Arial"/>
                <w:sz w:val="22"/>
              </w:rPr>
            </w:pPr>
            <w:r>
              <w:rPr>
                <w:rFonts w:ascii="Arial" w:hAnsi="Arial" w:cs="Arial"/>
                <w:sz w:val="22"/>
              </w:rPr>
              <w:t xml:space="preserve">City of </w:t>
            </w:r>
            <w:smartTag w:uri="urn:schemas-microsoft-com:office:smarttags" w:element="place">
              <w:smartTag w:uri="urn:schemas-microsoft-com:office:smarttags" w:element="City">
                <w:r>
                  <w:rPr>
                    <w:rFonts w:ascii="Arial" w:hAnsi="Arial" w:cs="Arial"/>
                    <w:sz w:val="22"/>
                  </w:rPr>
                  <w:t>Hamilton</w:t>
                </w:r>
              </w:smartTag>
            </w:smartTag>
          </w:p>
        </w:tc>
      </w:tr>
      <w:tr w:rsidR="00224CC1" w:rsidTr="00096611">
        <w:tc>
          <w:tcPr>
            <w:tcW w:w="3348" w:type="dxa"/>
          </w:tcPr>
          <w:p w:rsidR="00224CC1" w:rsidRDefault="00224CC1" w:rsidP="00096611">
            <w:pPr>
              <w:rPr>
                <w:rFonts w:ascii="Arial" w:hAnsi="Arial" w:cs="Arial"/>
                <w:sz w:val="22"/>
              </w:rPr>
            </w:pPr>
            <w:r>
              <w:rPr>
                <w:rFonts w:ascii="Arial" w:hAnsi="Arial" w:cs="Arial"/>
                <w:sz w:val="22"/>
              </w:rPr>
              <w:t xml:space="preserve">Municipal File No.: </w:t>
            </w:r>
          </w:p>
        </w:tc>
        <w:tc>
          <w:tcPr>
            <w:tcW w:w="5508" w:type="dxa"/>
          </w:tcPr>
          <w:p w:rsidR="00224CC1" w:rsidRDefault="00224CC1" w:rsidP="00096611">
            <w:pPr>
              <w:rPr>
                <w:rFonts w:ascii="Arial" w:hAnsi="Arial" w:cs="Arial"/>
                <w:sz w:val="22"/>
              </w:rPr>
            </w:pPr>
            <w:r>
              <w:rPr>
                <w:rFonts w:ascii="Arial" w:hAnsi="Arial" w:cs="Arial"/>
                <w:sz w:val="22"/>
              </w:rPr>
              <w:t>A-189/11</w:t>
            </w:r>
          </w:p>
        </w:tc>
      </w:tr>
      <w:tr w:rsidR="00224CC1" w:rsidTr="00096611">
        <w:tc>
          <w:tcPr>
            <w:tcW w:w="3348" w:type="dxa"/>
          </w:tcPr>
          <w:p w:rsidR="00224CC1" w:rsidRDefault="00224CC1" w:rsidP="00096611">
            <w:pPr>
              <w:rPr>
                <w:rFonts w:ascii="Arial" w:hAnsi="Arial" w:cs="Arial"/>
                <w:sz w:val="22"/>
              </w:rPr>
            </w:pPr>
            <w:r>
              <w:rPr>
                <w:rFonts w:ascii="Arial" w:hAnsi="Arial" w:cs="Arial"/>
                <w:sz w:val="22"/>
              </w:rPr>
              <w:t xml:space="preserve">OMB Case No.: </w:t>
            </w:r>
          </w:p>
        </w:tc>
        <w:tc>
          <w:tcPr>
            <w:tcW w:w="5508" w:type="dxa"/>
          </w:tcPr>
          <w:p w:rsidR="00224CC1" w:rsidRDefault="00224CC1" w:rsidP="00096611">
            <w:pPr>
              <w:rPr>
                <w:rFonts w:ascii="Arial" w:hAnsi="Arial" w:cs="Arial"/>
                <w:sz w:val="22"/>
              </w:rPr>
            </w:pPr>
            <w:r>
              <w:rPr>
                <w:rFonts w:ascii="Arial" w:hAnsi="Arial" w:cs="Arial"/>
                <w:sz w:val="22"/>
              </w:rPr>
              <w:t>PL110837</w:t>
            </w:r>
          </w:p>
        </w:tc>
      </w:tr>
      <w:tr w:rsidR="00224CC1" w:rsidTr="00096611">
        <w:tc>
          <w:tcPr>
            <w:tcW w:w="3348" w:type="dxa"/>
          </w:tcPr>
          <w:p w:rsidR="00224CC1" w:rsidRDefault="00224CC1" w:rsidP="00096611">
            <w:pPr>
              <w:rPr>
                <w:rFonts w:ascii="Arial" w:hAnsi="Arial" w:cs="Arial"/>
                <w:sz w:val="22"/>
              </w:rPr>
            </w:pPr>
            <w:r>
              <w:rPr>
                <w:rFonts w:ascii="Arial" w:hAnsi="Arial" w:cs="Arial"/>
                <w:sz w:val="22"/>
              </w:rPr>
              <w:t xml:space="preserve">OMB File No.: </w:t>
            </w:r>
          </w:p>
        </w:tc>
        <w:tc>
          <w:tcPr>
            <w:tcW w:w="5508" w:type="dxa"/>
          </w:tcPr>
          <w:p w:rsidR="00224CC1" w:rsidRDefault="00224CC1" w:rsidP="00096611">
            <w:pPr>
              <w:rPr>
                <w:rFonts w:ascii="Arial" w:hAnsi="Arial" w:cs="Arial"/>
                <w:sz w:val="22"/>
              </w:rPr>
            </w:pPr>
            <w:r>
              <w:rPr>
                <w:rFonts w:ascii="Arial" w:hAnsi="Arial" w:cs="Arial"/>
                <w:sz w:val="22"/>
              </w:rPr>
              <w:t>PL111102</w:t>
            </w:r>
          </w:p>
        </w:tc>
      </w:tr>
    </w:tbl>
    <w:p w:rsidR="00AA4455" w:rsidRPr="0074642F" w:rsidRDefault="00AA4455">
      <w:pPr>
        <w:pStyle w:val="StyleofClause"/>
      </w:pPr>
    </w:p>
    <w:p w:rsidR="00103DE0" w:rsidRPr="0074642F" w:rsidRDefault="00103DE0">
      <w:pPr>
        <w:pStyle w:val="DefaultParagraphFontnew"/>
      </w:pPr>
    </w:p>
    <w:p w:rsidR="00103DE0" w:rsidRPr="0074642F" w:rsidRDefault="00103DE0">
      <w:pPr>
        <w:pStyle w:val="APPEARANCES"/>
      </w:pPr>
      <w:bookmarkStart w:id="4" w:name="Appearances"/>
      <w:r w:rsidRPr="0074642F">
        <w:t>APPEARANCES:</w:t>
      </w:r>
      <w:bookmarkEnd w:id="4"/>
    </w:p>
    <w:p w:rsidR="00103DE0" w:rsidRPr="0074642F" w:rsidRDefault="00103DE0">
      <w:pPr>
        <w:pStyle w:val="DefaultParagraphFontnew"/>
      </w:pPr>
    </w:p>
    <w:p w:rsidR="00103DE0" w:rsidRPr="0074642F" w:rsidRDefault="00103DE0">
      <w:pPr>
        <w:pStyle w:val="DefaultParagraphFontnew"/>
      </w:pPr>
    </w:p>
    <w:tbl>
      <w:tblPr>
        <w:tblW w:w="8028" w:type="dxa"/>
        <w:tblInd w:w="720" w:type="dxa"/>
        <w:tblLook w:val="0000" w:firstRow="0" w:lastRow="0" w:firstColumn="0" w:lastColumn="0" w:noHBand="0" w:noVBand="0"/>
      </w:tblPr>
      <w:tblGrid>
        <w:gridCol w:w="4968"/>
        <w:gridCol w:w="3060"/>
      </w:tblGrid>
      <w:tr w:rsidR="00103DE0" w:rsidRPr="0074642F" w:rsidTr="00AA4455">
        <w:tc>
          <w:tcPr>
            <w:tcW w:w="4968" w:type="dxa"/>
          </w:tcPr>
          <w:p w:rsidR="00103DE0" w:rsidRPr="0074642F" w:rsidRDefault="00103DE0">
            <w:pPr>
              <w:pStyle w:val="Parties"/>
            </w:pPr>
            <w:bookmarkStart w:id="5" w:name="Parties"/>
            <w:r w:rsidRPr="0074642F">
              <w:t>Parties</w:t>
            </w:r>
            <w:bookmarkEnd w:id="5"/>
          </w:p>
        </w:tc>
        <w:tc>
          <w:tcPr>
            <w:tcW w:w="3060" w:type="dxa"/>
          </w:tcPr>
          <w:p w:rsidR="00103DE0" w:rsidRPr="0074642F" w:rsidRDefault="00103DE0">
            <w:pPr>
              <w:pStyle w:val="CounselAgent"/>
            </w:pPr>
            <w:bookmarkStart w:id="6" w:name="CounselAgent"/>
            <w:r w:rsidRPr="0074642F">
              <w:t>Counsel*/Agent</w:t>
            </w:r>
            <w:bookmarkEnd w:id="6"/>
          </w:p>
        </w:tc>
      </w:tr>
      <w:tr w:rsidR="00103DE0" w:rsidRPr="0074642F" w:rsidTr="00AA4455">
        <w:tc>
          <w:tcPr>
            <w:tcW w:w="4968" w:type="dxa"/>
          </w:tcPr>
          <w:p w:rsidR="00312DFE" w:rsidRDefault="00312DFE">
            <w:pPr>
              <w:pStyle w:val="DefaultParagraphFontnew"/>
              <w:rPr>
                <w:rFonts w:cs="Arial"/>
                <w:sz w:val="22"/>
              </w:rPr>
            </w:pPr>
          </w:p>
          <w:p w:rsidR="00740237" w:rsidRPr="0074642F" w:rsidRDefault="00312DFE">
            <w:pPr>
              <w:pStyle w:val="DefaultParagraphFontnew"/>
            </w:pPr>
            <w:r>
              <w:rPr>
                <w:rFonts w:cs="Arial"/>
                <w:sz w:val="22"/>
              </w:rPr>
              <w:t>1669682 Ontario Ltd.</w:t>
            </w:r>
          </w:p>
        </w:tc>
        <w:tc>
          <w:tcPr>
            <w:tcW w:w="3060" w:type="dxa"/>
          </w:tcPr>
          <w:p w:rsidR="00740237" w:rsidRDefault="00740237">
            <w:pPr>
              <w:pStyle w:val="DefaultParagraphFontnew"/>
            </w:pPr>
          </w:p>
          <w:p w:rsidR="00312DFE" w:rsidRPr="0074642F" w:rsidRDefault="00312DFE">
            <w:pPr>
              <w:pStyle w:val="DefaultParagraphFontnew"/>
            </w:pPr>
            <w:r>
              <w:t>B. Duxbury*</w:t>
            </w:r>
          </w:p>
        </w:tc>
      </w:tr>
      <w:tr w:rsidR="00103DE0" w:rsidRPr="0074642F" w:rsidTr="00AA4455">
        <w:tc>
          <w:tcPr>
            <w:tcW w:w="4968" w:type="dxa"/>
          </w:tcPr>
          <w:p w:rsidR="00740237" w:rsidRDefault="00740237">
            <w:pPr>
              <w:pStyle w:val="DefaultParagraphFontnew"/>
            </w:pPr>
          </w:p>
          <w:p w:rsidR="00312DFE" w:rsidRPr="0074642F" w:rsidRDefault="00312DFE">
            <w:pPr>
              <w:pStyle w:val="DefaultParagraphFontnew"/>
            </w:pPr>
            <w:r>
              <w:t>Anthony Hurst</w:t>
            </w:r>
          </w:p>
        </w:tc>
        <w:tc>
          <w:tcPr>
            <w:tcW w:w="3060" w:type="dxa"/>
          </w:tcPr>
          <w:p w:rsidR="00740237" w:rsidRDefault="00740237">
            <w:pPr>
              <w:pStyle w:val="DefaultParagraphFontnew"/>
            </w:pPr>
          </w:p>
          <w:p w:rsidR="00312DFE" w:rsidRPr="0074642F" w:rsidRDefault="00312DFE">
            <w:pPr>
              <w:pStyle w:val="DefaultParagraphFontnew"/>
            </w:pPr>
            <w:r>
              <w:t>Self-represented</w:t>
            </w:r>
          </w:p>
        </w:tc>
      </w:tr>
      <w:tr w:rsidR="00103DE0" w:rsidRPr="0074642F" w:rsidTr="00AA4455">
        <w:tc>
          <w:tcPr>
            <w:tcW w:w="4968" w:type="dxa"/>
          </w:tcPr>
          <w:p w:rsidR="00740237" w:rsidRPr="0074642F" w:rsidRDefault="00740237">
            <w:pPr>
              <w:pStyle w:val="DefaultParagraphFontnew"/>
            </w:pPr>
          </w:p>
        </w:tc>
        <w:tc>
          <w:tcPr>
            <w:tcW w:w="3060" w:type="dxa"/>
          </w:tcPr>
          <w:p w:rsidR="00740237" w:rsidRPr="0074642F" w:rsidRDefault="00740237">
            <w:pPr>
              <w:pStyle w:val="DefaultParagraphFontnew"/>
            </w:pPr>
          </w:p>
        </w:tc>
      </w:tr>
    </w:tbl>
    <w:p w:rsidR="00103DE0" w:rsidRPr="0074642F" w:rsidRDefault="00103DE0">
      <w:pPr>
        <w:pStyle w:val="DefaultParagraphFontnew"/>
      </w:pPr>
    </w:p>
    <w:p w:rsidR="00103DE0" w:rsidRPr="0074642F" w:rsidRDefault="00D0012E" w:rsidP="00AA4455">
      <w:pPr>
        <w:pStyle w:val="DecisionDeliveredby"/>
      </w:pPr>
      <w:bookmarkStart w:id="7" w:name="DecisionDeliveredBy"/>
      <w:r>
        <w:t xml:space="preserve">MEMORANDUM OF ORAL </w:t>
      </w:r>
      <w:r w:rsidR="00103DE0" w:rsidRPr="0074642F">
        <w:t xml:space="preserve">DECISION DELIVERED BY SUSAN de AVELLAR SCHILLER </w:t>
      </w:r>
      <w:bookmarkEnd w:id="7"/>
      <w:r>
        <w:t xml:space="preserve">ON FEBRUARY 1, 2012 </w:t>
      </w:r>
      <w:r w:rsidR="00AA4455" w:rsidRPr="0074642F">
        <w:t xml:space="preserve">AND </w:t>
      </w:r>
      <w:r w:rsidR="007C3071" w:rsidRPr="0074642F">
        <w:t>ORDER OF THE BOARD</w:t>
      </w:r>
    </w:p>
    <w:p w:rsidR="00F162C5" w:rsidRDefault="00AE0CB2" w:rsidP="00BA1A26">
      <w:pPr>
        <w:pStyle w:val="DecisionDeliveredby"/>
      </w:pPr>
      <w:r>
        <w:pict>
          <v:rect id="_x0000_i1025" style="width:417pt;height:1.5pt" o:hralign="center" o:hrstd="t" o:hrnoshade="t" o:hr="t" fillcolor="black" stroked="f"/>
        </w:pict>
      </w:r>
    </w:p>
    <w:p w:rsidR="00FD1B11" w:rsidRDefault="00C87E46" w:rsidP="002E393E">
      <w:pPr>
        <w:pStyle w:val="DecisionBody"/>
        <w:jc w:val="left"/>
      </w:pPr>
      <w:r>
        <w:lastRenderedPageBreak/>
        <w:t>166968</w:t>
      </w:r>
      <w:r w:rsidR="00D0012E">
        <w:t xml:space="preserve">2 Ontario Ltd. </w:t>
      </w:r>
      <w:r>
        <w:t>(applicant) o</w:t>
      </w:r>
      <w:r w:rsidR="00D0012E">
        <w:t>wns</w:t>
      </w:r>
      <w:r>
        <w:t xml:space="preserve"> an unusually large, well treed lot. The applicant wishes to divide this large lot into three parcels. To do so, the applicant </w:t>
      </w:r>
      <w:r w:rsidR="00AF468D">
        <w:t>seeks consent to convey and a minor variance to reduce the frontage from the by-law requirement of 18</w:t>
      </w:r>
      <w:r w:rsidR="00400806">
        <w:t xml:space="preserve"> </w:t>
      </w:r>
      <w:r w:rsidR="00AF468D">
        <w:t>m to 17.23</w:t>
      </w:r>
      <w:r w:rsidR="00400806">
        <w:t xml:space="preserve"> </w:t>
      </w:r>
      <w:r w:rsidR="00AF468D">
        <w:t>m for each parcel.</w:t>
      </w:r>
    </w:p>
    <w:p w:rsidR="00AF468D" w:rsidRDefault="00AF468D" w:rsidP="00D0012E">
      <w:pPr>
        <w:pStyle w:val="DecisionBody"/>
        <w:jc w:val="left"/>
      </w:pPr>
      <w:r>
        <w:t>The City of Hamilton Committee of Adjustment authorized the minor variance and has given provisional consent</w:t>
      </w:r>
      <w:r w:rsidR="00220C68">
        <w:t>, with</w:t>
      </w:r>
      <w:r>
        <w:t xml:space="preserve"> conditions, to allow the single large lot to be divided into three parcels.</w:t>
      </w:r>
    </w:p>
    <w:p w:rsidR="00AF468D" w:rsidRDefault="00AF468D" w:rsidP="00D0012E">
      <w:pPr>
        <w:pStyle w:val="DecisionBody"/>
        <w:jc w:val="left"/>
      </w:pPr>
      <w:r>
        <w:t xml:space="preserve">Anthony Hurst and William Roebuck are neighbours, concerned with privacy and retaining the mature trees and landscaping. Messrs. Hurst and Roebuck both appealed the </w:t>
      </w:r>
      <w:r w:rsidR="00220C68">
        <w:t xml:space="preserve">decision on the </w:t>
      </w:r>
      <w:r>
        <w:t xml:space="preserve">application for consent to convey; Mr. Hurst appealed the </w:t>
      </w:r>
      <w:r w:rsidR="00220C68">
        <w:t xml:space="preserve">decision on the </w:t>
      </w:r>
      <w:r>
        <w:t>application for minor variance.</w:t>
      </w:r>
    </w:p>
    <w:p w:rsidR="00AF468D" w:rsidRDefault="00AF468D" w:rsidP="00D0012E">
      <w:pPr>
        <w:pStyle w:val="DecisionBody"/>
        <w:jc w:val="left"/>
      </w:pPr>
      <w:r>
        <w:t xml:space="preserve">As a result of extensive discussions between the parties, the Board was advised that the parties had reached a settlement. </w:t>
      </w:r>
      <w:r w:rsidR="00255A4B">
        <w:t>A copy of the minutes of settlement was</w:t>
      </w:r>
      <w:r>
        <w:t xml:space="preserve"> filed as Exhibit 1 in these proceedings. </w:t>
      </w:r>
    </w:p>
    <w:p w:rsidR="00E118BE" w:rsidRDefault="00E118BE" w:rsidP="00D0012E">
      <w:pPr>
        <w:pStyle w:val="DecisionBody"/>
        <w:jc w:val="left"/>
      </w:pPr>
      <w:r>
        <w:t xml:space="preserve">Mr. Hurst then advised the Board that he was withdrawing his appeal against the decision of the Committee of Adjustment with regard to the application for minor variance. That appeal having been withdrawn, the decision of the Committee of Adjustment to authorize the minor </w:t>
      </w:r>
      <w:r w:rsidR="00255A4B">
        <w:t>variance stands</w:t>
      </w:r>
      <w:r>
        <w:t>.</w:t>
      </w:r>
    </w:p>
    <w:p w:rsidR="00E118BE" w:rsidRDefault="00E118BE" w:rsidP="00D0012E">
      <w:pPr>
        <w:pStyle w:val="DecisionBody"/>
        <w:jc w:val="left"/>
      </w:pPr>
      <w:r>
        <w:t xml:space="preserve">The Board then turned to the application for consent to convey and heard from Mr. Stephen Fraser. Mr. Fraser is a full member of the Canadian Institute of Planners and is a Registered Professional Planner in Ontario. </w:t>
      </w:r>
    </w:p>
    <w:p w:rsidR="001A77ED" w:rsidRDefault="00A5495E" w:rsidP="00D0012E">
      <w:pPr>
        <w:pStyle w:val="DecisionBody"/>
        <w:jc w:val="left"/>
      </w:pPr>
      <w:r>
        <w:t>None of the conditions to the Committee’s decision on the application for consent to convey were challenged.</w:t>
      </w:r>
      <w:r w:rsidR="001A77ED">
        <w:t xml:space="preserve"> The Board was advised that all parties were content to leave these conditions in place. Having reviewed the conditions imposed by the Committee of Adjustment, the Board is satisfied that they are appropriate to secure oversight for the municipality and to protect environmental and heritage features</w:t>
      </w:r>
      <w:r>
        <w:t xml:space="preserve"> </w:t>
      </w:r>
      <w:r w:rsidR="001A77ED">
        <w:t>that may be identified on the subject lands. A complete list of the conditions imposed by the Committee of Adjustment, and confirmed as appropriate by this Board, is found in the decision of the Committee of Adjustment which is in Attachment #1 to this decision.</w:t>
      </w:r>
    </w:p>
    <w:p w:rsidR="00A5495E" w:rsidRDefault="00A5495E" w:rsidP="00D0012E">
      <w:pPr>
        <w:pStyle w:val="DecisionBody"/>
        <w:jc w:val="left"/>
      </w:pPr>
      <w:r>
        <w:lastRenderedPageBreak/>
        <w:t>In order to maintain landscaping and reduce the impact of the additional lots to be created, the parties ask the Board to add a further condition to the consent as follows:</w:t>
      </w:r>
    </w:p>
    <w:p w:rsidR="00A5495E" w:rsidRDefault="00A5495E" w:rsidP="008C58F4">
      <w:pPr>
        <w:pStyle w:val="DecisionBody"/>
        <w:spacing w:line="240" w:lineRule="auto"/>
        <w:ind w:left="1440" w:right="1418"/>
        <w:jc w:val="left"/>
      </w:pPr>
      <w:r>
        <w:rPr>
          <w:sz w:val="22"/>
        </w:rPr>
        <w:t>That the applicant establish a shared driveway and shared services, including but not limited to services for sanitary and storm sewers, water, hydro and cable for each of the three lots/dwel</w:t>
      </w:r>
      <w:r w:rsidR="00140B53">
        <w:rPr>
          <w:sz w:val="22"/>
        </w:rPr>
        <w:t>ling (shown as Parts 2, 5 and 6 on the application for consent to convey) measuring 51.69m x 9.5m for reci</w:t>
      </w:r>
      <w:r w:rsidR="00AD6678">
        <w:rPr>
          <w:sz w:val="22"/>
        </w:rPr>
        <w:t>procal rights of way for access</w:t>
      </w:r>
      <w:r w:rsidR="00140B53">
        <w:rPr>
          <w:sz w:val="22"/>
        </w:rPr>
        <w:t xml:space="preserve"> and servicing purposes, to the satisfaction of the City of Hamilton Manager of Development Engineering.</w:t>
      </w:r>
      <w:r>
        <w:t xml:space="preserve"> </w:t>
      </w:r>
    </w:p>
    <w:p w:rsidR="00885993" w:rsidRDefault="00885993" w:rsidP="00BF6402">
      <w:pPr>
        <w:pStyle w:val="DecisionBody"/>
        <w:jc w:val="left"/>
      </w:pPr>
      <w:r>
        <w:t>The Board is satisfied that this additional condition is appropriate. It secures a more efficient use of land and infrastructure</w:t>
      </w:r>
      <w:r w:rsidR="00E82202">
        <w:t xml:space="preserve"> and improves compatibility with adjacent properties.</w:t>
      </w:r>
    </w:p>
    <w:p w:rsidR="00E82202" w:rsidRDefault="00630C04" w:rsidP="00BF6402">
      <w:pPr>
        <w:pStyle w:val="DecisionBody"/>
        <w:jc w:val="left"/>
      </w:pPr>
      <w:r>
        <w:t>The Board has considered the application for consent to convey, subject to the conditions imposed by the decision of the Committee of Adjustment and the additional condition sought by</w:t>
      </w:r>
      <w:r w:rsidR="005040D9">
        <w:t xml:space="preserve"> the parties. </w:t>
      </w:r>
    </w:p>
    <w:p w:rsidR="00630C04" w:rsidRDefault="005040D9" w:rsidP="00BF6402">
      <w:pPr>
        <w:pStyle w:val="DecisionBody"/>
        <w:jc w:val="left"/>
      </w:pPr>
      <w:r>
        <w:t>The Bo</w:t>
      </w:r>
      <w:r w:rsidR="003C46FD">
        <w:t>ar</w:t>
      </w:r>
      <w:r>
        <w:t>d</w:t>
      </w:r>
      <w:r w:rsidR="00630C04">
        <w:t xml:space="preserve"> finds that this application meets the criteria set out in subsection 51(24) of the </w:t>
      </w:r>
      <w:r w:rsidR="00630C04">
        <w:rPr>
          <w:i/>
        </w:rPr>
        <w:t>Planning Act</w:t>
      </w:r>
      <w:r w:rsidR="00630C04">
        <w:t xml:space="preserve"> R.S.O. 1990 c.P.13, is consistent with the Provincial Policy Statement, conforms to the Growth Plan for the Greater Golden Horseshoe, conforms to the Hamilton-Wentworth Official Plan, and conforms to the Dundas Official Plan. In particular, this proposal will contribute to intensification and a more compact development form, will make effi</w:t>
      </w:r>
      <w:r>
        <w:t xml:space="preserve">cient use of land and infrastructure and enhances the protection of natural features. </w:t>
      </w:r>
    </w:p>
    <w:p w:rsidR="00E82202" w:rsidRDefault="00BF6402" w:rsidP="00BF6402">
      <w:pPr>
        <w:pStyle w:val="DecisionBody"/>
        <w:jc w:val="left"/>
      </w:pPr>
      <w:r>
        <w:t>The appeal of the decision of the Committee of Adjustment regarding the application for consent to convey is allowed in part and provisional c</w:t>
      </w:r>
      <w:r w:rsidR="005810B0">
        <w:t>onsent is given, subject to the</w:t>
      </w:r>
      <w:r w:rsidR="003C46FD">
        <w:t xml:space="preserve"> </w:t>
      </w:r>
      <w:r>
        <w:t>conditions</w:t>
      </w:r>
      <w:r w:rsidR="005810B0">
        <w:t xml:space="preserve"> imposed by the Committee of Adjustment and with the additional condition set out above. </w:t>
      </w:r>
    </w:p>
    <w:p w:rsidR="00FD1B11" w:rsidRPr="00FD1B11" w:rsidRDefault="00BF6402" w:rsidP="00BF6402">
      <w:pPr>
        <w:pStyle w:val="DecisionBody"/>
        <w:jc w:val="left"/>
      </w:pPr>
      <w:r>
        <w:t>So Orders the Board.</w:t>
      </w:r>
      <w:r w:rsidR="00740237">
        <w:tab/>
      </w:r>
    </w:p>
    <w:p w:rsidR="00103DE0" w:rsidRPr="0074642F" w:rsidRDefault="00103DE0" w:rsidP="00BF6402">
      <w:pPr>
        <w:pStyle w:val="DefaultParagraphFontnew"/>
      </w:pPr>
    </w:p>
    <w:p w:rsidR="00103DE0" w:rsidRPr="0074642F" w:rsidRDefault="00103DE0">
      <w:pPr>
        <w:pStyle w:val="Member"/>
      </w:pPr>
      <w:r w:rsidRPr="0074642F">
        <w:t>“Susan de Avellar Schiller”</w:t>
      </w:r>
    </w:p>
    <w:p w:rsidR="00103DE0" w:rsidRPr="0074642F" w:rsidRDefault="00103DE0">
      <w:pPr>
        <w:pStyle w:val="Member"/>
      </w:pPr>
    </w:p>
    <w:p w:rsidR="00103DE0" w:rsidRPr="0074642F" w:rsidRDefault="00103DE0">
      <w:pPr>
        <w:pStyle w:val="Member"/>
      </w:pPr>
      <w:r w:rsidRPr="0074642F">
        <w:t>SUSAN de AVELLAR SCHILLER</w:t>
      </w:r>
    </w:p>
    <w:p w:rsidR="00103DE0" w:rsidRPr="0074642F" w:rsidRDefault="00740237" w:rsidP="00DC5AE6">
      <w:pPr>
        <w:pStyle w:val="Member"/>
      </w:pPr>
      <w:r>
        <w:t xml:space="preserve">VICE </w:t>
      </w:r>
      <w:r w:rsidR="00DC2F0E">
        <w:t>CHAIR</w:t>
      </w:r>
    </w:p>
    <w:p w:rsidR="00400806" w:rsidRDefault="00400806">
      <w:pPr>
        <w:rPr>
          <w:rFonts w:ascii="Arial" w:hAnsi="Arial"/>
          <w:lang w:val="en-CA"/>
        </w:rPr>
      </w:pPr>
      <w:r>
        <w:br w:type="page"/>
      </w:r>
    </w:p>
    <w:p w:rsidR="00D86578" w:rsidRDefault="00400806" w:rsidP="00400806">
      <w:pPr>
        <w:pStyle w:val="Member"/>
        <w:ind w:left="0"/>
      </w:pPr>
      <w:r>
        <w:lastRenderedPageBreak/>
        <w:tab/>
      </w:r>
      <w:r>
        <w:tab/>
      </w:r>
      <w:r>
        <w:tab/>
      </w:r>
      <w:r>
        <w:tab/>
      </w:r>
      <w:r>
        <w:tab/>
      </w:r>
      <w:r>
        <w:rPr>
          <w:b/>
          <w:u w:val="single"/>
        </w:rPr>
        <w:t>ATTACHMENT 1</w:t>
      </w:r>
    </w:p>
    <w:p w:rsidR="00620A0F" w:rsidRDefault="00620A0F" w:rsidP="00400806">
      <w:pPr>
        <w:pStyle w:val="Member"/>
        <w:ind w:left="0"/>
      </w:pPr>
      <w:r>
        <w:rPr>
          <w:noProof/>
          <w:lang w:eastAsia="en-CA"/>
        </w:rPr>
        <w:drawing>
          <wp:inline distT="0" distB="0" distL="0" distR="0" wp14:anchorId="685A119E" wp14:editId="6262BDFB">
            <wp:extent cx="5170943" cy="7200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70943" cy="7200915"/>
                    </a:xfrm>
                    <a:prstGeom prst="rect">
                      <a:avLst/>
                    </a:prstGeom>
                  </pic:spPr>
                </pic:pic>
              </a:graphicData>
            </a:graphic>
          </wp:inline>
        </w:drawing>
      </w:r>
    </w:p>
    <w:p w:rsidR="00620A0F" w:rsidRDefault="00620A0F">
      <w:pPr>
        <w:rPr>
          <w:rFonts w:ascii="Arial" w:hAnsi="Arial"/>
          <w:lang w:val="en-CA"/>
        </w:rPr>
      </w:pPr>
      <w:r>
        <w:br w:type="page"/>
      </w:r>
    </w:p>
    <w:p w:rsidR="00400806" w:rsidRPr="00400806" w:rsidRDefault="00620A0F" w:rsidP="00400806">
      <w:pPr>
        <w:pStyle w:val="Member"/>
        <w:ind w:left="0"/>
      </w:pPr>
      <w:r>
        <w:rPr>
          <w:noProof/>
          <w:lang w:eastAsia="en-CA"/>
        </w:rPr>
        <w:lastRenderedPageBreak/>
        <w:drawing>
          <wp:inline distT="0" distB="0" distL="0" distR="0" wp14:anchorId="59BF9738" wp14:editId="2BFD80D1">
            <wp:extent cx="4494285" cy="7808992"/>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494285" cy="7808992"/>
                    </a:xfrm>
                    <a:prstGeom prst="rect">
                      <a:avLst/>
                    </a:prstGeom>
                  </pic:spPr>
                </pic:pic>
              </a:graphicData>
            </a:graphic>
          </wp:inline>
        </w:drawing>
      </w:r>
    </w:p>
    <w:sectPr w:rsidR="00400806" w:rsidRPr="00400806">
      <w:headerReference w:type="default" r:id="rId12"/>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5B7" w:rsidRDefault="00A525B7">
      <w:r>
        <w:separator/>
      </w:r>
    </w:p>
  </w:endnote>
  <w:endnote w:type="continuationSeparator" w:id="0">
    <w:p w:rsidR="00A525B7" w:rsidRDefault="00A5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5B7" w:rsidRDefault="00A525B7">
      <w:r>
        <w:separator/>
      </w:r>
    </w:p>
  </w:footnote>
  <w:footnote w:type="continuationSeparator" w:id="0">
    <w:p w:rsidR="00A525B7" w:rsidRDefault="00A52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FF" w:rsidRDefault="007820FF">
    <w:pPr>
      <w:pStyle w:val="Header"/>
    </w:pPr>
    <w:r>
      <w:tab/>
    </w:r>
    <w:r>
      <w:rPr>
        <w:b w:val="0"/>
        <w:bCs/>
      </w:rPr>
      <w:t xml:space="preserve">- </w:t>
    </w:r>
    <w:r>
      <w:rPr>
        <w:b w:val="0"/>
        <w:bCs/>
      </w:rPr>
      <w:fldChar w:fldCharType="begin"/>
    </w:r>
    <w:r>
      <w:rPr>
        <w:b w:val="0"/>
        <w:bCs/>
      </w:rPr>
      <w:instrText xml:space="preserve"> PAGE </w:instrText>
    </w:r>
    <w:r>
      <w:rPr>
        <w:b w:val="0"/>
        <w:bCs/>
      </w:rPr>
      <w:fldChar w:fldCharType="separate"/>
    </w:r>
    <w:r w:rsidR="00AE0CB2">
      <w:rPr>
        <w:b w:val="0"/>
        <w:bCs/>
        <w:noProof/>
      </w:rPr>
      <w:t>5</w:t>
    </w:r>
    <w:r>
      <w:rPr>
        <w:b w:val="0"/>
        <w:bCs/>
      </w:rPr>
      <w:fldChar w:fldCharType="end"/>
    </w:r>
    <w:r>
      <w:rPr>
        <w:b w:val="0"/>
        <w:bCs/>
      </w:rPr>
      <w:t xml:space="preserve"> -</w:t>
    </w:r>
    <w:r>
      <w:tab/>
    </w:r>
    <w:r>
      <w:rPr>
        <w:b w:val="0"/>
      </w:rPr>
      <w:t>PL110837</w:t>
    </w:r>
  </w:p>
  <w:p w:rsidR="007820FF" w:rsidRDefault="007820FF">
    <w:pPr>
      <w:pStyle w:val="Header"/>
      <w:rPr>
        <w:rFonts w:cs="Arial"/>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7A22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04D5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37CE8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B7A09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AA42D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10AF9A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0A20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9CB8D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4162A54"/>
    <w:lvl w:ilvl="0">
      <w:start w:val="1"/>
      <w:numFmt w:val="decimal"/>
      <w:pStyle w:val="ListNumber"/>
      <w:lvlText w:val="%1."/>
      <w:lvlJc w:val="left"/>
      <w:pPr>
        <w:tabs>
          <w:tab w:val="num" w:pos="360"/>
        </w:tabs>
        <w:ind w:left="360" w:hanging="360"/>
      </w:pPr>
    </w:lvl>
  </w:abstractNum>
  <w:abstractNum w:abstractNumId="9">
    <w:nsid w:val="FFFFFF89"/>
    <w:multiLevelType w:val="singleLevel"/>
    <w:tmpl w:val="BDFE3B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lowerLetter"/>
      <w:pStyle w:val="Level1"/>
      <w:lvlText w:val="(%1)"/>
      <w:lvlJc w:val="left"/>
      <w:pPr>
        <w:tabs>
          <w:tab w:val="num" w:pos="1440"/>
        </w:tabs>
        <w:ind w:left="1440" w:hanging="720"/>
      </w:pPr>
      <w:rPr>
        <w:rFonts w:ascii="Arial" w:hAnsi="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nsid w:val="564435F2"/>
    <w:multiLevelType w:val="hybridMultilevel"/>
    <w:tmpl w:val="991EAD74"/>
    <w:lvl w:ilvl="0" w:tplc="1009000F">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2">
    <w:nsid w:val="659E1A03"/>
    <w:multiLevelType w:val="hybridMultilevel"/>
    <w:tmpl w:val="B5061F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fillcolor="white">
      <v:fill color="white"/>
      <v:stroke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AE6"/>
    <w:rsid w:val="000549B3"/>
    <w:rsid w:val="0006225D"/>
    <w:rsid w:val="00096611"/>
    <w:rsid w:val="000B099F"/>
    <w:rsid w:val="000D0706"/>
    <w:rsid w:val="000E01CF"/>
    <w:rsid w:val="00103DE0"/>
    <w:rsid w:val="00140B53"/>
    <w:rsid w:val="00143408"/>
    <w:rsid w:val="001A77ED"/>
    <w:rsid w:val="001D7F7E"/>
    <w:rsid w:val="001F61DC"/>
    <w:rsid w:val="001F766B"/>
    <w:rsid w:val="00220C68"/>
    <w:rsid w:val="00220F13"/>
    <w:rsid w:val="00224CC1"/>
    <w:rsid w:val="00252299"/>
    <w:rsid w:val="00255A4B"/>
    <w:rsid w:val="002E393E"/>
    <w:rsid w:val="00312DFE"/>
    <w:rsid w:val="003A4771"/>
    <w:rsid w:val="003A7193"/>
    <w:rsid w:val="003C46FD"/>
    <w:rsid w:val="003D6ADD"/>
    <w:rsid w:val="00400806"/>
    <w:rsid w:val="004119BB"/>
    <w:rsid w:val="00452B46"/>
    <w:rsid w:val="004B0CBC"/>
    <w:rsid w:val="005040D9"/>
    <w:rsid w:val="00506523"/>
    <w:rsid w:val="00545F3E"/>
    <w:rsid w:val="005810B0"/>
    <w:rsid w:val="005C146E"/>
    <w:rsid w:val="00620A0F"/>
    <w:rsid w:val="00630C04"/>
    <w:rsid w:val="006350E9"/>
    <w:rsid w:val="0067573E"/>
    <w:rsid w:val="00740237"/>
    <w:rsid w:val="0074642F"/>
    <w:rsid w:val="007820FF"/>
    <w:rsid w:val="007C3071"/>
    <w:rsid w:val="00885993"/>
    <w:rsid w:val="008A5940"/>
    <w:rsid w:val="008B6C40"/>
    <w:rsid w:val="008C58F4"/>
    <w:rsid w:val="009E1CB9"/>
    <w:rsid w:val="009F2BC0"/>
    <w:rsid w:val="00A525B7"/>
    <w:rsid w:val="00A5495E"/>
    <w:rsid w:val="00A92B64"/>
    <w:rsid w:val="00AA4455"/>
    <w:rsid w:val="00AD6678"/>
    <w:rsid w:val="00AE0CB2"/>
    <w:rsid w:val="00AF468D"/>
    <w:rsid w:val="00B317A8"/>
    <w:rsid w:val="00BA1A26"/>
    <w:rsid w:val="00BF19AD"/>
    <w:rsid w:val="00BF6402"/>
    <w:rsid w:val="00C700F4"/>
    <w:rsid w:val="00C7608A"/>
    <w:rsid w:val="00C87E46"/>
    <w:rsid w:val="00C94C4C"/>
    <w:rsid w:val="00D0012E"/>
    <w:rsid w:val="00D35A13"/>
    <w:rsid w:val="00D86578"/>
    <w:rsid w:val="00D94EF0"/>
    <w:rsid w:val="00DC2F0E"/>
    <w:rsid w:val="00DC5AE6"/>
    <w:rsid w:val="00DF5052"/>
    <w:rsid w:val="00E118BE"/>
    <w:rsid w:val="00E82202"/>
    <w:rsid w:val="00EF1988"/>
    <w:rsid w:val="00F162C5"/>
    <w:rsid w:val="00F32EDC"/>
    <w:rsid w:val="00FB6F79"/>
    <w:rsid w:val="00FD1B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41" fillcolor="white">
      <v:fill color="white"/>
      <v:stroke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color w:val="000000"/>
      <w:lang w:val="en-CA"/>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ind w:left="720"/>
      <w:jc w:val="right"/>
    </w:pPr>
    <w:rPr>
      <w:rFonts w:ascii="Arial" w:hAnsi="Arial" w:cs="Arial"/>
      <w:bCs/>
      <w:lang w:val="en-CA"/>
    </w:rPr>
  </w:style>
  <w:style w:type="paragraph" w:customStyle="1" w:styleId="Level1">
    <w:name w:val="Level 1"/>
    <w:basedOn w:val="Normal"/>
    <w:pPr>
      <w:widowControl w:val="0"/>
      <w:numPr>
        <w:numId w:val="1"/>
      </w:numPr>
      <w:autoSpaceDE w:val="0"/>
      <w:autoSpaceDN w:val="0"/>
      <w:adjustRightInd w:val="0"/>
      <w:ind w:left="1440" w:hanging="720"/>
      <w:outlineLvl w:val="0"/>
    </w:pPr>
    <w:rPr>
      <w:rFonts w:ascii="Arial" w:hAnsi="Arial"/>
      <w:sz w:val="20"/>
    </w:rPr>
  </w:style>
  <w:style w:type="paragraph" w:styleId="Header">
    <w:name w:val="header"/>
    <w:aliases w:val="Page#"/>
    <w:basedOn w:val="Normal"/>
    <w:autoRedefine/>
    <w:pPr>
      <w:tabs>
        <w:tab w:val="center" w:pos="4320"/>
        <w:tab w:val="right" w:pos="8640"/>
      </w:tabs>
      <w:jc w:val="right"/>
    </w:pPr>
    <w:rPr>
      <w:rFonts w:ascii="Arial" w:hAnsi="Arial"/>
      <w:b/>
      <w:lang w:val="en-C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rPr>
      <w:lang w:val="en-GB"/>
    </w:rPr>
  </w:style>
  <w:style w:type="paragraph" w:styleId="BlockText">
    <w:name w:val="Block Text"/>
    <w:basedOn w:val="Normal"/>
    <w:pPr>
      <w:spacing w:after="120"/>
      <w:ind w:left="1440" w:right="1440"/>
    </w:pPr>
  </w:style>
  <w:style w:type="paragraph" w:customStyle="1" w:styleId="DefaultParagraphFontnew">
    <w:name w:val="Default Paragraph Font new"/>
    <w:basedOn w:val="Normal"/>
    <w:autoRedefine/>
    <w:rPr>
      <w:rFonts w:ascii="Arial" w:hAnsi="Arial"/>
      <w:lang w:val="en-CA"/>
    </w:rPr>
  </w:style>
  <w:style w:type="paragraph" w:customStyle="1" w:styleId="APPEARANCES">
    <w:name w:val="APPEARANCES"/>
    <w:basedOn w:val="DefaultParagraphFontnew"/>
    <w:rPr>
      <w:b/>
      <w:spacing w:val="40"/>
    </w:rPr>
  </w:style>
  <w:style w:type="paragraph" w:customStyle="1" w:styleId="Parties">
    <w:name w:val="Parties"/>
    <w:basedOn w:val="DefaultParagraphFontnew"/>
    <w:rPr>
      <w:b/>
      <w:u w:val="single"/>
    </w:rPr>
  </w:style>
  <w:style w:type="paragraph" w:customStyle="1" w:styleId="CounselAgent">
    <w:name w:val="Counsel*/Agent"/>
    <w:basedOn w:val="DefaultParagraphFontnew"/>
    <w:rPr>
      <w:b/>
      <w:u w:val="single"/>
    </w:rPr>
  </w:style>
  <w:style w:type="paragraph" w:customStyle="1" w:styleId="DecisionDeliveredby">
    <w:name w:val="Decision Delivered by"/>
    <w:basedOn w:val="DefaultParagraphFontnew"/>
    <w:autoRedefine/>
    <w:rsid w:val="00AA4455"/>
    <w:pPr>
      <w:ind w:left="700" w:right="720"/>
      <w:jc w:val="both"/>
    </w:pPr>
    <w:rPr>
      <w:b/>
    </w:rPr>
  </w:style>
  <w:style w:type="paragraph" w:customStyle="1" w:styleId="CaseNo">
    <w:name w:val="Case No"/>
    <w:basedOn w:val="Caption"/>
    <w:rPr>
      <w:noProof/>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lang w:val="en-US"/>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DecisionBodyquotation">
    <w:name w:val="DecisionBody quotation"/>
    <w:basedOn w:val="DecisionBody"/>
    <w:rsid w:val="00FD1B11"/>
    <w:pPr>
      <w:spacing w:before="120" w:after="120" w:line="240" w:lineRule="auto"/>
      <w:ind w:left="1440"/>
    </w:pPr>
    <w:rPr>
      <w:sz w:val="22"/>
    </w:rPr>
  </w:style>
  <w:style w:type="paragraph" w:customStyle="1" w:styleId="MailingList">
    <w:name w:val="MailingList"/>
    <w:basedOn w:val="DefaultParagraphFontnew"/>
    <w:autoRedefine/>
    <w:pPr>
      <w:jc w:val="center"/>
      <w:outlineLvl w:val="3"/>
    </w:pPr>
    <w:rPr>
      <w:b/>
      <w:u w:val="single"/>
    </w:rPr>
  </w:style>
  <w:style w:type="paragraph" w:customStyle="1" w:styleId="Mailingtable">
    <w:name w:val="Mailingtable"/>
    <w:basedOn w:val="DefaultParagraphFontnew"/>
    <w:autoRedefine/>
  </w:style>
  <w:style w:type="paragraph" w:customStyle="1" w:styleId="Quote">
    <w:name w:val="Quote#"/>
    <w:basedOn w:val="DefaultParagraphFontnew"/>
    <w:rPr>
      <w:sz w:val="22"/>
    </w:rPr>
  </w:style>
  <w:style w:type="paragraph" w:styleId="Quote0">
    <w:name w:val="Quote"/>
    <w:basedOn w:val="Parties"/>
    <w:autoRedefine/>
    <w:qFormat/>
    <w:pPr>
      <w:ind w:left="400" w:right="400"/>
    </w:pPr>
    <w:rPr>
      <w:b w:val="0"/>
      <w:sz w:val="22"/>
      <w:u w:val="none"/>
    </w:rPr>
  </w:style>
  <w:style w:type="paragraph" w:customStyle="1" w:styleId="StyleofClause">
    <w:name w:val="StyleofClause"/>
    <w:basedOn w:val="DefaultParagraphFontnew"/>
    <w:autoRedefine/>
    <w:pPr>
      <w:jc w:val="both"/>
    </w:pPr>
    <w:rPr>
      <w:sz w:val="22"/>
    </w:rPr>
  </w:style>
  <w:style w:type="paragraph" w:customStyle="1" w:styleId="Member">
    <w:name w:val="Member"/>
    <w:basedOn w:val="DefaultParagraphFontnew"/>
    <w:autoRedefine/>
    <w:pPr>
      <w:ind w:left="5760"/>
    </w:pPr>
  </w:style>
  <w:style w:type="paragraph" w:customStyle="1" w:styleId="DecisionBody">
    <w:name w:val="DecisionBody"/>
    <w:basedOn w:val="DefaultParagraphFontnew"/>
    <w:pPr>
      <w:spacing w:before="240" w:after="240" w:line="360" w:lineRule="atLeast"/>
      <w:jc w:val="both"/>
    </w:pPr>
  </w:style>
  <w:style w:type="paragraph" w:customStyle="1" w:styleId="CaseNoHeader">
    <w:name w:val="CaseNoHeader"/>
    <w:basedOn w:val="Header"/>
    <w:autoRedefine/>
    <w:rPr>
      <w:b w:val="0"/>
    </w:rPr>
  </w:style>
  <w:style w:type="paragraph" w:customStyle="1" w:styleId="DecisionBodyquotationRight1">
    <w:name w:val="DecisionBody quotation + Right:  1&quot;"/>
    <w:basedOn w:val="DecisionBodyquotation"/>
    <w:rsid w:val="00FD1B11"/>
    <w:pPr>
      <w:ind w:right="1440"/>
    </w:pPr>
    <w:rPr>
      <w:szCs w:val="20"/>
    </w:rPr>
  </w:style>
  <w:style w:type="paragraph" w:styleId="BalloonText">
    <w:name w:val="Balloon Text"/>
    <w:basedOn w:val="Normal"/>
    <w:link w:val="BalloonTextChar"/>
    <w:rsid w:val="00D0012E"/>
    <w:rPr>
      <w:rFonts w:ascii="Tahoma" w:hAnsi="Tahoma" w:cs="Tahoma"/>
      <w:sz w:val="16"/>
      <w:szCs w:val="16"/>
    </w:rPr>
  </w:style>
  <w:style w:type="character" w:customStyle="1" w:styleId="BalloonTextChar">
    <w:name w:val="Balloon Text Char"/>
    <w:basedOn w:val="DefaultParagraphFont"/>
    <w:link w:val="BalloonText"/>
    <w:rsid w:val="00D0012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color w:val="000000"/>
      <w:lang w:val="en-CA"/>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ind w:left="720"/>
      <w:jc w:val="right"/>
    </w:pPr>
    <w:rPr>
      <w:rFonts w:ascii="Arial" w:hAnsi="Arial" w:cs="Arial"/>
      <w:bCs/>
      <w:lang w:val="en-CA"/>
    </w:rPr>
  </w:style>
  <w:style w:type="paragraph" w:customStyle="1" w:styleId="Level1">
    <w:name w:val="Level 1"/>
    <w:basedOn w:val="Normal"/>
    <w:pPr>
      <w:widowControl w:val="0"/>
      <w:numPr>
        <w:numId w:val="1"/>
      </w:numPr>
      <w:autoSpaceDE w:val="0"/>
      <w:autoSpaceDN w:val="0"/>
      <w:adjustRightInd w:val="0"/>
      <w:ind w:left="1440" w:hanging="720"/>
      <w:outlineLvl w:val="0"/>
    </w:pPr>
    <w:rPr>
      <w:rFonts w:ascii="Arial" w:hAnsi="Arial"/>
      <w:sz w:val="20"/>
    </w:rPr>
  </w:style>
  <w:style w:type="paragraph" w:styleId="Header">
    <w:name w:val="header"/>
    <w:aliases w:val="Page#"/>
    <w:basedOn w:val="Normal"/>
    <w:autoRedefine/>
    <w:pPr>
      <w:tabs>
        <w:tab w:val="center" w:pos="4320"/>
        <w:tab w:val="right" w:pos="8640"/>
      </w:tabs>
      <w:jc w:val="right"/>
    </w:pPr>
    <w:rPr>
      <w:rFonts w:ascii="Arial" w:hAnsi="Arial"/>
      <w:b/>
      <w:lang w:val="en-C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rPr>
      <w:lang w:val="en-GB"/>
    </w:rPr>
  </w:style>
  <w:style w:type="paragraph" w:styleId="BlockText">
    <w:name w:val="Block Text"/>
    <w:basedOn w:val="Normal"/>
    <w:pPr>
      <w:spacing w:after="120"/>
      <w:ind w:left="1440" w:right="1440"/>
    </w:pPr>
  </w:style>
  <w:style w:type="paragraph" w:customStyle="1" w:styleId="DefaultParagraphFontnew">
    <w:name w:val="Default Paragraph Font new"/>
    <w:basedOn w:val="Normal"/>
    <w:autoRedefine/>
    <w:rPr>
      <w:rFonts w:ascii="Arial" w:hAnsi="Arial"/>
      <w:lang w:val="en-CA"/>
    </w:rPr>
  </w:style>
  <w:style w:type="paragraph" w:customStyle="1" w:styleId="APPEARANCES">
    <w:name w:val="APPEARANCES"/>
    <w:basedOn w:val="DefaultParagraphFontnew"/>
    <w:rPr>
      <w:b/>
      <w:spacing w:val="40"/>
    </w:rPr>
  </w:style>
  <w:style w:type="paragraph" w:customStyle="1" w:styleId="Parties">
    <w:name w:val="Parties"/>
    <w:basedOn w:val="DefaultParagraphFontnew"/>
    <w:rPr>
      <w:b/>
      <w:u w:val="single"/>
    </w:rPr>
  </w:style>
  <w:style w:type="paragraph" w:customStyle="1" w:styleId="CounselAgent">
    <w:name w:val="Counsel*/Agent"/>
    <w:basedOn w:val="DefaultParagraphFontnew"/>
    <w:rPr>
      <w:b/>
      <w:u w:val="single"/>
    </w:rPr>
  </w:style>
  <w:style w:type="paragraph" w:customStyle="1" w:styleId="DecisionDeliveredby">
    <w:name w:val="Decision Delivered by"/>
    <w:basedOn w:val="DefaultParagraphFontnew"/>
    <w:autoRedefine/>
    <w:rsid w:val="00AA4455"/>
    <w:pPr>
      <w:ind w:left="700" w:right="720"/>
      <w:jc w:val="both"/>
    </w:pPr>
    <w:rPr>
      <w:b/>
    </w:rPr>
  </w:style>
  <w:style w:type="paragraph" w:customStyle="1" w:styleId="CaseNo">
    <w:name w:val="Case No"/>
    <w:basedOn w:val="Caption"/>
    <w:rPr>
      <w:noProof/>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lang w:val="en-US"/>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DecisionBodyquotation">
    <w:name w:val="DecisionBody quotation"/>
    <w:basedOn w:val="DecisionBody"/>
    <w:rsid w:val="00FD1B11"/>
    <w:pPr>
      <w:spacing w:before="120" w:after="120" w:line="240" w:lineRule="auto"/>
      <w:ind w:left="1440"/>
    </w:pPr>
    <w:rPr>
      <w:sz w:val="22"/>
    </w:rPr>
  </w:style>
  <w:style w:type="paragraph" w:customStyle="1" w:styleId="MailingList">
    <w:name w:val="MailingList"/>
    <w:basedOn w:val="DefaultParagraphFontnew"/>
    <w:autoRedefine/>
    <w:pPr>
      <w:jc w:val="center"/>
      <w:outlineLvl w:val="3"/>
    </w:pPr>
    <w:rPr>
      <w:b/>
      <w:u w:val="single"/>
    </w:rPr>
  </w:style>
  <w:style w:type="paragraph" w:customStyle="1" w:styleId="Mailingtable">
    <w:name w:val="Mailingtable"/>
    <w:basedOn w:val="DefaultParagraphFontnew"/>
    <w:autoRedefine/>
  </w:style>
  <w:style w:type="paragraph" w:customStyle="1" w:styleId="Quote">
    <w:name w:val="Quote#"/>
    <w:basedOn w:val="DefaultParagraphFontnew"/>
    <w:rPr>
      <w:sz w:val="22"/>
    </w:rPr>
  </w:style>
  <w:style w:type="paragraph" w:styleId="Quote0">
    <w:name w:val="Quote"/>
    <w:basedOn w:val="Parties"/>
    <w:autoRedefine/>
    <w:qFormat/>
    <w:pPr>
      <w:ind w:left="400" w:right="400"/>
    </w:pPr>
    <w:rPr>
      <w:b w:val="0"/>
      <w:sz w:val="22"/>
      <w:u w:val="none"/>
    </w:rPr>
  </w:style>
  <w:style w:type="paragraph" w:customStyle="1" w:styleId="StyleofClause">
    <w:name w:val="StyleofClause"/>
    <w:basedOn w:val="DefaultParagraphFontnew"/>
    <w:autoRedefine/>
    <w:pPr>
      <w:jc w:val="both"/>
    </w:pPr>
    <w:rPr>
      <w:sz w:val="22"/>
    </w:rPr>
  </w:style>
  <w:style w:type="paragraph" w:customStyle="1" w:styleId="Member">
    <w:name w:val="Member"/>
    <w:basedOn w:val="DefaultParagraphFontnew"/>
    <w:autoRedefine/>
    <w:pPr>
      <w:ind w:left="5760"/>
    </w:pPr>
  </w:style>
  <w:style w:type="paragraph" w:customStyle="1" w:styleId="DecisionBody">
    <w:name w:val="DecisionBody"/>
    <w:basedOn w:val="DefaultParagraphFontnew"/>
    <w:pPr>
      <w:spacing w:before="240" w:after="240" w:line="360" w:lineRule="atLeast"/>
      <w:jc w:val="both"/>
    </w:pPr>
  </w:style>
  <w:style w:type="paragraph" w:customStyle="1" w:styleId="CaseNoHeader">
    <w:name w:val="CaseNoHeader"/>
    <w:basedOn w:val="Header"/>
    <w:autoRedefine/>
    <w:rPr>
      <w:b w:val="0"/>
    </w:rPr>
  </w:style>
  <w:style w:type="paragraph" w:customStyle="1" w:styleId="DecisionBodyquotationRight1">
    <w:name w:val="DecisionBody quotation + Right:  1&quot;"/>
    <w:basedOn w:val="DecisionBodyquotation"/>
    <w:rsid w:val="00FD1B11"/>
    <w:pPr>
      <w:ind w:right="1440"/>
    </w:pPr>
    <w:rPr>
      <w:szCs w:val="20"/>
    </w:rPr>
  </w:style>
  <w:style w:type="paragraph" w:styleId="BalloonText">
    <w:name w:val="Balloon Text"/>
    <w:basedOn w:val="Normal"/>
    <w:link w:val="BalloonTextChar"/>
    <w:rsid w:val="00D0012E"/>
    <w:rPr>
      <w:rFonts w:ascii="Tahoma" w:hAnsi="Tahoma" w:cs="Tahoma"/>
      <w:sz w:val="16"/>
      <w:szCs w:val="16"/>
    </w:rPr>
  </w:style>
  <w:style w:type="character" w:customStyle="1" w:styleId="BalloonTextChar">
    <w:name w:val="Balloon Text Char"/>
    <w:basedOn w:val="DefaultParagraphFont"/>
    <w:link w:val="BalloonText"/>
    <w:rsid w:val="00D0012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9A35F-FEA4-46EC-8F35-6F2351808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799</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Municipal Affairs &amp; Housing</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schills</dc:creator>
  <cp:lastModifiedBy>Pilon, Kelly (JUS)</cp:lastModifiedBy>
  <cp:revision>5</cp:revision>
  <cp:lastPrinted>2012-04-16T14:09:00Z</cp:lastPrinted>
  <dcterms:created xsi:type="dcterms:W3CDTF">2012-04-13T15:33:00Z</dcterms:created>
  <dcterms:modified xsi:type="dcterms:W3CDTF">2012-04-16T14:09:00Z</dcterms:modified>
</cp:coreProperties>
</file>