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4"/>
        <w:tblOverlap w:val="never"/>
        <w:tblW w:w="0" w:type="auto"/>
        <w:tblLayout w:type="fixed"/>
        <w:tblLook w:val="0000" w:firstRow="0" w:lastRow="0" w:firstColumn="0" w:lastColumn="0" w:noHBand="0" w:noVBand="0"/>
      </w:tblPr>
      <w:tblGrid>
        <w:gridCol w:w="6487"/>
      </w:tblGrid>
      <w:tr w:rsidR="00513CCD" w:rsidRPr="009936CF" w:rsidTr="006F2DF2">
        <w:tc>
          <w:tcPr>
            <w:tcW w:w="6487" w:type="dxa"/>
          </w:tcPr>
          <w:p w:rsidR="00513CCD" w:rsidRPr="009936CF" w:rsidRDefault="00513CCD" w:rsidP="00B818DE">
            <w:pPr>
              <w:rPr>
                <w:rFonts w:ascii="Arial" w:hAnsi="Arial"/>
                <w:b/>
                <w:sz w:val="32"/>
                <w:szCs w:val="32"/>
                <w:lang w:val="en-CA"/>
              </w:rPr>
            </w:pPr>
            <w:r w:rsidRPr="009936CF">
              <w:rPr>
                <w:rFonts w:ascii="Arial" w:hAnsi="Arial"/>
                <w:b/>
                <w:sz w:val="32"/>
                <w:szCs w:val="32"/>
                <w:lang w:val="en-CA"/>
              </w:rPr>
              <w:t>Ontario Municipal Board</w:t>
            </w:r>
          </w:p>
        </w:tc>
      </w:tr>
      <w:tr w:rsidR="00513CCD" w:rsidRPr="007872DF" w:rsidTr="006F2DF2">
        <w:tc>
          <w:tcPr>
            <w:tcW w:w="6487" w:type="dxa"/>
          </w:tcPr>
          <w:p w:rsidR="0076119A" w:rsidRPr="00AC4A12" w:rsidRDefault="00350E1B" w:rsidP="0076119A">
            <w:pPr>
              <w:rPr>
                <w:rFonts w:ascii="Arial" w:hAnsi="Arial"/>
                <w:sz w:val="32"/>
                <w:szCs w:val="32"/>
                <w:lang w:val="fr-CA"/>
              </w:rPr>
            </w:pPr>
            <w:r w:rsidRPr="00AC4A12">
              <w:rPr>
                <w:rFonts w:ascii="Arial" w:hAnsi="Arial"/>
                <w:sz w:val="32"/>
                <w:szCs w:val="32"/>
                <w:lang w:val="fr-CA"/>
              </w:rPr>
              <w:t>Commission de</w:t>
            </w:r>
            <w:r w:rsidR="0076119A" w:rsidRPr="00AC4A12">
              <w:rPr>
                <w:rFonts w:ascii="Arial" w:hAnsi="Arial"/>
                <w:sz w:val="32"/>
                <w:szCs w:val="32"/>
                <w:lang w:val="fr-CA"/>
              </w:rPr>
              <w:t>s</w:t>
            </w:r>
            <w:r w:rsidRPr="00AC4A12">
              <w:rPr>
                <w:rFonts w:ascii="Arial" w:hAnsi="Arial"/>
                <w:sz w:val="32"/>
                <w:szCs w:val="32"/>
                <w:lang w:val="fr-CA"/>
              </w:rPr>
              <w:t xml:space="preserve"> affaires</w:t>
            </w:r>
            <w:r w:rsidR="0076119A" w:rsidRPr="00AC4A12">
              <w:rPr>
                <w:rFonts w:ascii="Arial" w:hAnsi="Arial"/>
                <w:sz w:val="32"/>
                <w:szCs w:val="32"/>
                <w:lang w:val="fr-CA"/>
              </w:rPr>
              <w:t xml:space="preserve"> </w:t>
            </w:r>
            <w:r w:rsidRPr="00AC4A12">
              <w:rPr>
                <w:rFonts w:ascii="Arial" w:hAnsi="Arial"/>
                <w:sz w:val="32"/>
                <w:szCs w:val="32"/>
                <w:lang w:val="fr-CA"/>
              </w:rPr>
              <w:t>municipales</w:t>
            </w:r>
          </w:p>
          <w:p w:rsidR="00513CCD" w:rsidRPr="00AC4A12" w:rsidRDefault="00350E1B" w:rsidP="0076119A">
            <w:pPr>
              <w:rPr>
                <w:rFonts w:ascii="Arial" w:hAnsi="Arial"/>
                <w:b/>
                <w:sz w:val="32"/>
                <w:szCs w:val="32"/>
                <w:lang w:val="fr-CA"/>
              </w:rPr>
            </w:pPr>
            <w:r w:rsidRPr="00AC4A12">
              <w:rPr>
                <w:rFonts w:ascii="Arial" w:hAnsi="Arial"/>
                <w:sz w:val="32"/>
                <w:szCs w:val="32"/>
                <w:lang w:val="fr-CA"/>
              </w:rPr>
              <w:t>de l’Ontario</w:t>
            </w:r>
          </w:p>
        </w:tc>
      </w:tr>
    </w:tbl>
    <w:p w:rsidR="006A19B7" w:rsidRPr="00AC4A12" w:rsidRDefault="00A17C3F" w:rsidP="005A767F">
      <w:pPr>
        <w:rPr>
          <w:sz w:val="20"/>
          <w:lang w:val="fr-CA"/>
        </w:rPr>
      </w:pPr>
      <w:r>
        <w:rPr>
          <w:noProof/>
          <w:lang w:val="en-CA" w:eastAsia="en-CA"/>
        </w:rPr>
        <w:drawing>
          <wp:anchor distT="0" distB="0" distL="114300" distR="114300" simplePos="0" relativeHeight="251657728" behindDoc="1" locked="0" layoutInCell="1" allowOverlap="1">
            <wp:simplePos x="0" y="0"/>
            <wp:positionH relativeFrom="column">
              <wp:posOffset>290830</wp:posOffset>
            </wp:positionH>
            <wp:positionV relativeFrom="paragraph">
              <wp:posOffset>-377190</wp:posOffset>
            </wp:positionV>
            <wp:extent cx="1184275" cy="1191260"/>
            <wp:effectExtent l="0" t="0" r="0" b="8890"/>
            <wp:wrapNone/>
            <wp:docPr id="2" name="Picture 28" descr="o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on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27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3B7" w:rsidRPr="00AC4A12" w:rsidRDefault="00EA73B7" w:rsidP="005A767F">
      <w:pPr>
        <w:rPr>
          <w:lang w:val="fr-CA"/>
        </w:rPr>
      </w:pPr>
    </w:p>
    <w:p w:rsidR="00D66856" w:rsidRPr="00AC4A12" w:rsidRDefault="00D66856" w:rsidP="005A767F">
      <w:pPr>
        <w:rPr>
          <w:rFonts w:ascii="Arial" w:hAnsi="Arial" w:cs="Arial"/>
          <w:lang w:val="fr-CA"/>
        </w:rPr>
      </w:pPr>
      <w:bookmarkStart w:id="0" w:name="Appearances"/>
    </w:p>
    <w:p w:rsidR="00D66856" w:rsidRPr="00AC4A12" w:rsidRDefault="00D66856" w:rsidP="005A767F">
      <w:pPr>
        <w:rPr>
          <w:rFonts w:ascii="Arial" w:hAnsi="Arial" w:cs="Arial"/>
          <w:sz w:val="32"/>
          <w:szCs w:val="32"/>
          <w:lang w:val="fr-CA"/>
        </w:rPr>
      </w:pPr>
    </w:p>
    <w:p w:rsidR="00AB07FC" w:rsidRPr="00AC4A12" w:rsidRDefault="00AB07FC" w:rsidP="005A767F">
      <w:pPr>
        <w:rPr>
          <w:rFonts w:ascii="Arial" w:hAnsi="Arial" w:cs="Arial"/>
          <w:sz w:val="32"/>
          <w:szCs w:val="32"/>
          <w:lang w:val="fr-CA"/>
        </w:rPr>
      </w:pPr>
    </w:p>
    <w:tbl>
      <w:tblPr>
        <w:tblpPr w:leftFromText="181" w:rightFromText="181" w:vertAnchor="text" w:horzAnchor="margin" w:tblpY="189"/>
        <w:tblW w:w="9606" w:type="dxa"/>
        <w:tblLook w:val="04A0" w:firstRow="1" w:lastRow="0" w:firstColumn="1" w:lastColumn="0" w:noHBand="0" w:noVBand="1"/>
      </w:tblPr>
      <w:tblGrid>
        <w:gridCol w:w="1818"/>
        <w:gridCol w:w="3960"/>
        <w:gridCol w:w="2127"/>
        <w:gridCol w:w="1701"/>
      </w:tblGrid>
      <w:tr w:rsidR="00EA73B7" w:rsidRPr="003B7D01" w:rsidTr="004A497F">
        <w:tc>
          <w:tcPr>
            <w:tcW w:w="1818" w:type="dxa"/>
            <w:shd w:val="clear" w:color="auto" w:fill="auto"/>
            <w:vAlign w:val="center"/>
          </w:tcPr>
          <w:p w:rsidR="00EA73B7" w:rsidRPr="003B7D01" w:rsidRDefault="00EA73B7" w:rsidP="005A767F">
            <w:pPr>
              <w:rPr>
                <w:rFonts w:ascii="Arial" w:hAnsi="Arial" w:cs="Arial"/>
                <w:lang w:val="en-CA"/>
              </w:rPr>
            </w:pPr>
            <w:r w:rsidRPr="003B7D01">
              <w:rPr>
                <w:rFonts w:ascii="Arial" w:hAnsi="Arial" w:cs="Arial"/>
                <w:b/>
                <w:lang w:val="en-CA"/>
              </w:rPr>
              <w:t>ISSUE DATE</w:t>
            </w:r>
            <w:r w:rsidRPr="003B7D01">
              <w:rPr>
                <w:rFonts w:ascii="Arial" w:hAnsi="Arial" w:cs="Arial"/>
                <w:lang w:val="en-CA"/>
              </w:rPr>
              <w:t>:</w:t>
            </w:r>
          </w:p>
        </w:tc>
        <w:tc>
          <w:tcPr>
            <w:tcW w:w="3960" w:type="dxa"/>
            <w:shd w:val="clear" w:color="auto" w:fill="auto"/>
            <w:vAlign w:val="center"/>
          </w:tcPr>
          <w:p w:rsidR="00EA73B7" w:rsidRPr="007872DF" w:rsidRDefault="007872DF" w:rsidP="005A767F">
            <w:pPr>
              <w:rPr>
                <w:rFonts w:ascii="Arial" w:hAnsi="Arial" w:cs="Arial"/>
                <w:color w:val="FF0000"/>
                <w:lang w:val="en-CA"/>
              </w:rPr>
            </w:pPr>
            <w:r w:rsidRPr="007872DF">
              <w:rPr>
                <w:rFonts w:ascii="Arial" w:hAnsi="Arial" w:cs="Arial"/>
                <w:lang w:val="en-CA"/>
              </w:rPr>
              <w:t>August 22, 2014</w:t>
            </w:r>
          </w:p>
        </w:tc>
        <w:tc>
          <w:tcPr>
            <w:tcW w:w="2127" w:type="dxa"/>
            <w:shd w:val="clear" w:color="auto" w:fill="auto"/>
            <w:vAlign w:val="center"/>
          </w:tcPr>
          <w:p w:rsidR="00EA73B7" w:rsidRPr="003B7D01" w:rsidRDefault="00EA73B7" w:rsidP="005A767F">
            <w:pPr>
              <w:jc w:val="right"/>
              <w:rPr>
                <w:rFonts w:ascii="Arial" w:hAnsi="Arial" w:cs="Arial"/>
                <w:b/>
                <w:lang w:val="en-CA"/>
              </w:rPr>
            </w:pPr>
            <w:r w:rsidRPr="003B7D01">
              <w:rPr>
                <w:rFonts w:ascii="Arial" w:hAnsi="Arial" w:cs="Arial"/>
                <w:lang w:val="en-CA"/>
              </w:rPr>
              <w:fldChar w:fldCharType="begin"/>
            </w:r>
            <w:r w:rsidRPr="003B7D01">
              <w:rPr>
                <w:rFonts w:ascii="Arial" w:hAnsi="Arial" w:cs="Arial"/>
                <w:lang w:val="en-CA"/>
              </w:rPr>
              <w:instrText xml:space="preserve"> SEQ CHAPTER \h \r 1</w:instrText>
            </w:r>
            <w:r w:rsidRPr="003B7D01">
              <w:rPr>
                <w:rFonts w:ascii="Arial" w:hAnsi="Arial" w:cs="Arial"/>
                <w:lang w:val="en-CA"/>
              </w:rPr>
              <w:fldChar w:fldCharType="end"/>
            </w:r>
            <w:r w:rsidRPr="003B7D01">
              <w:rPr>
                <w:rFonts w:ascii="Arial" w:hAnsi="Arial" w:cs="Arial"/>
                <w:b/>
                <w:lang w:val="en-CA"/>
              </w:rPr>
              <w:t>CASE NO(S).:</w:t>
            </w:r>
          </w:p>
        </w:tc>
        <w:tc>
          <w:tcPr>
            <w:tcW w:w="1701" w:type="dxa"/>
            <w:shd w:val="clear" w:color="auto" w:fill="auto"/>
            <w:vAlign w:val="center"/>
          </w:tcPr>
          <w:p w:rsidR="00EA73B7" w:rsidRPr="003B7D01" w:rsidRDefault="00AC4A12" w:rsidP="005A767F">
            <w:pPr>
              <w:jc w:val="right"/>
              <w:rPr>
                <w:rFonts w:ascii="Arial" w:hAnsi="Arial" w:cs="Arial"/>
                <w:lang w:val="en-CA"/>
              </w:rPr>
            </w:pPr>
            <w:r w:rsidRPr="003B7D01">
              <w:rPr>
                <w:rFonts w:ascii="Arial" w:hAnsi="Arial" w:cs="Arial"/>
                <w:lang w:val="en-CA"/>
              </w:rPr>
              <w:t>PL130601</w:t>
            </w:r>
          </w:p>
          <w:p w:rsidR="00AC4A12" w:rsidRPr="003B7D01" w:rsidRDefault="00AC4A12" w:rsidP="005A767F">
            <w:pPr>
              <w:jc w:val="right"/>
              <w:rPr>
                <w:rFonts w:ascii="Arial" w:hAnsi="Arial" w:cs="Arial"/>
                <w:lang w:val="en-CA"/>
              </w:rPr>
            </w:pPr>
            <w:r w:rsidRPr="003B7D01">
              <w:rPr>
                <w:rFonts w:ascii="Arial" w:hAnsi="Arial" w:cs="Arial"/>
                <w:lang w:val="en-CA"/>
              </w:rPr>
              <w:t>PL131089</w:t>
            </w:r>
          </w:p>
          <w:p w:rsidR="00AC4A12" w:rsidRPr="003B7D01" w:rsidRDefault="00AC4A12" w:rsidP="005A767F">
            <w:pPr>
              <w:jc w:val="right"/>
              <w:rPr>
                <w:rFonts w:ascii="Arial" w:hAnsi="Arial" w:cs="Arial"/>
                <w:lang w:val="en-CA"/>
              </w:rPr>
            </w:pPr>
            <w:r w:rsidRPr="003B7D01">
              <w:rPr>
                <w:rFonts w:ascii="Arial" w:hAnsi="Arial" w:cs="Arial"/>
                <w:lang w:val="en-CA"/>
              </w:rPr>
              <w:t>PL130630</w:t>
            </w:r>
          </w:p>
          <w:p w:rsidR="00AC4A12" w:rsidRPr="003B7D01" w:rsidRDefault="00AC4A12" w:rsidP="005A767F">
            <w:pPr>
              <w:jc w:val="right"/>
              <w:rPr>
                <w:rFonts w:ascii="Arial" w:hAnsi="Arial" w:cs="Arial"/>
                <w:lang w:val="en-CA"/>
              </w:rPr>
            </w:pPr>
            <w:r w:rsidRPr="003B7D01">
              <w:rPr>
                <w:rFonts w:ascii="Arial" w:hAnsi="Arial" w:cs="Arial"/>
                <w:lang w:val="en-CA"/>
              </w:rPr>
              <w:t>PL130909</w:t>
            </w:r>
          </w:p>
          <w:p w:rsidR="00AC4A12" w:rsidRPr="003B7D01" w:rsidRDefault="00AC4A12" w:rsidP="005A767F">
            <w:pPr>
              <w:jc w:val="right"/>
              <w:rPr>
                <w:rFonts w:ascii="Arial" w:hAnsi="Arial" w:cs="Arial"/>
                <w:lang w:val="en-CA"/>
              </w:rPr>
            </w:pPr>
            <w:r w:rsidRPr="003B7D01">
              <w:rPr>
                <w:rFonts w:ascii="Arial" w:hAnsi="Arial" w:cs="Arial"/>
                <w:lang w:val="en-CA"/>
              </w:rPr>
              <w:t>PL131311</w:t>
            </w:r>
          </w:p>
        </w:tc>
      </w:tr>
    </w:tbl>
    <w:p w:rsidR="00EA73B7" w:rsidRPr="003B7D01" w:rsidRDefault="00EA73B7" w:rsidP="005A767F">
      <w:pPr>
        <w:rPr>
          <w:rFonts w:ascii="Arial" w:hAnsi="Arial" w:cs="Arial"/>
          <w:lang w:val="en-CA"/>
        </w:rPr>
      </w:pPr>
    </w:p>
    <w:tbl>
      <w:tblPr>
        <w:tblW w:w="0" w:type="auto"/>
        <w:tblBorders>
          <w:insideH w:val="nil"/>
          <w:insideV w:val="nil"/>
        </w:tblBorders>
        <w:tblLook w:val="00A0" w:firstRow="1" w:lastRow="0" w:firstColumn="1" w:lastColumn="0" w:noHBand="0" w:noVBand="0"/>
      </w:tblPr>
      <w:tblGrid>
        <w:gridCol w:w="3798"/>
        <w:gridCol w:w="5058"/>
      </w:tblGrid>
      <w:tr w:rsidR="00A23160" w:rsidRPr="003B7D01" w:rsidTr="00A23160">
        <w:tc>
          <w:tcPr>
            <w:tcW w:w="8856" w:type="dxa"/>
            <w:gridSpan w:val="2"/>
          </w:tcPr>
          <w:p w:rsidR="00A23160" w:rsidRPr="003B7D01" w:rsidRDefault="00A23160" w:rsidP="00834B93">
            <w:pPr>
              <w:jc w:val="both"/>
              <w:rPr>
                <w:rFonts w:ascii="Arial" w:hAnsi="Arial" w:cs="Arial"/>
                <w:lang w:val="en-CA"/>
              </w:rPr>
            </w:pPr>
            <w:r w:rsidRPr="003B7D01">
              <w:rPr>
                <w:rFonts w:ascii="Arial" w:hAnsi="Arial" w:cs="Arial"/>
                <w:b/>
                <w:lang w:val="en-CA"/>
              </w:rPr>
              <w:t>PROCEEDING COMMENCED UNDER</w:t>
            </w:r>
            <w:r w:rsidRPr="003B7D01">
              <w:rPr>
                <w:rFonts w:ascii="Arial" w:hAnsi="Arial" w:cs="Arial"/>
                <w:lang w:val="en-CA"/>
              </w:rPr>
              <w:t xml:space="preserve"> </w:t>
            </w:r>
            <w:r w:rsidR="00834B93">
              <w:rPr>
                <w:rFonts w:ascii="Arial" w:hAnsi="Arial" w:cs="Arial"/>
                <w:lang w:val="en-CA"/>
              </w:rPr>
              <w:t>s</w:t>
            </w:r>
            <w:r w:rsidRPr="003B7D01">
              <w:rPr>
                <w:rFonts w:ascii="Arial" w:hAnsi="Arial" w:cs="Arial"/>
                <w:lang w:val="en-CA"/>
              </w:rPr>
              <w:t xml:space="preserve">ubsection 53(19) of the </w:t>
            </w:r>
            <w:r w:rsidRPr="003B7D01">
              <w:rPr>
                <w:rFonts w:ascii="Arial" w:hAnsi="Arial" w:cs="Arial"/>
                <w:i/>
                <w:iCs/>
                <w:lang w:val="en-CA"/>
              </w:rPr>
              <w:t>Planning Act</w:t>
            </w:r>
            <w:r w:rsidRPr="003B7D01">
              <w:rPr>
                <w:rFonts w:ascii="Arial" w:hAnsi="Arial" w:cs="Arial"/>
                <w:lang w:val="en-CA"/>
              </w:rPr>
              <w:t>, R.S.O. 1990, c. P. 13, as amended</w:t>
            </w:r>
          </w:p>
        </w:tc>
      </w:tr>
      <w:tr w:rsidR="00E62B30" w:rsidRPr="003B7D01" w:rsidTr="009C592B">
        <w:tc>
          <w:tcPr>
            <w:tcW w:w="3798" w:type="dxa"/>
          </w:tcPr>
          <w:p w:rsidR="00E62B30" w:rsidRPr="003B7D01" w:rsidRDefault="00E62B30" w:rsidP="00834B93">
            <w:pPr>
              <w:jc w:val="both"/>
              <w:rPr>
                <w:rFonts w:ascii="Arial" w:hAnsi="Arial" w:cs="Arial"/>
                <w:lang w:val="en-CA"/>
              </w:rPr>
            </w:pPr>
          </w:p>
        </w:tc>
        <w:tc>
          <w:tcPr>
            <w:tcW w:w="5058" w:type="dxa"/>
          </w:tcPr>
          <w:p w:rsidR="00E62B30" w:rsidRPr="003B7D01" w:rsidRDefault="00E62B30" w:rsidP="00834B93">
            <w:pPr>
              <w:jc w:val="both"/>
              <w:rPr>
                <w:rFonts w:ascii="Arial" w:hAnsi="Arial" w:cs="Arial"/>
                <w:lang w:val="en-CA"/>
              </w:rPr>
            </w:pPr>
          </w:p>
        </w:tc>
      </w:tr>
      <w:tr w:rsidR="00C7545F" w:rsidRPr="003B7D01" w:rsidTr="009C592B">
        <w:tc>
          <w:tcPr>
            <w:tcW w:w="3798" w:type="dxa"/>
            <w:hideMark/>
          </w:tcPr>
          <w:p w:rsidR="00C7545F" w:rsidRPr="003B7D01" w:rsidRDefault="00C7545F" w:rsidP="00834B93">
            <w:pPr>
              <w:jc w:val="both"/>
              <w:rPr>
                <w:rFonts w:ascii="Arial" w:hAnsi="Arial" w:cs="Arial"/>
                <w:lang w:val="en-CA"/>
              </w:rPr>
            </w:pPr>
            <w:r w:rsidRPr="003B7D01">
              <w:rPr>
                <w:rFonts w:ascii="Arial" w:hAnsi="Arial" w:cs="Arial"/>
                <w:lang w:val="en-CA"/>
              </w:rPr>
              <w:t>Appellant:</w:t>
            </w:r>
          </w:p>
        </w:tc>
        <w:tc>
          <w:tcPr>
            <w:tcW w:w="5058" w:type="dxa"/>
            <w:hideMark/>
          </w:tcPr>
          <w:p w:rsidR="00C7545F" w:rsidRPr="003B7D01" w:rsidRDefault="00C7545F" w:rsidP="00834B93">
            <w:pPr>
              <w:jc w:val="both"/>
              <w:rPr>
                <w:rFonts w:ascii="Arial" w:hAnsi="Arial" w:cs="Arial"/>
                <w:lang w:val="en-CA"/>
              </w:rPr>
            </w:pPr>
            <w:r w:rsidRPr="003B7D01">
              <w:rPr>
                <w:rFonts w:ascii="Arial" w:hAnsi="Arial" w:cs="Arial"/>
                <w:lang w:val="en-CA"/>
              </w:rPr>
              <w:t>City of Hamilton</w:t>
            </w:r>
          </w:p>
        </w:tc>
      </w:tr>
      <w:tr w:rsidR="00C7545F" w:rsidRPr="003B7D01" w:rsidTr="009C592B">
        <w:tc>
          <w:tcPr>
            <w:tcW w:w="3798" w:type="dxa"/>
            <w:hideMark/>
          </w:tcPr>
          <w:p w:rsidR="00C7545F" w:rsidRPr="003B7D01" w:rsidRDefault="00C7545F" w:rsidP="00834B93">
            <w:pPr>
              <w:jc w:val="both"/>
              <w:rPr>
                <w:rFonts w:ascii="Arial" w:hAnsi="Arial" w:cs="Arial"/>
                <w:lang w:val="en-CA"/>
              </w:rPr>
            </w:pPr>
            <w:r w:rsidRPr="003B7D01">
              <w:rPr>
                <w:rFonts w:ascii="Arial" w:hAnsi="Arial" w:cs="Arial"/>
                <w:lang w:val="en-CA"/>
              </w:rPr>
              <w:t>Applicant:</w:t>
            </w:r>
          </w:p>
        </w:tc>
        <w:tc>
          <w:tcPr>
            <w:tcW w:w="5058" w:type="dxa"/>
            <w:hideMark/>
          </w:tcPr>
          <w:p w:rsidR="00C7545F" w:rsidRPr="003B7D01" w:rsidRDefault="00C7545F" w:rsidP="00834B93">
            <w:pPr>
              <w:jc w:val="both"/>
              <w:rPr>
                <w:rFonts w:ascii="Arial" w:hAnsi="Arial" w:cs="Arial"/>
                <w:lang w:val="en-CA"/>
              </w:rPr>
            </w:pPr>
            <w:r w:rsidRPr="003B7D01">
              <w:rPr>
                <w:rFonts w:ascii="Arial" w:hAnsi="Arial" w:cs="Arial"/>
                <w:lang w:val="en-CA"/>
              </w:rPr>
              <w:t>Fengate Capital Management Ltd.</w:t>
            </w:r>
          </w:p>
        </w:tc>
      </w:tr>
      <w:tr w:rsidR="00C7545F" w:rsidRPr="003B7D01" w:rsidTr="009C592B">
        <w:tc>
          <w:tcPr>
            <w:tcW w:w="3798" w:type="dxa"/>
            <w:hideMark/>
          </w:tcPr>
          <w:p w:rsidR="009E7D1C" w:rsidRPr="003B7D01" w:rsidRDefault="00C7545F" w:rsidP="00834B93">
            <w:pPr>
              <w:jc w:val="both"/>
              <w:rPr>
                <w:rFonts w:ascii="Arial" w:hAnsi="Arial" w:cs="Arial"/>
                <w:lang w:val="en-CA"/>
              </w:rPr>
            </w:pPr>
            <w:r w:rsidRPr="003B7D01">
              <w:rPr>
                <w:rFonts w:ascii="Arial" w:hAnsi="Arial" w:cs="Arial"/>
                <w:lang w:val="en-CA"/>
              </w:rPr>
              <w:t>Subject:</w:t>
            </w:r>
          </w:p>
        </w:tc>
        <w:tc>
          <w:tcPr>
            <w:tcW w:w="5058" w:type="dxa"/>
            <w:hideMark/>
          </w:tcPr>
          <w:p w:rsidR="009E7D1C" w:rsidRPr="003B7D01" w:rsidRDefault="00C7545F" w:rsidP="00834B93">
            <w:pPr>
              <w:jc w:val="both"/>
              <w:rPr>
                <w:rFonts w:ascii="Arial" w:hAnsi="Arial" w:cs="Arial"/>
                <w:lang w:val="en-CA"/>
              </w:rPr>
            </w:pPr>
            <w:r w:rsidRPr="003B7D01">
              <w:rPr>
                <w:rFonts w:ascii="Arial" w:hAnsi="Arial" w:cs="Arial"/>
                <w:lang w:val="en-CA"/>
              </w:rPr>
              <w:t>Consent to sever</w:t>
            </w:r>
          </w:p>
        </w:tc>
      </w:tr>
      <w:tr w:rsidR="00C7545F" w:rsidRPr="003B7D01" w:rsidTr="009C592B">
        <w:tc>
          <w:tcPr>
            <w:tcW w:w="3798" w:type="dxa"/>
            <w:hideMark/>
          </w:tcPr>
          <w:p w:rsidR="00C7545F" w:rsidRPr="003B7D01" w:rsidRDefault="00C7545F" w:rsidP="00834B93">
            <w:pPr>
              <w:jc w:val="both"/>
              <w:rPr>
                <w:rFonts w:ascii="Arial" w:hAnsi="Arial" w:cs="Arial"/>
                <w:lang w:val="en-CA"/>
              </w:rPr>
            </w:pPr>
            <w:r w:rsidRPr="003B7D01">
              <w:rPr>
                <w:rFonts w:ascii="Arial" w:hAnsi="Arial" w:cs="Arial"/>
                <w:lang w:val="en-CA"/>
              </w:rPr>
              <w:t>Property Address/Description:</w:t>
            </w:r>
          </w:p>
        </w:tc>
        <w:tc>
          <w:tcPr>
            <w:tcW w:w="5058" w:type="dxa"/>
            <w:hideMark/>
          </w:tcPr>
          <w:p w:rsidR="00C7545F" w:rsidRPr="003B7D01" w:rsidRDefault="00C7545F" w:rsidP="00834B93">
            <w:pPr>
              <w:jc w:val="both"/>
              <w:rPr>
                <w:rFonts w:ascii="Arial" w:hAnsi="Arial" w:cs="Arial"/>
                <w:lang w:val="en-CA"/>
              </w:rPr>
            </w:pPr>
            <w:r w:rsidRPr="003B7D01">
              <w:rPr>
                <w:rFonts w:ascii="Arial" w:hAnsi="Arial" w:cs="Arial"/>
                <w:lang w:val="en-CA"/>
              </w:rPr>
              <w:t>1400 Upper James Street</w:t>
            </w:r>
          </w:p>
        </w:tc>
      </w:tr>
      <w:tr w:rsidR="00C7545F" w:rsidRPr="003B7D01" w:rsidTr="009C592B">
        <w:tc>
          <w:tcPr>
            <w:tcW w:w="3798" w:type="dxa"/>
            <w:hideMark/>
          </w:tcPr>
          <w:p w:rsidR="00C7545F" w:rsidRPr="003B7D01" w:rsidRDefault="00C7545F" w:rsidP="00834B93">
            <w:pPr>
              <w:jc w:val="both"/>
              <w:rPr>
                <w:rFonts w:ascii="Arial" w:hAnsi="Arial" w:cs="Arial"/>
                <w:lang w:val="en-CA"/>
              </w:rPr>
            </w:pPr>
            <w:r w:rsidRPr="003B7D01">
              <w:rPr>
                <w:rFonts w:ascii="Arial" w:hAnsi="Arial" w:cs="Arial"/>
                <w:lang w:val="en-CA"/>
              </w:rPr>
              <w:t>Municipality:</w:t>
            </w:r>
          </w:p>
        </w:tc>
        <w:tc>
          <w:tcPr>
            <w:tcW w:w="5058" w:type="dxa"/>
            <w:hideMark/>
          </w:tcPr>
          <w:p w:rsidR="00C7545F" w:rsidRPr="003B7D01" w:rsidRDefault="00C7545F" w:rsidP="00834B93">
            <w:pPr>
              <w:jc w:val="both"/>
              <w:rPr>
                <w:rFonts w:ascii="Arial" w:hAnsi="Arial" w:cs="Arial"/>
                <w:lang w:val="en-CA"/>
              </w:rPr>
            </w:pPr>
            <w:r w:rsidRPr="003B7D01">
              <w:rPr>
                <w:rFonts w:ascii="Arial" w:hAnsi="Arial" w:cs="Arial"/>
                <w:lang w:val="en-CA"/>
              </w:rPr>
              <w:t>City of Hamilton</w:t>
            </w:r>
          </w:p>
        </w:tc>
      </w:tr>
      <w:tr w:rsidR="00C7545F" w:rsidRPr="003B7D01" w:rsidTr="009C592B">
        <w:tc>
          <w:tcPr>
            <w:tcW w:w="3798" w:type="dxa"/>
            <w:hideMark/>
          </w:tcPr>
          <w:p w:rsidR="00C7545F" w:rsidRPr="003B7D01" w:rsidRDefault="00C7545F" w:rsidP="00834B93">
            <w:pPr>
              <w:jc w:val="both"/>
              <w:rPr>
                <w:rFonts w:ascii="Arial" w:hAnsi="Arial" w:cs="Arial"/>
                <w:lang w:val="en-CA"/>
              </w:rPr>
            </w:pPr>
            <w:r w:rsidRPr="003B7D01">
              <w:rPr>
                <w:rFonts w:ascii="Arial" w:hAnsi="Arial" w:cs="Arial"/>
                <w:lang w:val="en-CA"/>
              </w:rPr>
              <w:t>Municipal File No.:</w:t>
            </w:r>
          </w:p>
        </w:tc>
        <w:tc>
          <w:tcPr>
            <w:tcW w:w="5058" w:type="dxa"/>
            <w:hideMark/>
          </w:tcPr>
          <w:p w:rsidR="00C7545F" w:rsidRPr="003B7D01" w:rsidRDefault="00C7545F" w:rsidP="00834B93">
            <w:pPr>
              <w:jc w:val="both"/>
              <w:rPr>
                <w:rFonts w:ascii="Arial" w:hAnsi="Arial" w:cs="Arial"/>
                <w:lang w:val="en-CA"/>
              </w:rPr>
            </w:pPr>
            <w:r w:rsidRPr="003B7D01">
              <w:rPr>
                <w:rFonts w:ascii="Arial" w:hAnsi="Arial" w:cs="Arial"/>
                <w:lang w:val="en-CA"/>
              </w:rPr>
              <w:t>B-27/13</w:t>
            </w:r>
          </w:p>
        </w:tc>
      </w:tr>
      <w:tr w:rsidR="00C7545F" w:rsidRPr="003B7D01" w:rsidTr="009C592B">
        <w:tc>
          <w:tcPr>
            <w:tcW w:w="3798" w:type="dxa"/>
            <w:hideMark/>
          </w:tcPr>
          <w:p w:rsidR="00C7545F" w:rsidRPr="003B7D01" w:rsidRDefault="00C7545F" w:rsidP="00834B93">
            <w:pPr>
              <w:jc w:val="both"/>
              <w:rPr>
                <w:rFonts w:ascii="Arial" w:hAnsi="Arial" w:cs="Arial"/>
                <w:lang w:val="en-CA"/>
              </w:rPr>
            </w:pPr>
            <w:r w:rsidRPr="003B7D01">
              <w:rPr>
                <w:rFonts w:ascii="Arial" w:hAnsi="Arial" w:cs="Arial"/>
                <w:lang w:val="en-CA"/>
              </w:rPr>
              <w:t>OMB Case No.:</w:t>
            </w:r>
          </w:p>
        </w:tc>
        <w:tc>
          <w:tcPr>
            <w:tcW w:w="5058" w:type="dxa"/>
            <w:hideMark/>
          </w:tcPr>
          <w:p w:rsidR="00C7545F" w:rsidRPr="003B7D01" w:rsidRDefault="00C7545F" w:rsidP="00834B93">
            <w:pPr>
              <w:jc w:val="both"/>
              <w:rPr>
                <w:rFonts w:ascii="Arial" w:hAnsi="Arial" w:cs="Arial"/>
                <w:lang w:val="en-CA"/>
              </w:rPr>
            </w:pPr>
            <w:r w:rsidRPr="003B7D01">
              <w:rPr>
                <w:rFonts w:ascii="Arial" w:hAnsi="Arial" w:cs="Arial"/>
                <w:lang w:val="en-CA"/>
              </w:rPr>
              <w:t>PL130601</w:t>
            </w:r>
          </w:p>
        </w:tc>
      </w:tr>
      <w:tr w:rsidR="00C7545F" w:rsidRPr="003B7D01" w:rsidTr="009C592B">
        <w:tc>
          <w:tcPr>
            <w:tcW w:w="3798" w:type="dxa"/>
            <w:hideMark/>
          </w:tcPr>
          <w:p w:rsidR="00C7545F" w:rsidRPr="003B7D01" w:rsidRDefault="00C7545F" w:rsidP="00834B93">
            <w:pPr>
              <w:jc w:val="both"/>
              <w:rPr>
                <w:rFonts w:ascii="Arial" w:hAnsi="Arial" w:cs="Arial"/>
                <w:lang w:val="en-CA"/>
              </w:rPr>
            </w:pPr>
            <w:r w:rsidRPr="003B7D01">
              <w:rPr>
                <w:rFonts w:ascii="Arial" w:hAnsi="Arial" w:cs="Arial"/>
                <w:lang w:val="en-CA"/>
              </w:rPr>
              <w:t>OMB File No.:</w:t>
            </w:r>
          </w:p>
        </w:tc>
        <w:tc>
          <w:tcPr>
            <w:tcW w:w="5058" w:type="dxa"/>
            <w:hideMark/>
          </w:tcPr>
          <w:p w:rsidR="00C7545F" w:rsidRPr="003B7D01" w:rsidRDefault="00C7545F" w:rsidP="00834B93">
            <w:pPr>
              <w:jc w:val="both"/>
              <w:rPr>
                <w:rFonts w:ascii="Arial" w:hAnsi="Arial" w:cs="Arial"/>
                <w:lang w:val="en-CA"/>
              </w:rPr>
            </w:pPr>
            <w:r w:rsidRPr="003B7D01">
              <w:rPr>
                <w:rFonts w:ascii="Arial" w:hAnsi="Arial" w:cs="Arial"/>
                <w:lang w:val="en-CA"/>
              </w:rPr>
              <w:t>PL130601</w:t>
            </w:r>
          </w:p>
        </w:tc>
      </w:tr>
    </w:tbl>
    <w:p w:rsidR="00C7545F" w:rsidRPr="003B7D01" w:rsidRDefault="00C7545F" w:rsidP="00834B93">
      <w:pPr>
        <w:widowControl w:val="0"/>
        <w:jc w:val="both"/>
        <w:rPr>
          <w:rFonts w:ascii="Arial" w:hAnsi="Arial" w:cs="Arial"/>
          <w:lang w:val="en-CA"/>
        </w:rPr>
      </w:pPr>
    </w:p>
    <w:p w:rsidR="00C7545F" w:rsidRPr="003B7D01" w:rsidRDefault="00C7545F" w:rsidP="00834B93">
      <w:pPr>
        <w:widowControl w:val="0"/>
        <w:rPr>
          <w:rFonts w:ascii="Arial" w:hAnsi="Arial" w:cs="Arial"/>
          <w:lang w:val="en-CA"/>
        </w:rPr>
      </w:pPr>
      <w:r w:rsidRPr="003B7D01">
        <w:rPr>
          <w:rFonts w:ascii="Arial" w:hAnsi="Arial" w:cs="Arial"/>
          <w:lang w:val="en-CA"/>
        </w:rPr>
        <w:t>LPF Realty Retail Inc. and Fengate Capital Management Ltd. have appealed to the Ontario Municipal Board under subsection 22(7) of the</w:t>
      </w:r>
      <w:bookmarkStart w:id="1" w:name="_GoBack"/>
      <w:bookmarkEnd w:id="1"/>
      <w:r w:rsidRPr="003B7D01">
        <w:rPr>
          <w:rFonts w:ascii="Arial" w:hAnsi="Arial" w:cs="Arial"/>
          <w:lang w:val="en-CA"/>
        </w:rPr>
        <w:t xml:space="preserve"> </w:t>
      </w:r>
      <w:r w:rsidRPr="003B7D01">
        <w:rPr>
          <w:rFonts w:ascii="Arial" w:hAnsi="Arial" w:cs="Arial"/>
          <w:i/>
          <w:lang w:val="en-CA"/>
        </w:rPr>
        <w:t>Planning Act</w:t>
      </w:r>
      <w:r w:rsidRPr="003B7D01">
        <w:rPr>
          <w:rFonts w:ascii="Arial" w:hAnsi="Arial" w:cs="Arial"/>
          <w:lang w:val="en-CA"/>
        </w:rPr>
        <w:t>, R.S.O. 1990, c. P.13, as amended, from Council's refusal or neglect to enact a proposed amendment to the Official Plan for the City of Hamilton to redesignate lands at 1400 Upper James Street from Residential to Open Space Commercial to permit a Storm Water Management Facility and extension of commercial parking area</w:t>
      </w:r>
    </w:p>
    <w:p w:rsidR="00C7545F" w:rsidRPr="003B7D01" w:rsidRDefault="00C7545F" w:rsidP="00834B93">
      <w:pPr>
        <w:widowControl w:val="0"/>
        <w:rPr>
          <w:rFonts w:ascii="Arial" w:hAnsi="Arial" w:cs="Arial"/>
          <w:lang w:val="en-CA"/>
        </w:rPr>
      </w:pPr>
      <w:r w:rsidRPr="003B7D01">
        <w:rPr>
          <w:rFonts w:ascii="Arial" w:hAnsi="Arial" w:cs="Arial"/>
          <w:lang w:val="en-CA"/>
        </w:rPr>
        <w:t>Approval Authority File No. OPA-12-012</w:t>
      </w:r>
    </w:p>
    <w:p w:rsidR="00C7545F" w:rsidRPr="003B7D01" w:rsidRDefault="00C7545F" w:rsidP="00834B93">
      <w:pPr>
        <w:widowControl w:val="0"/>
        <w:rPr>
          <w:rFonts w:ascii="Arial" w:hAnsi="Arial" w:cs="Arial"/>
          <w:lang w:val="en-CA"/>
        </w:rPr>
      </w:pPr>
      <w:r w:rsidRPr="003B7D01">
        <w:rPr>
          <w:rFonts w:ascii="Arial" w:hAnsi="Arial" w:cs="Arial"/>
          <w:lang w:val="en-CA"/>
        </w:rPr>
        <w:t>OMB Case No. PL131089</w:t>
      </w:r>
    </w:p>
    <w:p w:rsidR="00C7545F" w:rsidRPr="003B7D01" w:rsidRDefault="00C7545F" w:rsidP="00834B93">
      <w:pPr>
        <w:widowControl w:val="0"/>
        <w:rPr>
          <w:rFonts w:ascii="Arial" w:hAnsi="Arial" w:cs="Arial"/>
          <w:lang w:val="en-CA"/>
        </w:rPr>
      </w:pPr>
      <w:r w:rsidRPr="003B7D01">
        <w:rPr>
          <w:rFonts w:ascii="Arial" w:hAnsi="Arial" w:cs="Arial"/>
          <w:lang w:val="en-CA"/>
        </w:rPr>
        <w:t>OMB File No. PL131089</w:t>
      </w:r>
    </w:p>
    <w:p w:rsidR="00C7545F" w:rsidRPr="003B7D01" w:rsidRDefault="00C7545F" w:rsidP="00834B93">
      <w:pPr>
        <w:rPr>
          <w:rFonts w:ascii="Arial" w:hAnsi="Arial" w:cs="Arial"/>
          <w:lang w:val="en-CA"/>
        </w:rPr>
      </w:pPr>
    </w:p>
    <w:p w:rsidR="00C7545F" w:rsidRPr="003B7D01" w:rsidRDefault="00C7545F" w:rsidP="00834B93">
      <w:pPr>
        <w:widowControl w:val="0"/>
        <w:rPr>
          <w:rFonts w:ascii="Arial" w:hAnsi="Arial" w:cs="Arial"/>
          <w:lang w:val="en-CA"/>
        </w:rPr>
      </w:pPr>
      <w:r w:rsidRPr="003B7D01">
        <w:rPr>
          <w:rFonts w:ascii="Arial" w:hAnsi="Arial" w:cs="Arial"/>
          <w:lang w:val="en-CA"/>
        </w:rPr>
        <w:t xml:space="preserve">LPF Realty Retail Inc. and Fengate Capital Management Ltd. have appealed to the Ontario Municipal Board under subsection 34(11) of the </w:t>
      </w:r>
      <w:r w:rsidRPr="003B7D01">
        <w:rPr>
          <w:rFonts w:ascii="Arial" w:hAnsi="Arial" w:cs="Arial"/>
          <w:i/>
          <w:lang w:val="en-CA"/>
        </w:rPr>
        <w:t>Planning Act</w:t>
      </w:r>
      <w:r w:rsidRPr="003B7D01">
        <w:rPr>
          <w:rFonts w:ascii="Arial" w:hAnsi="Arial" w:cs="Arial"/>
          <w:lang w:val="en-CA"/>
        </w:rPr>
        <w:t>, R.S.O. 1990, c. P.13, as amended, from Council’s refusal or neglect to enact a proposed amendment to Zoning By-law 05-200 of the City of Hamilton to rezone lands respecting 1400 Upper James Street from Urban Protected Residential “C” District Restricted Community Shopping &amp; Commercial “HH” District to Conservation/Hazard Land (P5) Zone and Restricted Community Shopping &amp; Commercial (“HH) to permit a Storm Water Management Facility and extension of commercial parking area</w:t>
      </w:r>
    </w:p>
    <w:p w:rsidR="00C7545F" w:rsidRPr="003B7D01" w:rsidRDefault="00C7545F" w:rsidP="00834B93">
      <w:pPr>
        <w:widowControl w:val="0"/>
        <w:rPr>
          <w:rFonts w:ascii="Arial" w:hAnsi="Arial" w:cs="Arial"/>
          <w:lang w:val="en-CA"/>
        </w:rPr>
      </w:pPr>
      <w:r w:rsidRPr="003B7D01">
        <w:rPr>
          <w:rFonts w:ascii="Arial" w:hAnsi="Arial" w:cs="Arial"/>
          <w:lang w:val="en-CA"/>
        </w:rPr>
        <w:t>OMB Case No. PL131089</w:t>
      </w:r>
    </w:p>
    <w:p w:rsidR="00C7545F" w:rsidRPr="003B7D01" w:rsidRDefault="00C7545F" w:rsidP="00834B93">
      <w:pPr>
        <w:widowControl w:val="0"/>
        <w:rPr>
          <w:rFonts w:ascii="Arial" w:hAnsi="Arial" w:cs="Arial"/>
          <w:lang w:val="en-CA"/>
        </w:rPr>
      </w:pPr>
      <w:r w:rsidRPr="003B7D01">
        <w:rPr>
          <w:rFonts w:ascii="Arial" w:hAnsi="Arial" w:cs="Arial"/>
          <w:lang w:val="en-CA"/>
        </w:rPr>
        <w:t>OMB File No. PL131090</w:t>
      </w:r>
    </w:p>
    <w:p w:rsidR="00E62B30" w:rsidRPr="003B7D01" w:rsidRDefault="00E62B30" w:rsidP="00834B93">
      <w:pPr>
        <w:widowControl w:val="0"/>
        <w:rPr>
          <w:rFonts w:ascii="Arial" w:hAnsi="Arial" w:cs="Arial"/>
          <w:lang w:val="en-CA"/>
        </w:rPr>
      </w:pPr>
    </w:p>
    <w:tbl>
      <w:tblPr>
        <w:tblW w:w="9198" w:type="dxa"/>
        <w:tblLook w:val="04A0" w:firstRow="1" w:lastRow="0" w:firstColumn="1" w:lastColumn="0" w:noHBand="0" w:noVBand="1"/>
      </w:tblPr>
      <w:tblGrid>
        <w:gridCol w:w="3708"/>
        <w:gridCol w:w="5490"/>
      </w:tblGrid>
      <w:tr w:rsidR="00A23160" w:rsidRPr="003B7D01" w:rsidTr="00016619">
        <w:tc>
          <w:tcPr>
            <w:tcW w:w="9198" w:type="dxa"/>
            <w:gridSpan w:val="2"/>
          </w:tcPr>
          <w:p w:rsidR="00A23160" w:rsidRPr="003B7D01" w:rsidRDefault="00A23160" w:rsidP="00A47C79">
            <w:pPr>
              <w:jc w:val="both"/>
              <w:rPr>
                <w:rFonts w:ascii="Arial" w:hAnsi="Arial" w:cs="Arial"/>
                <w:lang w:val="en-CA"/>
              </w:rPr>
            </w:pPr>
            <w:r w:rsidRPr="003B7D01">
              <w:rPr>
                <w:rFonts w:ascii="Arial" w:hAnsi="Arial" w:cs="Arial"/>
                <w:b/>
                <w:lang w:val="en-CA"/>
              </w:rPr>
              <w:t xml:space="preserve">PROCEEDING COMMENCED UNDER </w:t>
            </w:r>
            <w:r w:rsidR="00834B93">
              <w:rPr>
                <w:rFonts w:ascii="Arial" w:hAnsi="Arial" w:cs="Arial"/>
                <w:lang w:val="en-CA"/>
              </w:rPr>
              <w:t>s</w:t>
            </w:r>
            <w:r w:rsidRPr="003B7D01">
              <w:rPr>
                <w:rFonts w:ascii="Arial" w:hAnsi="Arial" w:cs="Arial"/>
                <w:lang w:val="en-CA"/>
              </w:rPr>
              <w:t xml:space="preserve">ubsection 34(19) of the </w:t>
            </w:r>
            <w:r w:rsidRPr="003B7D01">
              <w:rPr>
                <w:rFonts w:ascii="Arial" w:hAnsi="Arial" w:cs="Arial"/>
                <w:i/>
                <w:lang w:val="en-CA"/>
              </w:rPr>
              <w:t>Planning Act</w:t>
            </w:r>
            <w:r w:rsidRPr="003B7D01">
              <w:rPr>
                <w:rFonts w:ascii="Arial" w:hAnsi="Arial" w:cs="Arial"/>
                <w:lang w:val="en-CA"/>
              </w:rPr>
              <w:t>, R.S.O. 1990, c. P.13, as amended</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lastRenderedPageBreak/>
              <w:t>Appellant:</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DiCenzo Construction Company Limited</w:t>
            </w:r>
          </w:p>
        </w:tc>
      </w:tr>
      <w:tr w:rsidR="00C7545F" w:rsidRPr="003B7D01" w:rsidTr="00016619">
        <w:tc>
          <w:tcPr>
            <w:tcW w:w="3708" w:type="dxa"/>
            <w:hideMark/>
          </w:tcPr>
          <w:p w:rsidR="009E7D1C" w:rsidRPr="003B7D01" w:rsidRDefault="00C7545F" w:rsidP="00834B93">
            <w:pPr>
              <w:jc w:val="both"/>
              <w:rPr>
                <w:rFonts w:ascii="Arial" w:hAnsi="Arial" w:cs="Arial"/>
                <w:lang w:val="en-CA"/>
              </w:rPr>
            </w:pPr>
            <w:r w:rsidRPr="003B7D01">
              <w:rPr>
                <w:rFonts w:ascii="Arial" w:hAnsi="Arial" w:cs="Arial"/>
                <w:lang w:val="en-CA"/>
              </w:rPr>
              <w:t xml:space="preserve">Subject: </w:t>
            </w:r>
          </w:p>
        </w:tc>
        <w:tc>
          <w:tcPr>
            <w:tcW w:w="5490" w:type="dxa"/>
            <w:hideMark/>
          </w:tcPr>
          <w:p w:rsidR="009E7D1C" w:rsidRPr="003B7D01" w:rsidRDefault="00C7545F" w:rsidP="00834B93">
            <w:pPr>
              <w:jc w:val="both"/>
              <w:rPr>
                <w:rFonts w:ascii="Arial" w:hAnsi="Arial" w:cs="Arial"/>
                <w:lang w:val="en-CA"/>
              </w:rPr>
            </w:pPr>
            <w:r w:rsidRPr="003B7D01">
              <w:rPr>
                <w:rFonts w:ascii="Arial" w:hAnsi="Arial" w:cs="Arial"/>
                <w:lang w:val="en-CA"/>
              </w:rPr>
              <w:t>By-law No. 13-126</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 xml:space="preserve">Municipality: </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City of Hamilton</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 xml:space="preserve">OMB Case No.: </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PL130630</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 xml:space="preserve">OMB File No.: </w:t>
            </w:r>
          </w:p>
        </w:tc>
        <w:tc>
          <w:tcPr>
            <w:tcW w:w="5490" w:type="dxa"/>
            <w:hideMark/>
          </w:tcPr>
          <w:p w:rsidR="00852C12" w:rsidRPr="003B7D01" w:rsidRDefault="00C7545F" w:rsidP="00834B93">
            <w:pPr>
              <w:jc w:val="both"/>
              <w:rPr>
                <w:rFonts w:ascii="Arial" w:hAnsi="Arial" w:cs="Arial"/>
                <w:lang w:val="en-CA"/>
              </w:rPr>
            </w:pPr>
            <w:r w:rsidRPr="003B7D01">
              <w:rPr>
                <w:rFonts w:ascii="Arial" w:hAnsi="Arial" w:cs="Arial"/>
                <w:lang w:val="en-CA"/>
              </w:rPr>
              <w:t>PL130630</w:t>
            </w:r>
          </w:p>
          <w:p w:rsidR="00A23160" w:rsidRPr="003B7D01" w:rsidRDefault="00A23160" w:rsidP="00834B93">
            <w:pPr>
              <w:jc w:val="both"/>
              <w:rPr>
                <w:rFonts w:ascii="Arial" w:hAnsi="Arial" w:cs="Arial"/>
                <w:lang w:val="en-CA"/>
              </w:rPr>
            </w:pPr>
          </w:p>
        </w:tc>
      </w:tr>
      <w:tr w:rsidR="00A23160" w:rsidRPr="003B7D01" w:rsidTr="00016619">
        <w:tc>
          <w:tcPr>
            <w:tcW w:w="9198" w:type="dxa"/>
            <w:gridSpan w:val="2"/>
          </w:tcPr>
          <w:p w:rsidR="00A23160" w:rsidRPr="003B7D01" w:rsidRDefault="00A23160" w:rsidP="00A47C79">
            <w:pPr>
              <w:keepNext/>
              <w:keepLines/>
              <w:jc w:val="both"/>
              <w:rPr>
                <w:rFonts w:ascii="Arial" w:hAnsi="Arial" w:cs="Arial"/>
                <w:lang w:val="en-CA"/>
              </w:rPr>
            </w:pPr>
            <w:r w:rsidRPr="003B7D01">
              <w:rPr>
                <w:rFonts w:ascii="Arial" w:hAnsi="Arial" w:cs="Arial"/>
                <w:b/>
                <w:lang w:val="en-CA"/>
              </w:rPr>
              <w:t xml:space="preserve">PROCEEDING COMMENCED UNDER </w:t>
            </w:r>
            <w:r w:rsidR="006D0A63">
              <w:rPr>
                <w:rFonts w:ascii="Arial" w:hAnsi="Arial" w:cs="Arial"/>
                <w:lang w:val="en-CA"/>
              </w:rPr>
              <w:t>s</w:t>
            </w:r>
            <w:r w:rsidRPr="003B7D01">
              <w:rPr>
                <w:rFonts w:ascii="Arial" w:hAnsi="Arial" w:cs="Arial"/>
                <w:lang w:val="en-CA"/>
              </w:rPr>
              <w:t xml:space="preserve">ubsection 51(39) of the </w:t>
            </w:r>
            <w:r w:rsidRPr="003B7D01">
              <w:rPr>
                <w:rFonts w:ascii="Arial" w:hAnsi="Arial" w:cs="Arial"/>
                <w:i/>
                <w:lang w:val="en-CA"/>
              </w:rPr>
              <w:t>Planning Act</w:t>
            </w:r>
            <w:r w:rsidRPr="003B7D01">
              <w:rPr>
                <w:rFonts w:ascii="Arial" w:hAnsi="Arial" w:cs="Arial"/>
                <w:lang w:val="en-CA"/>
              </w:rPr>
              <w:t>, R.S.O. 1990, c. P.13, as amended</w:t>
            </w:r>
          </w:p>
        </w:tc>
      </w:tr>
      <w:tr w:rsidR="00E62B30" w:rsidRPr="003B7D01" w:rsidTr="00016619">
        <w:tc>
          <w:tcPr>
            <w:tcW w:w="3708" w:type="dxa"/>
          </w:tcPr>
          <w:p w:rsidR="00E62B30" w:rsidRPr="003B7D01" w:rsidRDefault="00E62B30" w:rsidP="00834B93">
            <w:pPr>
              <w:keepNext/>
              <w:keepLines/>
              <w:jc w:val="both"/>
              <w:rPr>
                <w:rFonts w:ascii="Arial" w:hAnsi="Arial" w:cs="Arial"/>
                <w:lang w:val="en-CA"/>
              </w:rPr>
            </w:pPr>
          </w:p>
        </w:tc>
        <w:tc>
          <w:tcPr>
            <w:tcW w:w="5490" w:type="dxa"/>
          </w:tcPr>
          <w:p w:rsidR="00E62B30" w:rsidRPr="003B7D01" w:rsidRDefault="00E62B30" w:rsidP="00834B93">
            <w:pPr>
              <w:keepNext/>
              <w:keepLines/>
              <w:jc w:val="both"/>
              <w:rPr>
                <w:rFonts w:ascii="Arial" w:hAnsi="Arial" w:cs="Arial"/>
                <w:lang w:val="en-CA"/>
              </w:rPr>
            </w:pPr>
          </w:p>
        </w:tc>
      </w:tr>
      <w:tr w:rsidR="00C7545F" w:rsidRPr="003B7D01" w:rsidTr="00016619">
        <w:tc>
          <w:tcPr>
            <w:tcW w:w="3708"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Appellant:</w:t>
            </w:r>
          </w:p>
        </w:tc>
        <w:tc>
          <w:tcPr>
            <w:tcW w:w="5490"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DiCenzo Construction Company Limited</w:t>
            </w:r>
          </w:p>
        </w:tc>
      </w:tr>
      <w:tr w:rsidR="00C7545F" w:rsidRPr="003B7D01" w:rsidTr="00016619">
        <w:tc>
          <w:tcPr>
            <w:tcW w:w="3708" w:type="dxa"/>
            <w:hideMark/>
          </w:tcPr>
          <w:p w:rsidR="009E7D1C" w:rsidRPr="003B7D01" w:rsidRDefault="00C7545F" w:rsidP="00834B93">
            <w:pPr>
              <w:keepNext/>
              <w:keepLines/>
              <w:jc w:val="both"/>
              <w:rPr>
                <w:rFonts w:ascii="Arial" w:hAnsi="Arial" w:cs="Arial"/>
                <w:lang w:val="en-CA"/>
              </w:rPr>
            </w:pPr>
            <w:r w:rsidRPr="003B7D01">
              <w:rPr>
                <w:rFonts w:ascii="Arial" w:hAnsi="Arial" w:cs="Arial"/>
                <w:lang w:val="en-CA"/>
              </w:rPr>
              <w:t>Subject:</w:t>
            </w:r>
          </w:p>
        </w:tc>
        <w:tc>
          <w:tcPr>
            <w:tcW w:w="5490" w:type="dxa"/>
            <w:hideMark/>
          </w:tcPr>
          <w:p w:rsidR="009E7D1C" w:rsidRPr="003B7D01" w:rsidRDefault="00C7545F" w:rsidP="00834B93">
            <w:pPr>
              <w:keepNext/>
              <w:keepLines/>
              <w:jc w:val="both"/>
              <w:rPr>
                <w:rFonts w:ascii="Arial" w:hAnsi="Arial" w:cs="Arial"/>
                <w:lang w:val="en-CA"/>
              </w:rPr>
            </w:pPr>
            <w:r w:rsidRPr="003B7D01">
              <w:rPr>
                <w:rFonts w:ascii="Arial" w:hAnsi="Arial" w:cs="Arial"/>
                <w:lang w:val="en-CA"/>
              </w:rPr>
              <w:t>Proposed Plan of Subdivision</w:t>
            </w:r>
          </w:p>
        </w:tc>
      </w:tr>
      <w:tr w:rsidR="00C7545F" w:rsidRPr="003B7D01" w:rsidTr="00016619">
        <w:tc>
          <w:tcPr>
            <w:tcW w:w="3708"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 xml:space="preserve">Property Address/Description: </w:t>
            </w:r>
          </w:p>
        </w:tc>
        <w:tc>
          <w:tcPr>
            <w:tcW w:w="5490"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1155 West 5th Street</w:t>
            </w:r>
          </w:p>
        </w:tc>
      </w:tr>
      <w:tr w:rsidR="00C7545F" w:rsidRPr="003B7D01" w:rsidTr="00016619">
        <w:tc>
          <w:tcPr>
            <w:tcW w:w="3708"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 xml:space="preserve">Municipality: </w:t>
            </w:r>
          </w:p>
        </w:tc>
        <w:tc>
          <w:tcPr>
            <w:tcW w:w="5490"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City of Hamilton</w:t>
            </w:r>
          </w:p>
        </w:tc>
      </w:tr>
      <w:tr w:rsidR="00C7545F" w:rsidRPr="003B7D01" w:rsidTr="00016619">
        <w:tc>
          <w:tcPr>
            <w:tcW w:w="3708"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 xml:space="preserve">Municipal File No.: </w:t>
            </w:r>
          </w:p>
        </w:tc>
        <w:tc>
          <w:tcPr>
            <w:tcW w:w="5490"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25T-201202</w:t>
            </w:r>
          </w:p>
        </w:tc>
      </w:tr>
      <w:tr w:rsidR="00C7545F" w:rsidRPr="003B7D01" w:rsidTr="00016619">
        <w:tc>
          <w:tcPr>
            <w:tcW w:w="3708"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 xml:space="preserve">OMB Case No.: </w:t>
            </w:r>
          </w:p>
        </w:tc>
        <w:tc>
          <w:tcPr>
            <w:tcW w:w="5490"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PL130630</w:t>
            </w:r>
          </w:p>
        </w:tc>
      </w:tr>
      <w:tr w:rsidR="00C7545F" w:rsidRPr="003B7D01" w:rsidTr="00016619">
        <w:tc>
          <w:tcPr>
            <w:tcW w:w="3708" w:type="dxa"/>
            <w:hideMark/>
          </w:tcPr>
          <w:p w:rsidR="00C7545F" w:rsidRPr="003B7D01" w:rsidRDefault="00C7545F" w:rsidP="00834B93">
            <w:pPr>
              <w:keepNext/>
              <w:keepLines/>
              <w:jc w:val="both"/>
              <w:rPr>
                <w:rFonts w:ascii="Arial" w:hAnsi="Arial" w:cs="Arial"/>
                <w:lang w:val="en-CA"/>
              </w:rPr>
            </w:pPr>
            <w:r w:rsidRPr="003B7D01">
              <w:rPr>
                <w:rFonts w:ascii="Arial" w:hAnsi="Arial" w:cs="Arial"/>
                <w:lang w:val="en-CA"/>
              </w:rPr>
              <w:t xml:space="preserve">OMB File No.: </w:t>
            </w:r>
          </w:p>
        </w:tc>
        <w:tc>
          <w:tcPr>
            <w:tcW w:w="5490" w:type="dxa"/>
            <w:hideMark/>
          </w:tcPr>
          <w:p w:rsidR="00A23160" w:rsidRPr="003B7D01" w:rsidRDefault="00C7545F" w:rsidP="00834B93">
            <w:pPr>
              <w:keepNext/>
              <w:keepLines/>
              <w:jc w:val="both"/>
              <w:rPr>
                <w:rFonts w:ascii="Arial" w:hAnsi="Arial" w:cs="Arial"/>
                <w:lang w:val="en-CA"/>
              </w:rPr>
            </w:pPr>
            <w:r w:rsidRPr="003B7D01">
              <w:rPr>
                <w:rFonts w:ascii="Arial" w:hAnsi="Arial" w:cs="Arial"/>
                <w:lang w:val="en-CA"/>
              </w:rPr>
              <w:t>PL130741</w:t>
            </w:r>
          </w:p>
          <w:p w:rsidR="00A23160" w:rsidRPr="003B7D01" w:rsidRDefault="00A23160" w:rsidP="00834B93">
            <w:pPr>
              <w:keepNext/>
              <w:keepLines/>
              <w:jc w:val="both"/>
              <w:rPr>
                <w:rFonts w:ascii="Arial" w:hAnsi="Arial" w:cs="Arial"/>
                <w:lang w:val="en-CA"/>
              </w:rPr>
            </w:pPr>
          </w:p>
        </w:tc>
      </w:tr>
      <w:tr w:rsidR="00A23160" w:rsidRPr="003B7D01" w:rsidTr="00016619">
        <w:tc>
          <w:tcPr>
            <w:tcW w:w="9198" w:type="dxa"/>
            <w:gridSpan w:val="2"/>
          </w:tcPr>
          <w:p w:rsidR="00A23160" w:rsidRPr="003B7D01" w:rsidRDefault="00A23160" w:rsidP="00A47C79">
            <w:pPr>
              <w:keepNext/>
              <w:keepLines/>
              <w:jc w:val="both"/>
              <w:rPr>
                <w:rFonts w:ascii="Arial" w:hAnsi="Arial" w:cs="Arial"/>
                <w:lang w:val="en-CA"/>
              </w:rPr>
            </w:pPr>
            <w:r w:rsidRPr="003B7D01">
              <w:rPr>
                <w:rFonts w:ascii="Arial" w:hAnsi="Arial" w:cs="Arial"/>
                <w:b/>
                <w:lang w:val="en-CA"/>
              </w:rPr>
              <w:t xml:space="preserve">PROCEEDING COMMENCED UNDER </w:t>
            </w:r>
            <w:r w:rsidR="006D0A63">
              <w:rPr>
                <w:rFonts w:ascii="Arial" w:hAnsi="Arial" w:cs="Arial"/>
                <w:lang w:val="en-CA"/>
              </w:rPr>
              <w:t>s</w:t>
            </w:r>
            <w:r w:rsidRPr="003B7D01">
              <w:rPr>
                <w:rFonts w:ascii="Arial" w:hAnsi="Arial" w:cs="Arial"/>
                <w:lang w:val="en-CA"/>
              </w:rPr>
              <w:t xml:space="preserve">ubsection 51(39) of the </w:t>
            </w:r>
            <w:r w:rsidRPr="003B7D01">
              <w:rPr>
                <w:rFonts w:ascii="Arial" w:hAnsi="Arial" w:cs="Arial"/>
                <w:i/>
                <w:lang w:val="en-CA"/>
              </w:rPr>
              <w:t>Planning Act</w:t>
            </w:r>
            <w:r w:rsidRPr="003B7D01">
              <w:rPr>
                <w:rFonts w:ascii="Arial" w:hAnsi="Arial" w:cs="Arial"/>
                <w:lang w:val="en-CA"/>
              </w:rPr>
              <w:t>, R.S.O. 1990, c. P.13, as amended</w:t>
            </w:r>
          </w:p>
        </w:tc>
      </w:tr>
      <w:tr w:rsidR="00E62B30" w:rsidRPr="003B7D01" w:rsidTr="00016619">
        <w:tc>
          <w:tcPr>
            <w:tcW w:w="3708" w:type="dxa"/>
          </w:tcPr>
          <w:p w:rsidR="00E62B30" w:rsidRPr="003B7D01" w:rsidRDefault="00E62B30" w:rsidP="00834B93">
            <w:pPr>
              <w:jc w:val="both"/>
              <w:rPr>
                <w:rFonts w:ascii="Arial" w:hAnsi="Arial" w:cs="Arial"/>
                <w:lang w:val="en-CA"/>
              </w:rPr>
            </w:pPr>
          </w:p>
        </w:tc>
        <w:tc>
          <w:tcPr>
            <w:tcW w:w="5490" w:type="dxa"/>
          </w:tcPr>
          <w:p w:rsidR="00E62B30" w:rsidRPr="003B7D01" w:rsidRDefault="00E62B30" w:rsidP="00834B93">
            <w:pPr>
              <w:jc w:val="both"/>
              <w:rPr>
                <w:rFonts w:ascii="Arial" w:hAnsi="Arial" w:cs="Arial"/>
                <w:lang w:val="en-CA"/>
              </w:rPr>
            </w:pP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Appellant:</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DiCenzo Construction Company Limited</w:t>
            </w:r>
          </w:p>
        </w:tc>
      </w:tr>
      <w:tr w:rsidR="00C7545F" w:rsidRPr="003B7D01" w:rsidTr="00016619">
        <w:tc>
          <w:tcPr>
            <w:tcW w:w="3708" w:type="dxa"/>
            <w:hideMark/>
          </w:tcPr>
          <w:p w:rsidR="009E7D1C" w:rsidRPr="003B7D01" w:rsidRDefault="00C7545F" w:rsidP="00834B93">
            <w:pPr>
              <w:jc w:val="both"/>
              <w:rPr>
                <w:rFonts w:ascii="Arial" w:hAnsi="Arial" w:cs="Arial"/>
                <w:lang w:val="en-CA"/>
              </w:rPr>
            </w:pPr>
            <w:r w:rsidRPr="003B7D01">
              <w:rPr>
                <w:rFonts w:ascii="Arial" w:hAnsi="Arial" w:cs="Arial"/>
                <w:lang w:val="en-CA"/>
              </w:rPr>
              <w:t>Subject:</w:t>
            </w:r>
          </w:p>
        </w:tc>
        <w:tc>
          <w:tcPr>
            <w:tcW w:w="5490" w:type="dxa"/>
            <w:hideMark/>
          </w:tcPr>
          <w:p w:rsidR="009E7D1C" w:rsidRPr="003B7D01" w:rsidRDefault="00C7545F" w:rsidP="00834B93">
            <w:pPr>
              <w:jc w:val="both"/>
              <w:rPr>
                <w:rFonts w:ascii="Arial" w:hAnsi="Arial" w:cs="Arial"/>
                <w:lang w:val="en-CA"/>
              </w:rPr>
            </w:pPr>
            <w:r w:rsidRPr="003B7D01">
              <w:rPr>
                <w:rFonts w:ascii="Arial" w:hAnsi="Arial" w:cs="Arial"/>
                <w:lang w:val="en-CA"/>
              </w:rPr>
              <w:t>Proposed Plan of Condominium</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 xml:space="preserve">Property Address/Description: </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1155 West 5th Street</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 xml:space="preserve">Municipality: </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City of Hamilton</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 xml:space="preserve">Municipal File No.: </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25CDM-201201</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 xml:space="preserve">OMB Case No.: </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PL130630</w:t>
            </w:r>
          </w:p>
        </w:tc>
      </w:tr>
      <w:tr w:rsidR="00C7545F" w:rsidRPr="003B7D01" w:rsidTr="00016619">
        <w:tc>
          <w:tcPr>
            <w:tcW w:w="3708" w:type="dxa"/>
            <w:hideMark/>
          </w:tcPr>
          <w:p w:rsidR="00C7545F" w:rsidRPr="003B7D01" w:rsidRDefault="00C7545F" w:rsidP="00834B93">
            <w:pPr>
              <w:jc w:val="both"/>
              <w:rPr>
                <w:rFonts w:ascii="Arial" w:hAnsi="Arial" w:cs="Arial"/>
                <w:lang w:val="en-CA"/>
              </w:rPr>
            </w:pPr>
            <w:r w:rsidRPr="003B7D01">
              <w:rPr>
                <w:rFonts w:ascii="Arial" w:hAnsi="Arial" w:cs="Arial"/>
                <w:lang w:val="en-CA"/>
              </w:rPr>
              <w:t xml:space="preserve">OMB File No.: </w:t>
            </w:r>
          </w:p>
        </w:tc>
        <w:tc>
          <w:tcPr>
            <w:tcW w:w="5490" w:type="dxa"/>
            <w:hideMark/>
          </w:tcPr>
          <w:p w:rsidR="00C7545F" w:rsidRPr="003B7D01" w:rsidRDefault="00C7545F" w:rsidP="00834B93">
            <w:pPr>
              <w:jc w:val="both"/>
              <w:rPr>
                <w:rFonts w:ascii="Arial" w:hAnsi="Arial" w:cs="Arial"/>
                <w:lang w:val="en-CA"/>
              </w:rPr>
            </w:pPr>
            <w:r w:rsidRPr="003B7D01">
              <w:rPr>
                <w:rFonts w:ascii="Arial" w:hAnsi="Arial" w:cs="Arial"/>
                <w:lang w:val="en-CA"/>
              </w:rPr>
              <w:t>PL130742</w:t>
            </w:r>
          </w:p>
        </w:tc>
      </w:tr>
    </w:tbl>
    <w:p w:rsidR="00C7545F" w:rsidRPr="003B7D01" w:rsidRDefault="00C7545F" w:rsidP="00834B93">
      <w:pPr>
        <w:widowControl w:val="0"/>
        <w:jc w:val="both"/>
        <w:rPr>
          <w:rFonts w:ascii="Arial" w:hAnsi="Arial" w:cs="Arial"/>
          <w:lang w:val="en-CA"/>
        </w:rPr>
      </w:pPr>
    </w:p>
    <w:p w:rsidR="00C7545F" w:rsidRPr="003B7D01" w:rsidRDefault="00C7545F" w:rsidP="00E62B30">
      <w:pPr>
        <w:widowControl w:val="0"/>
        <w:rPr>
          <w:rFonts w:ascii="Arial" w:hAnsi="Arial" w:cs="Arial"/>
          <w:lang w:val="en-CA"/>
        </w:rPr>
      </w:pPr>
      <w:r w:rsidRPr="003B7D01">
        <w:rPr>
          <w:rFonts w:ascii="Arial" w:hAnsi="Arial" w:cs="Arial"/>
          <w:lang w:val="en-CA"/>
        </w:rPr>
        <w:t xml:space="preserve">DiCenzo Construction Company Limited has appealed to the Ontario Municipal Board under subsection 34(11) of the </w:t>
      </w:r>
      <w:r w:rsidRPr="003B7D01">
        <w:rPr>
          <w:rFonts w:ascii="Arial" w:hAnsi="Arial" w:cs="Arial"/>
          <w:i/>
          <w:lang w:val="en-CA"/>
        </w:rPr>
        <w:t>Planning Act</w:t>
      </w:r>
      <w:r w:rsidRPr="003B7D01">
        <w:rPr>
          <w:rFonts w:ascii="Arial" w:hAnsi="Arial" w:cs="Arial"/>
          <w:lang w:val="en-CA"/>
        </w:rPr>
        <w:t xml:space="preserve">, R.S.O. 1990, c. P.13, as amended, from Council’s refusal or neglect to enact a proposed amendment to Zoning By-law 6593 of the City of Hamilton to rezone lands respecting 1125 West Fifth Street from "AA" (Agricultural District) to "RT-10"(Townhouse District) to permit the proposed townhouse development </w:t>
      </w:r>
    </w:p>
    <w:p w:rsidR="00DC5992" w:rsidRPr="003B7D01" w:rsidRDefault="00DC5992" w:rsidP="00E62B30">
      <w:pPr>
        <w:widowControl w:val="0"/>
        <w:rPr>
          <w:rFonts w:ascii="Arial" w:hAnsi="Arial" w:cs="Arial"/>
          <w:lang w:val="en-CA"/>
        </w:rPr>
      </w:pPr>
      <w:r w:rsidRPr="003B7D01">
        <w:rPr>
          <w:rFonts w:ascii="Arial" w:hAnsi="Arial" w:cs="Arial"/>
          <w:lang w:val="en-CA"/>
        </w:rPr>
        <w:t>OMB Case No. PL130909</w:t>
      </w:r>
    </w:p>
    <w:p w:rsidR="00C7545F" w:rsidRPr="003B7D01" w:rsidRDefault="00C7545F" w:rsidP="00E62B30">
      <w:pPr>
        <w:widowControl w:val="0"/>
        <w:rPr>
          <w:rFonts w:ascii="Arial" w:hAnsi="Arial" w:cs="Arial"/>
          <w:lang w:val="en-CA"/>
        </w:rPr>
      </w:pPr>
      <w:r w:rsidRPr="003B7D01">
        <w:rPr>
          <w:rFonts w:ascii="Arial" w:hAnsi="Arial" w:cs="Arial"/>
          <w:lang w:val="en-CA"/>
        </w:rPr>
        <w:t>OMB File No. PL130909</w:t>
      </w:r>
    </w:p>
    <w:p w:rsidR="00160074" w:rsidRPr="003B7D01" w:rsidRDefault="00160074" w:rsidP="00E62B30">
      <w:pPr>
        <w:widowControl w:val="0"/>
        <w:rPr>
          <w:rFonts w:ascii="Arial" w:hAnsi="Arial" w:cs="Arial"/>
          <w:lang w:val="en-CA"/>
        </w:rPr>
      </w:pPr>
    </w:p>
    <w:p w:rsidR="00C7545F" w:rsidRPr="003B7D01" w:rsidRDefault="00C7545F" w:rsidP="00834B93">
      <w:pPr>
        <w:widowControl w:val="0"/>
        <w:rPr>
          <w:rFonts w:ascii="Arial" w:hAnsi="Arial" w:cs="Arial"/>
          <w:lang w:val="en-CA"/>
        </w:rPr>
      </w:pPr>
      <w:r w:rsidRPr="003B7D01">
        <w:rPr>
          <w:rFonts w:ascii="Arial" w:hAnsi="Arial" w:cs="Arial"/>
          <w:lang w:val="en-CA"/>
        </w:rPr>
        <w:t xml:space="preserve">DiCenzo Construction Company Limited has appealed to the Ontario Municipal Board under subsection 51(34) of the </w:t>
      </w:r>
      <w:r w:rsidRPr="003B7D01">
        <w:rPr>
          <w:rFonts w:ascii="Arial" w:hAnsi="Arial" w:cs="Arial"/>
          <w:i/>
          <w:lang w:val="en-CA"/>
        </w:rPr>
        <w:t>Planning Act</w:t>
      </w:r>
      <w:r w:rsidRPr="003B7D01">
        <w:rPr>
          <w:rFonts w:ascii="Arial" w:hAnsi="Arial" w:cs="Arial"/>
          <w:lang w:val="en-CA"/>
        </w:rPr>
        <w:t>, R.S.O. 1990, c. P.13, as amended, from the failure of the City of Hamilton to make a decision respecting a proposed plan of subdivision on lands respecting 1125 West Fifth Street in the City of Hamilton</w:t>
      </w:r>
    </w:p>
    <w:p w:rsidR="00C7545F" w:rsidRPr="003B7D01" w:rsidRDefault="00C7545F" w:rsidP="00834B93">
      <w:pPr>
        <w:widowControl w:val="0"/>
        <w:rPr>
          <w:rFonts w:ascii="Arial" w:hAnsi="Arial" w:cs="Arial"/>
          <w:lang w:val="en-CA"/>
        </w:rPr>
      </w:pPr>
      <w:r w:rsidRPr="003B7D01">
        <w:rPr>
          <w:rFonts w:ascii="Arial" w:hAnsi="Arial" w:cs="Arial"/>
          <w:lang w:val="en-CA"/>
        </w:rPr>
        <w:t>(Approval Authority File No. 25T2012-06)</w:t>
      </w:r>
    </w:p>
    <w:p w:rsidR="000E008D" w:rsidRDefault="000E008D" w:rsidP="00834B93">
      <w:pPr>
        <w:widowControl w:val="0"/>
        <w:rPr>
          <w:rFonts w:ascii="Arial" w:hAnsi="Arial" w:cs="Arial"/>
          <w:lang w:val="en-CA"/>
        </w:rPr>
      </w:pPr>
    </w:p>
    <w:p w:rsidR="00DC5992" w:rsidRPr="003B7D01" w:rsidRDefault="00DC5992" w:rsidP="00834B93">
      <w:pPr>
        <w:widowControl w:val="0"/>
        <w:rPr>
          <w:rFonts w:ascii="Arial" w:hAnsi="Arial" w:cs="Arial"/>
          <w:lang w:val="en-CA"/>
        </w:rPr>
      </w:pPr>
      <w:r w:rsidRPr="003B7D01">
        <w:rPr>
          <w:rFonts w:ascii="Arial" w:hAnsi="Arial" w:cs="Arial"/>
          <w:lang w:val="en-CA"/>
        </w:rPr>
        <w:lastRenderedPageBreak/>
        <w:t>OMB Case No. PL130909</w:t>
      </w:r>
    </w:p>
    <w:p w:rsidR="00C7545F" w:rsidRPr="003B7D01" w:rsidRDefault="00C7545F" w:rsidP="00834B93">
      <w:pPr>
        <w:widowControl w:val="0"/>
        <w:jc w:val="both"/>
        <w:rPr>
          <w:rFonts w:ascii="Arial" w:hAnsi="Arial" w:cs="Arial"/>
          <w:lang w:val="en-CA"/>
        </w:rPr>
      </w:pPr>
      <w:r w:rsidRPr="003B7D01">
        <w:rPr>
          <w:rFonts w:ascii="Arial" w:hAnsi="Arial" w:cs="Arial"/>
          <w:lang w:val="en-CA"/>
        </w:rPr>
        <w:t>OMB File No. PL130910</w:t>
      </w:r>
    </w:p>
    <w:p w:rsidR="00C7545F" w:rsidRPr="003B7D01" w:rsidRDefault="00C7545F" w:rsidP="00834B93">
      <w:pPr>
        <w:widowControl w:val="0"/>
        <w:jc w:val="both"/>
        <w:rPr>
          <w:rFonts w:ascii="Arial" w:hAnsi="Arial" w:cs="Arial"/>
          <w:lang w:val="en-CA"/>
        </w:rPr>
      </w:pPr>
    </w:p>
    <w:tbl>
      <w:tblPr>
        <w:tblW w:w="9606" w:type="dxa"/>
        <w:tblLook w:val="04A0" w:firstRow="1" w:lastRow="0" w:firstColumn="1" w:lastColumn="0" w:noHBand="0" w:noVBand="1"/>
      </w:tblPr>
      <w:tblGrid>
        <w:gridCol w:w="4786"/>
        <w:gridCol w:w="4412"/>
        <w:gridCol w:w="408"/>
      </w:tblGrid>
      <w:tr w:rsidR="00C7545F" w:rsidRPr="003B7D01" w:rsidTr="00E62B30">
        <w:trPr>
          <w:gridAfter w:val="1"/>
          <w:wAfter w:w="408" w:type="dxa"/>
          <w:cantSplit/>
          <w:trHeight w:val="479"/>
        </w:trPr>
        <w:tc>
          <w:tcPr>
            <w:tcW w:w="9198" w:type="dxa"/>
            <w:gridSpan w:val="2"/>
          </w:tcPr>
          <w:p w:rsidR="00C7545F" w:rsidRPr="003B7D01" w:rsidRDefault="00C7545F" w:rsidP="00834B93">
            <w:pPr>
              <w:widowControl w:val="0"/>
              <w:ind w:right="492"/>
              <w:rPr>
                <w:rFonts w:ascii="Arial" w:hAnsi="Arial" w:cs="Arial"/>
                <w:lang w:val="en-CA"/>
              </w:rPr>
            </w:pPr>
            <w:r w:rsidRPr="003B7D01">
              <w:rPr>
                <w:rFonts w:ascii="Arial" w:hAnsi="Arial" w:cs="Arial"/>
                <w:lang w:val="en-CA"/>
              </w:rPr>
              <w:t xml:space="preserve">1804487 Ontario Inc. has appealed to the Ontario Municipal Board under subsection 22(7) of the </w:t>
            </w:r>
            <w:r w:rsidRPr="003B7D01">
              <w:rPr>
                <w:rFonts w:ascii="Arial" w:hAnsi="Arial" w:cs="Arial"/>
                <w:i/>
                <w:lang w:val="en-CA"/>
              </w:rPr>
              <w:t>Planning Act</w:t>
            </w:r>
            <w:r w:rsidRPr="003B7D01">
              <w:rPr>
                <w:rFonts w:ascii="Arial" w:hAnsi="Arial" w:cs="Arial"/>
                <w:lang w:val="en-CA"/>
              </w:rPr>
              <w:t>, R.S.O. 1990, c. P.13, as amended, from Council's neglect to enact a proposed amendment to the Official Plan for the City of Hamilton to redesignate lands 1041 West 5</w:t>
            </w:r>
            <w:r w:rsidRPr="003B7D01">
              <w:rPr>
                <w:rFonts w:ascii="Arial" w:hAnsi="Arial" w:cs="Arial"/>
                <w:vertAlign w:val="superscript"/>
                <w:lang w:val="en-CA"/>
              </w:rPr>
              <w:t>th</w:t>
            </w:r>
            <w:r w:rsidRPr="003B7D01">
              <w:rPr>
                <w:rFonts w:ascii="Arial" w:hAnsi="Arial" w:cs="Arial"/>
                <w:lang w:val="en-CA"/>
              </w:rPr>
              <w:t xml:space="preserve"> Street to permit the development of a Medical Centre, Residential Care Facility and a Place of Worship</w:t>
            </w:r>
          </w:p>
          <w:p w:rsidR="00C7545F" w:rsidRPr="003B7D01" w:rsidRDefault="00C7545F" w:rsidP="00834B93">
            <w:pPr>
              <w:widowControl w:val="0"/>
              <w:ind w:right="492"/>
              <w:rPr>
                <w:rFonts w:ascii="Arial" w:hAnsi="Arial" w:cs="Arial"/>
                <w:lang w:val="en-CA"/>
              </w:rPr>
            </w:pPr>
            <w:r w:rsidRPr="003B7D01">
              <w:rPr>
                <w:rFonts w:ascii="Arial" w:hAnsi="Arial" w:cs="Arial"/>
                <w:lang w:val="en-CA"/>
              </w:rPr>
              <w:t>Approval Authority File No. OPA-12-024</w:t>
            </w:r>
          </w:p>
          <w:p w:rsidR="00DC5992" w:rsidRPr="003B7D01" w:rsidRDefault="00DC5992" w:rsidP="00834B93">
            <w:pPr>
              <w:widowControl w:val="0"/>
              <w:ind w:right="492"/>
              <w:rPr>
                <w:rFonts w:ascii="Arial" w:hAnsi="Arial" w:cs="Arial"/>
                <w:lang w:val="en-CA"/>
              </w:rPr>
            </w:pPr>
            <w:r w:rsidRPr="003B7D01">
              <w:rPr>
                <w:rFonts w:ascii="Arial" w:hAnsi="Arial" w:cs="Arial"/>
                <w:lang w:val="en-CA"/>
              </w:rPr>
              <w:t>OMB Case No. PL131311</w:t>
            </w:r>
          </w:p>
          <w:p w:rsidR="00C7545F" w:rsidRPr="003B7D01" w:rsidRDefault="00C7545F" w:rsidP="00834B93">
            <w:pPr>
              <w:widowControl w:val="0"/>
              <w:ind w:right="492"/>
              <w:rPr>
                <w:rFonts w:ascii="Arial" w:hAnsi="Arial" w:cs="Arial"/>
                <w:lang w:val="en-CA"/>
              </w:rPr>
            </w:pPr>
            <w:r w:rsidRPr="003B7D01">
              <w:rPr>
                <w:rFonts w:ascii="Arial" w:hAnsi="Arial" w:cs="Arial"/>
                <w:lang w:val="en-CA"/>
              </w:rPr>
              <w:t>OMB File No. PL131311</w:t>
            </w:r>
          </w:p>
          <w:p w:rsidR="00C7545F" w:rsidRPr="003B7D01" w:rsidRDefault="00C7545F" w:rsidP="00834B93">
            <w:pPr>
              <w:ind w:right="492"/>
              <w:rPr>
                <w:rFonts w:ascii="Arial" w:hAnsi="Arial" w:cs="Arial"/>
                <w:lang w:val="en-CA"/>
              </w:rPr>
            </w:pPr>
          </w:p>
          <w:p w:rsidR="00C7545F" w:rsidRPr="003B7D01" w:rsidRDefault="00C7545F" w:rsidP="00834B93">
            <w:pPr>
              <w:widowControl w:val="0"/>
              <w:ind w:right="492"/>
              <w:rPr>
                <w:rFonts w:ascii="Arial" w:hAnsi="Arial" w:cs="Arial"/>
                <w:lang w:val="en-CA"/>
              </w:rPr>
            </w:pPr>
            <w:r w:rsidRPr="003B7D01">
              <w:rPr>
                <w:rFonts w:ascii="Arial" w:hAnsi="Arial" w:cs="Arial"/>
                <w:lang w:val="en-CA"/>
              </w:rPr>
              <w:t xml:space="preserve">1804487 Ontario Inc. has appealed to the Ontario Municipal Board under subsection 34(11) of the </w:t>
            </w:r>
            <w:r w:rsidRPr="003B7D01">
              <w:rPr>
                <w:rFonts w:ascii="Arial" w:hAnsi="Arial" w:cs="Arial"/>
                <w:i/>
                <w:lang w:val="en-CA"/>
              </w:rPr>
              <w:t>Planning Act</w:t>
            </w:r>
            <w:r w:rsidRPr="003B7D01">
              <w:rPr>
                <w:rFonts w:ascii="Arial" w:hAnsi="Arial" w:cs="Arial"/>
                <w:lang w:val="en-CA"/>
              </w:rPr>
              <w:t>, R.S.O. 1990, c. P.13, as amended, from Council’s neglect to enact a proposed amendment to Zoning By-law 6593 of the City of Hamilton to rezone lands respecting 1041 West 5</w:t>
            </w:r>
            <w:r w:rsidRPr="003B7D01">
              <w:rPr>
                <w:rFonts w:ascii="Arial" w:hAnsi="Arial" w:cs="Arial"/>
                <w:vertAlign w:val="superscript"/>
                <w:lang w:val="en-CA"/>
              </w:rPr>
              <w:t>th</w:t>
            </w:r>
            <w:r w:rsidRPr="003B7D01">
              <w:rPr>
                <w:rFonts w:ascii="Arial" w:hAnsi="Arial" w:cs="Arial"/>
                <w:lang w:val="en-CA"/>
              </w:rPr>
              <w:t xml:space="preserve"> Street from “AA” Agricultural to “I3” Major Institutional to permit the development of a Medical Centre, Residential Care Facility and a Place of Worship</w:t>
            </w:r>
          </w:p>
          <w:p w:rsidR="00DC5992" w:rsidRPr="003B7D01" w:rsidRDefault="00DC5992" w:rsidP="00834B93">
            <w:pPr>
              <w:widowControl w:val="0"/>
              <w:ind w:right="492"/>
              <w:rPr>
                <w:rFonts w:ascii="Arial" w:hAnsi="Arial" w:cs="Arial"/>
                <w:lang w:val="en-CA"/>
              </w:rPr>
            </w:pPr>
            <w:r w:rsidRPr="003B7D01">
              <w:rPr>
                <w:rFonts w:ascii="Arial" w:hAnsi="Arial" w:cs="Arial"/>
                <w:lang w:val="en-CA"/>
              </w:rPr>
              <w:t>OMB Case No. PL131311</w:t>
            </w:r>
          </w:p>
          <w:p w:rsidR="00C7545F" w:rsidRPr="003B7D01" w:rsidRDefault="00C7545F" w:rsidP="00834B93">
            <w:pPr>
              <w:widowControl w:val="0"/>
              <w:ind w:right="492"/>
              <w:rPr>
                <w:rFonts w:ascii="Arial" w:hAnsi="Arial" w:cs="Arial"/>
                <w:lang w:val="en-CA"/>
              </w:rPr>
            </w:pPr>
            <w:r w:rsidRPr="003B7D01">
              <w:rPr>
                <w:rFonts w:ascii="Arial" w:hAnsi="Arial" w:cs="Arial"/>
                <w:lang w:val="en-CA"/>
              </w:rPr>
              <w:t>OMB File No. PL131312</w:t>
            </w:r>
          </w:p>
          <w:p w:rsidR="00852C12" w:rsidRPr="003B7D01" w:rsidRDefault="00852C12" w:rsidP="00834B93">
            <w:pPr>
              <w:widowControl w:val="0"/>
              <w:ind w:right="492"/>
              <w:rPr>
                <w:rFonts w:ascii="Arial" w:hAnsi="Arial" w:cs="Arial"/>
                <w:lang w:val="en-CA"/>
              </w:rPr>
            </w:pPr>
          </w:p>
        </w:tc>
      </w:tr>
      <w:tr w:rsidR="00E62B30"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E62B30" w:rsidRPr="003B7D01" w:rsidRDefault="00E62B30" w:rsidP="005A767F">
            <w:pPr>
              <w:rPr>
                <w:rFonts w:ascii="Arial" w:hAnsi="Arial" w:cs="Arial"/>
                <w:b/>
                <w:lang w:val="en-CA"/>
              </w:rPr>
            </w:pPr>
          </w:p>
        </w:tc>
        <w:tc>
          <w:tcPr>
            <w:tcW w:w="4820" w:type="dxa"/>
            <w:gridSpan w:val="2"/>
            <w:tcBorders>
              <w:top w:val="nil"/>
              <w:left w:val="nil"/>
              <w:bottom w:val="nil"/>
              <w:right w:val="nil"/>
            </w:tcBorders>
          </w:tcPr>
          <w:p w:rsidR="00E62B30" w:rsidRPr="003B7D01" w:rsidRDefault="00E62B30" w:rsidP="005A767F">
            <w:pPr>
              <w:tabs>
                <w:tab w:val="left" w:pos="3402"/>
              </w:tabs>
              <w:rPr>
                <w:rFonts w:ascii="Arial" w:hAnsi="Arial" w:cs="Arial"/>
                <w:b/>
                <w:u w:val="single"/>
                <w:lang w:val="en-CA"/>
              </w:rPr>
            </w:pPr>
          </w:p>
        </w:tc>
      </w:tr>
      <w:bookmarkEnd w:id="0"/>
      <w:tr w:rsidR="0089782A"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89782A" w:rsidRPr="003B7D01" w:rsidRDefault="0089782A" w:rsidP="005A767F">
            <w:pPr>
              <w:rPr>
                <w:rFonts w:ascii="Arial" w:hAnsi="Arial" w:cs="Arial"/>
                <w:b/>
                <w:u w:val="single"/>
                <w:lang w:val="en-CA"/>
              </w:rPr>
            </w:pPr>
            <w:r w:rsidRPr="003B7D01">
              <w:rPr>
                <w:rFonts w:ascii="Arial" w:hAnsi="Arial" w:cs="Arial"/>
                <w:b/>
                <w:lang w:val="en-CA"/>
              </w:rPr>
              <w:t>APPEARANCES:</w:t>
            </w:r>
          </w:p>
        </w:tc>
        <w:tc>
          <w:tcPr>
            <w:tcW w:w="4820" w:type="dxa"/>
            <w:gridSpan w:val="2"/>
            <w:tcBorders>
              <w:top w:val="nil"/>
              <w:left w:val="nil"/>
              <w:bottom w:val="nil"/>
              <w:right w:val="nil"/>
            </w:tcBorders>
          </w:tcPr>
          <w:p w:rsidR="0089782A" w:rsidRPr="003B7D01" w:rsidRDefault="0089782A" w:rsidP="005A767F">
            <w:pPr>
              <w:tabs>
                <w:tab w:val="left" w:pos="3402"/>
              </w:tabs>
              <w:rPr>
                <w:rFonts w:ascii="Arial" w:hAnsi="Arial" w:cs="Arial"/>
                <w:b/>
                <w:u w:val="single"/>
                <w:lang w:val="en-CA"/>
              </w:rPr>
            </w:pPr>
          </w:p>
        </w:tc>
      </w:tr>
      <w:tr w:rsidR="0089782A"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89782A" w:rsidRPr="003B7D01" w:rsidRDefault="0089782A" w:rsidP="005A767F">
            <w:pPr>
              <w:tabs>
                <w:tab w:val="left" w:pos="3402"/>
              </w:tabs>
              <w:rPr>
                <w:rFonts w:ascii="Arial" w:hAnsi="Arial" w:cs="Arial"/>
                <w:b/>
                <w:u w:val="single"/>
                <w:lang w:val="en-CA"/>
              </w:rPr>
            </w:pPr>
          </w:p>
        </w:tc>
        <w:tc>
          <w:tcPr>
            <w:tcW w:w="4820" w:type="dxa"/>
            <w:gridSpan w:val="2"/>
            <w:tcBorders>
              <w:top w:val="nil"/>
              <w:left w:val="nil"/>
              <w:bottom w:val="nil"/>
              <w:right w:val="nil"/>
            </w:tcBorders>
          </w:tcPr>
          <w:p w:rsidR="0089782A" w:rsidRPr="003B7D01" w:rsidRDefault="0089782A" w:rsidP="005A767F">
            <w:pPr>
              <w:tabs>
                <w:tab w:val="left" w:pos="3402"/>
              </w:tabs>
              <w:rPr>
                <w:rFonts w:ascii="Arial" w:hAnsi="Arial" w:cs="Arial"/>
                <w:b/>
                <w:u w:val="single"/>
                <w:lang w:val="en-CA"/>
              </w:rPr>
            </w:pPr>
          </w:p>
        </w:tc>
      </w:tr>
      <w:tr w:rsidR="008046EB"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8046EB" w:rsidRPr="003B7D01" w:rsidRDefault="008046EB" w:rsidP="005A767F">
            <w:pPr>
              <w:tabs>
                <w:tab w:val="left" w:pos="3402"/>
              </w:tabs>
              <w:rPr>
                <w:rFonts w:ascii="Arial" w:hAnsi="Arial" w:cs="Arial"/>
                <w:b/>
                <w:u w:val="single"/>
                <w:lang w:val="en-CA"/>
              </w:rPr>
            </w:pPr>
            <w:bookmarkStart w:id="2" w:name="Parties"/>
            <w:r w:rsidRPr="003B7D01">
              <w:rPr>
                <w:rFonts w:ascii="Arial" w:hAnsi="Arial" w:cs="Arial"/>
                <w:b/>
                <w:u w:val="single"/>
                <w:lang w:val="en-CA"/>
              </w:rPr>
              <w:t>Parties</w:t>
            </w:r>
            <w:bookmarkEnd w:id="2"/>
          </w:p>
        </w:tc>
        <w:tc>
          <w:tcPr>
            <w:tcW w:w="4820" w:type="dxa"/>
            <w:gridSpan w:val="2"/>
            <w:tcBorders>
              <w:top w:val="nil"/>
              <w:left w:val="nil"/>
              <w:bottom w:val="nil"/>
              <w:right w:val="nil"/>
            </w:tcBorders>
          </w:tcPr>
          <w:p w:rsidR="008046EB" w:rsidRPr="003B7D01" w:rsidRDefault="008046EB" w:rsidP="005A767F">
            <w:pPr>
              <w:tabs>
                <w:tab w:val="left" w:pos="3402"/>
              </w:tabs>
              <w:rPr>
                <w:rFonts w:ascii="Arial" w:hAnsi="Arial" w:cs="Arial"/>
                <w:b/>
                <w:u w:val="single"/>
                <w:lang w:val="en-CA"/>
              </w:rPr>
            </w:pPr>
            <w:bookmarkStart w:id="3" w:name="CounselAgent"/>
            <w:r w:rsidRPr="003B7D01">
              <w:rPr>
                <w:rFonts w:ascii="Arial" w:hAnsi="Arial" w:cs="Arial"/>
                <w:b/>
                <w:u w:val="single"/>
                <w:lang w:val="en-CA"/>
              </w:rPr>
              <w:t>Counse</w:t>
            </w:r>
            <w:r w:rsidR="009333AA" w:rsidRPr="003B7D01">
              <w:rPr>
                <w:rFonts w:ascii="Arial" w:hAnsi="Arial" w:cs="Arial"/>
                <w:b/>
                <w:u w:val="single"/>
                <w:lang w:val="en-CA"/>
              </w:rPr>
              <w:t>l</w:t>
            </w:r>
            <w:bookmarkEnd w:id="3"/>
          </w:p>
        </w:tc>
      </w:tr>
      <w:tr w:rsidR="00CF3F96"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CF3F96" w:rsidRPr="003B7D01" w:rsidRDefault="00CF3F96" w:rsidP="00375F31">
            <w:pPr>
              <w:pStyle w:val="PartiesCounselAgent"/>
              <w:tabs>
                <w:tab w:val="left" w:pos="3402"/>
              </w:tabs>
              <w:rPr>
                <w:rFonts w:cs="Arial"/>
                <w:lang w:eastAsia="en-CA"/>
              </w:rPr>
            </w:pPr>
          </w:p>
        </w:tc>
        <w:tc>
          <w:tcPr>
            <w:tcW w:w="4820" w:type="dxa"/>
            <w:gridSpan w:val="2"/>
            <w:tcBorders>
              <w:top w:val="nil"/>
              <w:left w:val="nil"/>
              <w:bottom w:val="nil"/>
              <w:right w:val="nil"/>
            </w:tcBorders>
          </w:tcPr>
          <w:p w:rsidR="00CF3F96" w:rsidRPr="003B7D01" w:rsidRDefault="00CF3F96" w:rsidP="00375F31">
            <w:pPr>
              <w:pStyle w:val="PartiesCounselAgent"/>
              <w:tabs>
                <w:tab w:val="left" w:pos="3402"/>
              </w:tabs>
              <w:rPr>
                <w:rFonts w:cs="Arial"/>
                <w:lang w:eastAsia="en-CA"/>
              </w:rPr>
            </w:pPr>
          </w:p>
        </w:tc>
      </w:tr>
      <w:tr w:rsidR="000D6F9D"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0D6F9D" w:rsidRPr="003B7D01" w:rsidRDefault="00C7545F" w:rsidP="00375F31">
            <w:pPr>
              <w:pStyle w:val="PartiesCounselAgent"/>
              <w:tabs>
                <w:tab w:val="left" w:pos="3402"/>
              </w:tabs>
              <w:rPr>
                <w:rFonts w:cs="Arial"/>
              </w:rPr>
            </w:pPr>
            <w:r w:rsidRPr="003B7D01">
              <w:rPr>
                <w:rFonts w:cs="Arial"/>
              </w:rPr>
              <w:t>1804482 Ontario Ltd. (“Sonoma”)</w:t>
            </w:r>
          </w:p>
        </w:tc>
        <w:tc>
          <w:tcPr>
            <w:tcW w:w="4820" w:type="dxa"/>
            <w:gridSpan w:val="2"/>
            <w:tcBorders>
              <w:top w:val="nil"/>
              <w:left w:val="nil"/>
              <w:bottom w:val="nil"/>
              <w:right w:val="nil"/>
            </w:tcBorders>
          </w:tcPr>
          <w:p w:rsidR="000D6F9D" w:rsidRPr="003B7D01" w:rsidRDefault="00C7545F" w:rsidP="00375F31">
            <w:pPr>
              <w:pStyle w:val="PartiesCounselAgent"/>
              <w:tabs>
                <w:tab w:val="left" w:pos="3402"/>
              </w:tabs>
              <w:rPr>
                <w:rFonts w:cs="Arial"/>
              </w:rPr>
            </w:pPr>
            <w:r w:rsidRPr="003B7D01">
              <w:rPr>
                <w:rFonts w:cs="Arial"/>
              </w:rPr>
              <w:t>D. Baker</w:t>
            </w:r>
          </w:p>
        </w:tc>
      </w:tr>
      <w:tr w:rsidR="000D6F9D"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0D6F9D" w:rsidRPr="003B7D01" w:rsidRDefault="000D6F9D" w:rsidP="00375F31">
            <w:pPr>
              <w:pStyle w:val="PartiesCounselAgent"/>
              <w:tabs>
                <w:tab w:val="left" w:pos="3402"/>
              </w:tabs>
              <w:rPr>
                <w:rFonts w:cs="Arial"/>
              </w:rPr>
            </w:pPr>
          </w:p>
        </w:tc>
        <w:tc>
          <w:tcPr>
            <w:tcW w:w="4820" w:type="dxa"/>
            <w:gridSpan w:val="2"/>
            <w:tcBorders>
              <w:top w:val="nil"/>
              <w:left w:val="nil"/>
              <w:bottom w:val="nil"/>
              <w:right w:val="nil"/>
            </w:tcBorders>
          </w:tcPr>
          <w:p w:rsidR="000D6F9D" w:rsidRPr="003B7D01" w:rsidRDefault="000D6F9D" w:rsidP="00375F31">
            <w:pPr>
              <w:pStyle w:val="PartiesCounselAgent"/>
              <w:tabs>
                <w:tab w:val="left" w:pos="3402"/>
              </w:tabs>
              <w:rPr>
                <w:rFonts w:cs="Arial"/>
              </w:rPr>
            </w:pPr>
          </w:p>
        </w:tc>
      </w:tr>
      <w:tr w:rsidR="000D6F9D"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0D6F9D" w:rsidRPr="003B7D01" w:rsidRDefault="00C7545F" w:rsidP="00375F31">
            <w:pPr>
              <w:tabs>
                <w:tab w:val="left" w:pos="3402"/>
              </w:tabs>
              <w:rPr>
                <w:rFonts w:ascii="Arial" w:hAnsi="Arial" w:cs="Arial"/>
                <w:lang w:val="en-CA" w:eastAsia="en-CA"/>
              </w:rPr>
            </w:pPr>
            <w:r w:rsidRPr="003B7D01">
              <w:rPr>
                <w:rFonts w:ascii="Arial" w:hAnsi="Arial" w:cs="Arial"/>
                <w:lang w:val="en-CA" w:eastAsia="en-CA"/>
              </w:rPr>
              <w:t>DiCenzo Construction Company Limited (“DCCL”)</w:t>
            </w:r>
          </w:p>
        </w:tc>
        <w:tc>
          <w:tcPr>
            <w:tcW w:w="4820" w:type="dxa"/>
            <w:gridSpan w:val="2"/>
            <w:tcBorders>
              <w:top w:val="nil"/>
              <w:left w:val="nil"/>
              <w:bottom w:val="nil"/>
              <w:right w:val="nil"/>
            </w:tcBorders>
          </w:tcPr>
          <w:p w:rsidR="000D6F9D" w:rsidRPr="003B7D01" w:rsidRDefault="00C7545F" w:rsidP="00375F31">
            <w:pPr>
              <w:pStyle w:val="PartiesCounselAgent"/>
              <w:tabs>
                <w:tab w:val="left" w:pos="3402"/>
              </w:tabs>
              <w:rPr>
                <w:rFonts w:cs="Arial"/>
              </w:rPr>
            </w:pPr>
            <w:r w:rsidRPr="003B7D01">
              <w:rPr>
                <w:rFonts w:cs="Arial"/>
              </w:rPr>
              <w:t>S. Zakem</w:t>
            </w:r>
          </w:p>
        </w:tc>
      </w:tr>
      <w:tr w:rsidR="0089782A"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89782A" w:rsidRPr="003B7D01" w:rsidRDefault="0089782A" w:rsidP="00375F31">
            <w:pPr>
              <w:tabs>
                <w:tab w:val="left" w:pos="3402"/>
              </w:tabs>
              <w:rPr>
                <w:rFonts w:ascii="Arial" w:hAnsi="Arial" w:cs="Arial"/>
                <w:lang w:val="en-CA" w:eastAsia="en-CA"/>
              </w:rPr>
            </w:pPr>
          </w:p>
        </w:tc>
        <w:tc>
          <w:tcPr>
            <w:tcW w:w="4820" w:type="dxa"/>
            <w:gridSpan w:val="2"/>
            <w:tcBorders>
              <w:top w:val="nil"/>
              <w:left w:val="nil"/>
              <w:bottom w:val="nil"/>
              <w:right w:val="nil"/>
            </w:tcBorders>
          </w:tcPr>
          <w:p w:rsidR="0089782A" w:rsidRPr="003B7D01" w:rsidRDefault="0089782A" w:rsidP="00375F31">
            <w:pPr>
              <w:pStyle w:val="PartiesCounselAgent"/>
              <w:tabs>
                <w:tab w:val="left" w:pos="3402"/>
              </w:tabs>
              <w:rPr>
                <w:rFonts w:cs="Arial"/>
              </w:rPr>
            </w:pPr>
          </w:p>
        </w:tc>
      </w:tr>
      <w:tr w:rsidR="0089782A"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89782A" w:rsidRPr="003B7D01" w:rsidRDefault="00C7545F" w:rsidP="00375F31">
            <w:pPr>
              <w:tabs>
                <w:tab w:val="left" w:pos="3402"/>
              </w:tabs>
              <w:rPr>
                <w:rFonts w:ascii="Arial" w:hAnsi="Arial" w:cs="Arial"/>
                <w:lang w:val="en-CA" w:eastAsia="en-CA"/>
              </w:rPr>
            </w:pPr>
            <w:r w:rsidRPr="003B7D01">
              <w:rPr>
                <w:rFonts w:ascii="Arial" w:hAnsi="Arial" w:cs="Arial"/>
                <w:lang w:val="en-CA" w:eastAsia="en-CA"/>
              </w:rPr>
              <w:t>LPF Realty Retail In</w:t>
            </w:r>
            <w:r w:rsidR="008D43A9" w:rsidRPr="003B7D01">
              <w:rPr>
                <w:rFonts w:ascii="Arial" w:hAnsi="Arial" w:cs="Arial"/>
                <w:lang w:val="en-CA" w:eastAsia="en-CA"/>
              </w:rPr>
              <w:t>c</w:t>
            </w:r>
            <w:r w:rsidRPr="003B7D01">
              <w:rPr>
                <w:rFonts w:ascii="Arial" w:hAnsi="Arial" w:cs="Arial"/>
                <w:lang w:val="en-CA" w:eastAsia="en-CA"/>
              </w:rPr>
              <w:t>. (“LPF”) and Fengate Capital Management Ltd. (“Fengate”)</w:t>
            </w:r>
          </w:p>
        </w:tc>
        <w:tc>
          <w:tcPr>
            <w:tcW w:w="4820" w:type="dxa"/>
            <w:gridSpan w:val="2"/>
            <w:tcBorders>
              <w:top w:val="nil"/>
              <w:left w:val="nil"/>
              <w:bottom w:val="nil"/>
              <w:right w:val="nil"/>
            </w:tcBorders>
          </w:tcPr>
          <w:p w:rsidR="0089782A" w:rsidRPr="003B7D01" w:rsidRDefault="00C7545F" w:rsidP="00375F31">
            <w:pPr>
              <w:pStyle w:val="PartiesCounselAgent"/>
              <w:tabs>
                <w:tab w:val="left" w:pos="3402"/>
              </w:tabs>
              <w:rPr>
                <w:rFonts w:cs="Arial"/>
              </w:rPr>
            </w:pPr>
            <w:r w:rsidRPr="003B7D01">
              <w:rPr>
                <w:rFonts w:cs="Arial"/>
              </w:rPr>
              <w:t>D. Tang</w:t>
            </w:r>
          </w:p>
        </w:tc>
      </w:tr>
      <w:tr w:rsidR="0089782A"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89782A" w:rsidRPr="003B7D01" w:rsidRDefault="0089782A" w:rsidP="00375F31">
            <w:pPr>
              <w:tabs>
                <w:tab w:val="left" w:pos="3402"/>
              </w:tabs>
              <w:rPr>
                <w:rFonts w:ascii="Arial" w:hAnsi="Arial" w:cs="Arial"/>
                <w:lang w:val="en-CA" w:eastAsia="en-CA"/>
              </w:rPr>
            </w:pPr>
          </w:p>
        </w:tc>
        <w:tc>
          <w:tcPr>
            <w:tcW w:w="4820" w:type="dxa"/>
            <w:gridSpan w:val="2"/>
            <w:tcBorders>
              <w:top w:val="nil"/>
              <w:left w:val="nil"/>
              <w:bottom w:val="nil"/>
              <w:right w:val="nil"/>
            </w:tcBorders>
          </w:tcPr>
          <w:p w:rsidR="0089782A" w:rsidRPr="003B7D01" w:rsidRDefault="0089782A" w:rsidP="00375F31">
            <w:pPr>
              <w:pStyle w:val="PartiesCounselAgent"/>
              <w:tabs>
                <w:tab w:val="left" w:pos="3402"/>
              </w:tabs>
              <w:rPr>
                <w:rFonts w:cs="Arial"/>
              </w:rPr>
            </w:pPr>
          </w:p>
        </w:tc>
      </w:tr>
      <w:tr w:rsidR="0089782A"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89782A" w:rsidRPr="003B7D01" w:rsidRDefault="00C7545F" w:rsidP="00375F31">
            <w:pPr>
              <w:tabs>
                <w:tab w:val="left" w:pos="3402"/>
              </w:tabs>
              <w:rPr>
                <w:rFonts w:ascii="Arial" w:hAnsi="Arial" w:cs="Arial"/>
                <w:lang w:val="en-CA" w:eastAsia="en-CA"/>
              </w:rPr>
            </w:pPr>
            <w:r w:rsidRPr="003B7D01">
              <w:rPr>
                <w:rFonts w:ascii="Arial" w:hAnsi="Arial" w:cs="Arial"/>
                <w:lang w:val="en-CA" w:eastAsia="en-CA"/>
              </w:rPr>
              <w:t>City of Hamilton (“City”)</w:t>
            </w:r>
          </w:p>
        </w:tc>
        <w:tc>
          <w:tcPr>
            <w:tcW w:w="4820" w:type="dxa"/>
            <w:gridSpan w:val="2"/>
            <w:tcBorders>
              <w:top w:val="nil"/>
              <w:left w:val="nil"/>
              <w:bottom w:val="nil"/>
              <w:right w:val="nil"/>
            </w:tcBorders>
          </w:tcPr>
          <w:p w:rsidR="0089782A" w:rsidRPr="003B7D01" w:rsidRDefault="00C7545F" w:rsidP="00375F31">
            <w:pPr>
              <w:pStyle w:val="PartiesCounselAgent"/>
              <w:tabs>
                <w:tab w:val="left" w:pos="3402"/>
              </w:tabs>
              <w:rPr>
                <w:rFonts w:cs="Arial"/>
              </w:rPr>
            </w:pPr>
            <w:r w:rsidRPr="003B7D01">
              <w:rPr>
                <w:rFonts w:cs="Arial"/>
              </w:rPr>
              <w:t>M. Kovacevic</w:t>
            </w:r>
            <w:r w:rsidR="00D47413" w:rsidRPr="003B7D01">
              <w:rPr>
                <w:rFonts w:cs="Arial"/>
              </w:rPr>
              <w:t xml:space="preserve"> and M. Minkowski</w:t>
            </w:r>
          </w:p>
        </w:tc>
      </w:tr>
      <w:tr w:rsidR="009A73F6"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9A73F6" w:rsidRPr="003B7D01" w:rsidRDefault="009A73F6" w:rsidP="00375F31">
            <w:pPr>
              <w:tabs>
                <w:tab w:val="left" w:pos="3402"/>
              </w:tabs>
              <w:rPr>
                <w:rFonts w:ascii="Arial" w:hAnsi="Arial" w:cs="Arial"/>
                <w:lang w:val="en-CA" w:eastAsia="en-CA"/>
              </w:rPr>
            </w:pPr>
          </w:p>
        </w:tc>
        <w:tc>
          <w:tcPr>
            <w:tcW w:w="4820" w:type="dxa"/>
            <w:gridSpan w:val="2"/>
            <w:tcBorders>
              <w:top w:val="nil"/>
              <w:left w:val="nil"/>
              <w:bottom w:val="nil"/>
              <w:right w:val="nil"/>
            </w:tcBorders>
          </w:tcPr>
          <w:p w:rsidR="009A73F6" w:rsidRPr="003B7D01" w:rsidRDefault="009A73F6" w:rsidP="00375F31">
            <w:pPr>
              <w:pStyle w:val="PartiesCounselAgent"/>
              <w:tabs>
                <w:tab w:val="left" w:pos="3402"/>
              </w:tabs>
              <w:rPr>
                <w:rFonts w:cs="Arial"/>
              </w:rPr>
            </w:pPr>
          </w:p>
        </w:tc>
      </w:tr>
      <w:tr w:rsidR="009A73F6" w:rsidRPr="003B7D01" w:rsidTr="00E62B30">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Ex>
        <w:tc>
          <w:tcPr>
            <w:tcW w:w="4786" w:type="dxa"/>
            <w:tcBorders>
              <w:top w:val="nil"/>
              <w:left w:val="nil"/>
              <w:bottom w:val="nil"/>
              <w:right w:val="nil"/>
            </w:tcBorders>
          </w:tcPr>
          <w:p w:rsidR="009A73F6" w:rsidRPr="009C592B" w:rsidRDefault="00C7545F" w:rsidP="00375F31">
            <w:pPr>
              <w:tabs>
                <w:tab w:val="left" w:pos="3402"/>
              </w:tabs>
              <w:rPr>
                <w:rFonts w:ascii="Arial" w:hAnsi="Arial" w:cs="Arial"/>
                <w:lang w:val="fr-CA" w:eastAsia="en-CA"/>
              </w:rPr>
            </w:pPr>
            <w:r w:rsidRPr="009C592B">
              <w:rPr>
                <w:rFonts w:ascii="Arial" w:hAnsi="Arial" w:cs="Arial"/>
                <w:lang w:val="fr-CA" w:eastAsia="en-CA"/>
              </w:rPr>
              <w:t>1804487 Ontario Inc. (“487”) and A. De Santis Developments Ltd. (“De Santis”)</w:t>
            </w:r>
          </w:p>
        </w:tc>
        <w:tc>
          <w:tcPr>
            <w:tcW w:w="4820" w:type="dxa"/>
            <w:gridSpan w:val="2"/>
            <w:tcBorders>
              <w:top w:val="nil"/>
              <w:left w:val="nil"/>
              <w:bottom w:val="nil"/>
              <w:right w:val="nil"/>
            </w:tcBorders>
          </w:tcPr>
          <w:p w:rsidR="009A73F6" w:rsidRPr="003B7D01" w:rsidRDefault="00C7545F" w:rsidP="00375F31">
            <w:pPr>
              <w:pStyle w:val="PartiesCounselAgent"/>
              <w:tabs>
                <w:tab w:val="left" w:pos="3402"/>
              </w:tabs>
              <w:rPr>
                <w:rFonts w:cs="Arial"/>
              </w:rPr>
            </w:pPr>
            <w:r w:rsidRPr="003B7D01">
              <w:rPr>
                <w:rFonts w:cs="Arial"/>
              </w:rPr>
              <w:t>N. Smith</w:t>
            </w:r>
          </w:p>
        </w:tc>
      </w:tr>
    </w:tbl>
    <w:p w:rsidR="0026320F" w:rsidRPr="003B7D01" w:rsidRDefault="0026320F" w:rsidP="005A767F">
      <w:pPr>
        <w:tabs>
          <w:tab w:val="left" w:pos="3402"/>
        </w:tabs>
        <w:rPr>
          <w:rFonts w:ascii="Arial" w:hAnsi="Arial" w:cs="Arial"/>
          <w:lang w:val="en-CA"/>
        </w:rPr>
      </w:pPr>
    </w:p>
    <w:p w:rsidR="00E62B30" w:rsidRDefault="00E62B30" w:rsidP="00F241C7">
      <w:pPr>
        <w:pStyle w:val="DecisionDeliveredby"/>
        <w:rPr>
          <w:rFonts w:cs="Arial"/>
        </w:rPr>
      </w:pPr>
      <w:bookmarkStart w:id="4" w:name="DecisionDeliveredBy"/>
    </w:p>
    <w:p w:rsidR="000E008D" w:rsidRDefault="000E008D" w:rsidP="00F241C7">
      <w:pPr>
        <w:pStyle w:val="DecisionDeliveredby"/>
        <w:rPr>
          <w:rFonts w:cs="Arial"/>
        </w:rPr>
      </w:pPr>
    </w:p>
    <w:p w:rsidR="00C02B28" w:rsidRPr="003B7D01" w:rsidRDefault="00DE12B5" w:rsidP="005A767F">
      <w:pPr>
        <w:pStyle w:val="DecisionDeliveredby"/>
        <w:pBdr>
          <w:bottom w:val="single" w:sz="4" w:space="1" w:color="auto"/>
        </w:pBdr>
        <w:rPr>
          <w:rFonts w:cs="Arial"/>
        </w:rPr>
      </w:pPr>
      <w:r w:rsidRPr="003B7D01">
        <w:rPr>
          <w:rFonts w:cs="Arial"/>
        </w:rPr>
        <w:lastRenderedPageBreak/>
        <w:t xml:space="preserve">MEMORANDUM OF ORAL </w:t>
      </w:r>
      <w:r w:rsidR="00C02B28" w:rsidRPr="003B7D01">
        <w:rPr>
          <w:rFonts w:cs="Arial"/>
        </w:rPr>
        <w:t xml:space="preserve">DECISION DELIVERED BY </w:t>
      </w:r>
      <w:r w:rsidR="00DB1E88" w:rsidRPr="003B7D01">
        <w:rPr>
          <w:rFonts w:cs="Arial"/>
        </w:rPr>
        <w:t xml:space="preserve">SUSAN de AVELLAR SCHILLER </w:t>
      </w:r>
      <w:r w:rsidRPr="003B7D01">
        <w:rPr>
          <w:rFonts w:cs="Arial"/>
        </w:rPr>
        <w:t xml:space="preserve">JULY 8, 2014 </w:t>
      </w:r>
      <w:r w:rsidR="00DB1E88" w:rsidRPr="003B7D01">
        <w:rPr>
          <w:rFonts w:cs="Arial"/>
        </w:rPr>
        <w:t>AND ORDER OF THE BOARD</w:t>
      </w:r>
    </w:p>
    <w:p w:rsidR="009A73F6" w:rsidRPr="003B7D01" w:rsidRDefault="009A73F6" w:rsidP="00C81069">
      <w:pPr>
        <w:pStyle w:val="DecisionDeliveredby"/>
        <w:spacing w:beforeLines="150" w:before="360" w:afterLines="150" w:after="360" w:line="360" w:lineRule="auto"/>
        <w:rPr>
          <w:rFonts w:cs="Arial"/>
        </w:rPr>
      </w:pPr>
      <w:r w:rsidRPr="003B7D01">
        <w:rPr>
          <w:rFonts w:cs="Arial"/>
        </w:rPr>
        <w:t>INTRODUCTION</w:t>
      </w:r>
    </w:p>
    <w:p w:rsidR="00986AB5" w:rsidRPr="003B7D01" w:rsidRDefault="00986AB5" w:rsidP="00C81069">
      <w:pPr>
        <w:pStyle w:val="DecisionBody"/>
        <w:spacing w:beforeLines="150" w:before="360" w:afterLines="150" w:after="360" w:line="360" w:lineRule="auto"/>
        <w:rPr>
          <w:rFonts w:cs="Arial"/>
        </w:rPr>
      </w:pPr>
      <w:r w:rsidRPr="003B7D01">
        <w:rPr>
          <w:rFonts w:cs="Arial"/>
        </w:rPr>
        <w:t xml:space="preserve">This is the </w:t>
      </w:r>
      <w:r w:rsidR="00DC5992" w:rsidRPr="003B7D01">
        <w:rPr>
          <w:rFonts w:cs="Arial"/>
        </w:rPr>
        <w:t>fourth</w:t>
      </w:r>
      <w:r w:rsidRPr="003B7D01">
        <w:rPr>
          <w:rFonts w:cs="Arial"/>
        </w:rPr>
        <w:t xml:space="preserve"> pre-hearing in these proceedings.</w:t>
      </w:r>
    </w:p>
    <w:p w:rsidR="00986AB5" w:rsidRPr="003B7D01" w:rsidRDefault="00986AB5" w:rsidP="00C81069">
      <w:pPr>
        <w:pStyle w:val="DecisionBody"/>
        <w:spacing w:beforeLines="150" w:before="360" w:afterLines="150" w:after="360" w:line="360" w:lineRule="auto"/>
        <w:rPr>
          <w:rFonts w:cs="Arial"/>
        </w:rPr>
      </w:pPr>
      <w:r w:rsidRPr="003B7D01">
        <w:rPr>
          <w:rFonts w:cs="Arial"/>
        </w:rPr>
        <w:t>These</w:t>
      </w:r>
      <w:r w:rsidR="009A73F6" w:rsidRPr="003B7D01">
        <w:rPr>
          <w:rFonts w:cs="Arial"/>
        </w:rPr>
        <w:t xml:space="preserve"> </w:t>
      </w:r>
      <w:r w:rsidR="008D43A9" w:rsidRPr="003B7D01">
        <w:rPr>
          <w:rFonts w:cs="Arial"/>
        </w:rPr>
        <w:t xml:space="preserve">several files have been </w:t>
      </w:r>
      <w:r w:rsidRPr="003B7D01">
        <w:rPr>
          <w:rFonts w:cs="Arial"/>
        </w:rPr>
        <w:t xml:space="preserve">grouped to be heard together but </w:t>
      </w:r>
      <w:r w:rsidR="008D43A9" w:rsidRPr="003B7D01">
        <w:rPr>
          <w:rFonts w:cs="Arial"/>
        </w:rPr>
        <w:t>are</w:t>
      </w:r>
      <w:r w:rsidRPr="003B7D01">
        <w:rPr>
          <w:rFonts w:cs="Arial"/>
        </w:rPr>
        <w:t xml:space="preserve"> not consolidated.</w:t>
      </w:r>
    </w:p>
    <w:p w:rsidR="004532E2" w:rsidRPr="003B7D01" w:rsidRDefault="008D43A9" w:rsidP="00C81069">
      <w:pPr>
        <w:pStyle w:val="DecisionBody"/>
        <w:spacing w:beforeLines="150" w:before="360" w:afterLines="150" w:after="360" w:line="360" w:lineRule="auto"/>
        <w:rPr>
          <w:rFonts w:cs="Arial"/>
        </w:rPr>
      </w:pPr>
      <w:r w:rsidRPr="003B7D01">
        <w:rPr>
          <w:rFonts w:cs="Arial"/>
        </w:rPr>
        <w:t xml:space="preserve">The Board dealt with two matters at this pre-hearing:  </w:t>
      </w:r>
    </w:p>
    <w:p w:rsidR="004532E2" w:rsidRPr="003B7D01" w:rsidRDefault="008D43A9" w:rsidP="00C81069">
      <w:pPr>
        <w:pStyle w:val="DecisionBody"/>
        <w:numPr>
          <w:ilvl w:val="1"/>
          <w:numId w:val="11"/>
        </w:numPr>
        <w:spacing w:beforeLines="150" w:before="360" w:afterLines="150" w:after="360" w:line="360" w:lineRule="auto"/>
        <w:rPr>
          <w:rFonts w:cs="Arial"/>
        </w:rPr>
      </w:pPr>
      <w:r w:rsidRPr="003B7D01">
        <w:rPr>
          <w:rFonts w:cs="Arial"/>
        </w:rPr>
        <w:t xml:space="preserve">a settlement dealing with certain </w:t>
      </w:r>
      <w:r w:rsidRPr="003B7D01">
        <w:rPr>
          <w:rFonts w:cs="Arial"/>
          <w:lang w:eastAsia="en-CA"/>
        </w:rPr>
        <w:t>LPF Realty Retail Inc. (“LPF”) and Fengate Capital Management Ltd. (“Fengate”) matters</w:t>
      </w:r>
      <w:r w:rsidR="004532E2" w:rsidRPr="003B7D01">
        <w:rPr>
          <w:rFonts w:cs="Arial"/>
          <w:lang w:eastAsia="en-CA"/>
        </w:rPr>
        <w:t xml:space="preserve"> specific to cases PL130601 and PL131089</w:t>
      </w:r>
      <w:r w:rsidRPr="003B7D01">
        <w:rPr>
          <w:rFonts w:cs="Arial"/>
          <w:lang w:eastAsia="en-CA"/>
        </w:rPr>
        <w:t xml:space="preserve"> and </w:t>
      </w:r>
    </w:p>
    <w:p w:rsidR="008D43A9" w:rsidRPr="003B7D01" w:rsidRDefault="008D43A9" w:rsidP="00C81069">
      <w:pPr>
        <w:pStyle w:val="DecisionBody"/>
        <w:numPr>
          <w:ilvl w:val="1"/>
          <w:numId w:val="11"/>
        </w:numPr>
        <w:spacing w:beforeLines="150" w:before="360" w:afterLines="150" w:after="360" w:line="360" w:lineRule="auto"/>
        <w:rPr>
          <w:rFonts w:cs="Arial"/>
        </w:rPr>
      </w:pPr>
      <w:r w:rsidRPr="003B7D01">
        <w:rPr>
          <w:rFonts w:cs="Arial"/>
          <w:lang w:eastAsia="en-CA"/>
        </w:rPr>
        <w:t>finalization of the Procedural Order to govern the hearing of the merits on the remaining matters</w:t>
      </w:r>
      <w:r w:rsidR="004532E2" w:rsidRPr="003B7D01">
        <w:rPr>
          <w:rFonts w:cs="Arial"/>
          <w:lang w:eastAsia="en-CA"/>
        </w:rPr>
        <w:t>, specifically PL131311, PL130630 and PL130909</w:t>
      </w:r>
      <w:r w:rsidRPr="003B7D01">
        <w:rPr>
          <w:rFonts w:cs="Arial"/>
          <w:lang w:eastAsia="en-CA"/>
        </w:rPr>
        <w:t>.</w:t>
      </w:r>
      <w:r w:rsidRPr="003B7D01">
        <w:rPr>
          <w:rFonts w:cs="Arial"/>
        </w:rPr>
        <w:t xml:space="preserve"> </w:t>
      </w:r>
    </w:p>
    <w:p w:rsidR="001D7C57" w:rsidRPr="003B7D01" w:rsidRDefault="001D7C57" w:rsidP="00C81069">
      <w:pPr>
        <w:pStyle w:val="DecisionBody"/>
        <w:numPr>
          <w:ilvl w:val="0"/>
          <w:numId w:val="0"/>
        </w:numPr>
        <w:spacing w:beforeLines="150" w:before="360" w:afterLines="150" w:after="360" w:line="360" w:lineRule="auto"/>
        <w:rPr>
          <w:rFonts w:cs="Arial"/>
        </w:rPr>
      </w:pPr>
      <w:r w:rsidRPr="003B7D01">
        <w:rPr>
          <w:rFonts w:cs="Arial"/>
          <w:b/>
        </w:rPr>
        <w:t>S</w:t>
      </w:r>
      <w:r w:rsidR="00E15BD0" w:rsidRPr="003B7D01">
        <w:rPr>
          <w:rFonts w:cs="Arial"/>
          <w:b/>
        </w:rPr>
        <w:t>ETTLEMENT HEARING</w:t>
      </w:r>
      <w:r w:rsidR="00F92774" w:rsidRPr="003B7D01">
        <w:rPr>
          <w:rFonts w:cs="Arial"/>
          <w:b/>
        </w:rPr>
        <w:t>: CASES PL130601 AND PL131089</w:t>
      </w:r>
    </w:p>
    <w:p w:rsidR="00852C12" w:rsidRPr="003B7D01" w:rsidRDefault="00E15BD0" w:rsidP="00C81069">
      <w:pPr>
        <w:pStyle w:val="DecisionBody"/>
        <w:spacing w:beforeLines="150" w:before="360" w:afterLines="150" w:after="360" w:line="360" w:lineRule="auto"/>
        <w:rPr>
          <w:rFonts w:cs="Arial"/>
        </w:rPr>
      </w:pPr>
      <w:r w:rsidRPr="003B7D01">
        <w:rPr>
          <w:rFonts w:cs="Arial"/>
        </w:rPr>
        <w:t>At the last pre-hearing t</w:t>
      </w:r>
      <w:r w:rsidR="001D7C57" w:rsidRPr="003B7D01">
        <w:rPr>
          <w:rFonts w:cs="Arial"/>
        </w:rPr>
        <w:t xml:space="preserve">he Board was advised that the </w:t>
      </w:r>
      <w:r w:rsidR="00EB6593" w:rsidRPr="003B7D01">
        <w:rPr>
          <w:rFonts w:cs="Arial"/>
        </w:rPr>
        <w:t>City of Hamilton (‘</w:t>
      </w:r>
      <w:r w:rsidR="001D7C57" w:rsidRPr="003B7D01">
        <w:rPr>
          <w:rFonts w:cs="Arial"/>
        </w:rPr>
        <w:t>City</w:t>
      </w:r>
      <w:r w:rsidR="00EB6593" w:rsidRPr="003B7D01">
        <w:rPr>
          <w:rFonts w:cs="Arial"/>
        </w:rPr>
        <w:t>”)</w:t>
      </w:r>
      <w:r w:rsidR="003A737C" w:rsidRPr="003B7D01">
        <w:rPr>
          <w:rFonts w:cs="Arial"/>
        </w:rPr>
        <w:t xml:space="preserve"> and </w:t>
      </w:r>
      <w:r w:rsidR="001D7C57" w:rsidRPr="003B7D01">
        <w:rPr>
          <w:rFonts w:cs="Arial"/>
        </w:rPr>
        <w:t xml:space="preserve">LPF had reached a settlement dealing with case numbers PL130601 and PL131089. </w:t>
      </w:r>
    </w:p>
    <w:p w:rsidR="001D7C57" w:rsidRPr="003B7D01" w:rsidRDefault="00E15BD0" w:rsidP="00C81069">
      <w:pPr>
        <w:pStyle w:val="DecisionBody"/>
        <w:spacing w:beforeLines="150" w:before="360" w:afterLines="150" w:after="360" w:line="360" w:lineRule="auto"/>
        <w:rPr>
          <w:rFonts w:cs="Arial"/>
        </w:rPr>
      </w:pPr>
      <w:r w:rsidRPr="003B7D01">
        <w:rPr>
          <w:rFonts w:cs="Arial"/>
          <w:lang w:eastAsia="en-CA"/>
        </w:rPr>
        <w:t>DiCenzo Construction Company Limited (“DCCL”)</w:t>
      </w:r>
      <w:r w:rsidRPr="003B7D01">
        <w:rPr>
          <w:rFonts w:cs="Arial"/>
        </w:rPr>
        <w:t xml:space="preserve"> is a party to both cases. </w:t>
      </w:r>
      <w:r w:rsidRPr="003B7D01">
        <w:rPr>
          <w:rFonts w:cs="Arial"/>
          <w:lang w:eastAsia="en-CA"/>
        </w:rPr>
        <w:t>1804487 Ontario Inc. (“487”) and A. De Santis Developments Ltd. (“De Santis”)</w:t>
      </w:r>
      <w:r w:rsidR="00EE734B" w:rsidRPr="003B7D01">
        <w:rPr>
          <w:rFonts w:cs="Arial"/>
        </w:rPr>
        <w:t xml:space="preserve"> are parties to PL131089. No settlement was presented to the Board at th</w:t>
      </w:r>
      <w:r w:rsidRPr="003B7D01">
        <w:rPr>
          <w:rFonts w:cs="Arial"/>
        </w:rPr>
        <w:t>at</w:t>
      </w:r>
      <w:r w:rsidR="00EE734B" w:rsidRPr="003B7D01">
        <w:rPr>
          <w:rFonts w:cs="Arial"/>
        </w:rPr>
        <w:t xml:space="preserve"> appearance since the</w:t>
      </w:r>
      <w:r w:rsidRPr="003B7D01">
        <w:rPr>
          <w:rFonts w:cs="Arial"/>
        </w:rPr>
        <w:t xml:space="preserve"> parties were</w:t>
      </w:r>
      <w:r w:rsidR="00EE734B" w:rsidRPr="003B7D01">
        <w:rPr>
          <w:rFonts w:cs="Arial"/>
        </w:rPr>
        <w:t xml:space="preserve"> still in discu</w:t>
      </w:r>
      <w:r w:rsidR="00B2277D" w:rsidRPr="003B7D01">
        <w:rPr>
          <w:rFonts w:cs="Arial"/>
        </w:rPr>
        <w:t>ssions to determine if</w:t>
      </w:r>
      <w:r w:rsidR="00EE734B" w:rsidRPr="003B7D01">
        <w:rPr>
          <w:rFonts w:cs="Arial"/>
        </w:rPr>
        <w:t xml:space="preserve"> a full settlement is achievable between all parties to these two cases.</w:t>
      </w:r>
      <w:r w:rsidRPr="003B7D01">
        <w:rPr>
          <w:rFonts w:cs="Arial"/>
        </w:rPr>
        <w:t xml:space="preserve"> The parties have now reached a full settlement</w:t>
      </w:r>
      <w:r w:rsidR="00075968" w:rsidRPr="003B7D01">
        <w:rPr>
          <w:rFonts w:cs="Arial"/>
        </w:rPr>
        <w:t xml:space="preserve"> and no interest appeared in opposition</w:t>
      </w:r>
      <w:r w:rsidRPr="003B7D01">
        <w:rPr>
          <w:rFonts w:cs="Arial"/>
        </w:rPr>
        <w:t>.</w:t>
      </w:r>
    </w:p>
    <w:p w:rsidR="00E15BD0" w:rsidRPr="003B7D01" w:rsidRDefault="00852C12" w:rsidP="00C81069">
      <w:pPr>
        <w:pStyle w:val="DecisionBody"/>
        <w:spacing w:beforeLines="150" w:before="360" w:afterLines="150" w:after="360" w:line="360" w:lineRule="auto"/>
        <w:rPr>
          <w:rFonts w:cs="Arial"/>
        </w:rPr>
      </w:pPr>
      <w:r w:rsidRPr="003B7D01">
        <w:rPr>
          <w:rFonts w:cs="Arial"/>
        </w:rPr>
        <w:lastRenderedPageBreak/>
        <w:t>The Board had before it the affidavit of George T. Zajac, a full Member of the Canadian Institute of Planners and a Registered Professional Planner</w:t>
      </w:r>
      <w:r w:rsidR="009D0191" w:rsidRPr="003B7D01">
        <w:rPr>
          <w:rFonts w:cs="Arial"/>
        </w:rPr>
        <w:t xml:space="preserve"> qualified to provide </w:t>
      </w:r>
      <w:r w:rsidR="006F7035" w:rsidRPr="003B7D01">
        <w:rPr>
          <w:rFonts w:cs="Arial"/>
        </w:rPr>
        <w:t xml:space="preserve">independent </w:t>
      </w:r>
      <w:r w:rsidR="009D0191" w:rsidRPr="003B7D01">
        <w:rPr>
          <w:rFonts w:cs="Arial"/>
        </w:rPr>
        <w:t xml:space="preserve">expert land use planning </w:t>
      </w:r>
      <w:r w:rsidR="006F7035" w:rsidRPr="003B7D01">
        <w:rPr>
          <w:rFonts w:cs="Arial"/>
        </w:rPr>
        <w:t xml:space="preserve">opinion </w:t>
      </w:r>
      <w:r w:rsidR="009D0191" w:rsidRPr="003B7D01">
        <w:rPr>
          <w:rFonts w:cs="Arial"/>
        </w:rPr>
        <w:t>evidence in these proceedings.</w:t>
      </w:r>
    </w:p>
    <w:p w:rsidR="009D0191" w:rsidRPr="003B7D01" w:rsidRDefault="009D0191" w:rsidP="00C81069">
      <w:pPr>
        <w:pStyle w:val="DecisionBody"/>
        <w:spacing w:beforeLines="150" w:before="360" w:afterLines="150" w:after="360" w:line="360" w:lineRule="auto"/>
        <w:rPr>
          <w:rFonts w:cs="Arial"/>
        </w:rPr>
      </w:pPr>
      <w:r w:rsidRPr="003B7D01">
        <w:rPr>
          <w:rFonts w:cs="Arial"/>
        </w:rPr>
        <w:t xml:space="preserve">LPF owns the subject lands, municipally known as 1400 Upper James Street. </w:t>
      </w:r>
    </w:p>
    <w:p w:rsidR="009D0191" w:rsidRPr="003B7D01" w:rsidRDefault="009D0191" w:rsidP="00C81069">
      <w:pPr>
        <w:pStyle w:val="DecisionBody"/>
        <w:spacing w:beforeLines="150" w:before="360" w:afterLines="150" w:after="360" w:line="360" w:lineRule="auto"/>
        <w:rPr>
          <w:rFonts w:cs="Arial"/>
        </w:rPr>
      </w:pPr>
      <w:r w:rsidRPr="003B7D01">
        <w:rPr>
          <w:rFonts w:cs="Arial"/>
        </w:rPr>
        <w:t>These lands are currently vacant and abut an existing commercial plaza. The proposal is to develop an area beside and behind the existing plaza for 165 parking spaces. This expanded parking will allow for improvements to the truck parking area as well as accommodate parking for plaza tenants.</w:t>
      </w:r>
    </w:p>
    <w:p w:rsidR="003A737C" w:rsidRPr="003B7D01" w:rsidRDefault="003A737C" w:rsidP="00C81069">
      <w:pPr>
        <w:pStyle w:val="DecisionBody"/>
        <w:spacing w:beforeLines="150" w:before="360" w:afterLines="150" w:after="360" w:line="360" w:lineRule="auto"/>
        <w:rPr>
          <w:rFonts w:cs="Arial"/>
        </w:rPr>
      </w:pPr>
      <w:r w:rsidRPr="003B7D01">
        <w:rPr>
          <w:rFonts w:cs="Arial"/>
        </w:rPr>
        <w:t>The proposal also includes the development of a storm water management pond on a portion of the lands.</w:t>
      </w:r>
    </w:p>
    <w:p w:rsidR="003A737C" w:rsidRPr="003B7D01" w:rsidRDefault="003A737C" w:rsidP="00C81069">
      <w:pPr>
        <w:pStyle w:val="DecisionBody"/>
        <w:spacing w:beforeLines="150" w:before="360" w:afterLines="150" w:after="360" w:line="360" w:lineRule="auto"/>
        <w:rPr>
          <w:rFonts w:cs="Arial"/>
        </w:rPr>
      </w:pPr>
      <w:r w:rsidRPr="003B7D01">
        <w:rPr>
          <w:rFonts w:cs="Arial"/>
        </w:rPr>
        <w:t>The subject lands are governed by two zoning by-laws. To implement this proposal, LPF applied for an official plan amendment, amendments to the two applicable zoning by-laws, and for consent to convey the lands for the storm water management pond.</w:t>
      </w:r>
    </w:p>
    <w:p w:rsidR="00054764" w:rsidRPr="003B7D01" w:rsidRDefault="00054764" w:rsidP="00C81069">
      <w:pPr>
        <w:pStyle w:val="DecisionBody"/>
        <w:spacing w:beforeLines="150" w:before="360" w:afterLines="150" w:after="360" w:line="360" w:lineRule="auto"/>
        <w:rPr>
          <w:rFonts w:cs="Arial"/>
        </w:rPr>
      </w:pPr>
      <w:r w:rsidRPr="003B7D01">
        <w:rPr>
          <w:rFonts w:cs="Arial"/>
        </w:rPr>
        <w:t xml:space="preserve">Two by-laws apply to the subject lands as a result of the City of Hamilton being the successor to certain area municipalities including the former Corporation of the City of Hamilton. By-law </w:t>
      </w:r>
      <w:r w:rsidR="00A9753C">
        <w:rPr>
          <w:rFonts w:cs="Arial"/>
        </w:rPr>
        <w:t xml:space="preserve">No. </w:t>
      </w:r>
      <w:r w:rsidRPr="003B7D01">
        <w:rPr>
          <w:rFonts w:cs="Arial"/>
        </w:rPr>
        <w:t xml:space="preserve">6593 is the by-law of the former Corporation of the City of Hamilton; By-law </w:t>
      </w:r>
      <w:r w:rsidR="00A47C79">
        <w:rPr>
          <w:rFonts w:cs="Arial"/>
        </w:rPr>
        <w:t xml:space="preserve">No. </w:t>
      </w:r>
      <w:r w:rsidRPr="003B7D01">
        <w:rPr>
          <w:rFonts w:cs="Arial"/>
        </w:rPr>
        <w:t>05-200 is the by-law of the City of Hamilton.</w:t>
      </w:r>
      <w:r w:rsidR="00F746E9" w:rsidRPr="003B7D01">
        <w:rPr>
          <w:rFonts w:cs="Arial"/>
        </w:rPr>
        <w:t xml:space="preserve"> </w:t>
      </w:r>
    </w:p>
    <w:p w:rsidR="00BE79D3" w:rsidRPr="003B7D01" w:rsidRDefault="00BE79D3" w:rsidP="00C81069">
      <w:pPr>
        <w:pStyle w:val="DecisionBody"/>
        <w:spacing w:beforeLines="150" w:before="360" w:afterLines="150" w:after="360" w:line="360" w:lineRule="auto"/>
        <w:rPr>
          <w:rFonts w:cs="Arial"/>
        </w:rPr>
      </w:pPr>
      <w:r w:rsidRPr="003B7D01">
        <w:rPr>
          <w:rFonts w:cs="Arial"/>
        </w:rPr>
        <w:t xml:space="preserve">LPF and Fengate appealed the proposed official plan amendment and the two proposed zoning by-law amendments to this Board. </w:t>
      </w:r>
    </w:p>
    <w:p w:rsidR="00BE79D3" w:rsidRPr="003B7D01" w:rsidRDefault="00BE79D3" w:rsidP="00C81069">
      <w:pPr>
        <w:pStyle w:val="DecisionBody"/>
        <w:spacing w:beforeLines="150" w:before="360" w:afterLines="150" w:after="360" w:line="360" w:lineRule="auto"/>
        <w:rPr>
          <w:rFonts w:cs="Arial"/>
        </w:rPr>
      </w:pPr>
      <w:r w:rsidRPr="003B7D01">
        <w:rPr>
          <w:rFonts w:cs="Arial"/>
        </w:rPr>
        <w:t>Consent to convey had been given by the City of Hamilton Committee of Adjustment. The City appealed that consent to this Board.</w:t>
      </w:r>
    </w:p>
    <w:p w:rsidR="00B44B7A" w:rsidRPr="003B7D01" w:rsidRDefault="00BE79D3" w:rsidP="00C81069">
      <w:pPr>
        <w:pStyle w:val="DecisionBody"/>
        <w:spacing w:beforeLines="150" w:before="360" w:afterLines="150" w:after="360" w:line="360" w:lineRule="auto"/>
        <w:rPr>
          <w:rFonts w:cs="Arial"/>
        </w:rPr>
      </w:pPr>
      <w:r w:rsidRPr="003B7D01">
        <w:rPr>
          <w:rFonts w:cs="Arial"/>
        </w:rPr>
        <w:lastRenderedPageBreak/>
        <w:t>The Urban Hamilton Official Plan (“UHOP”) came into effect for these lands after the application was made for an amendment to the former official plan. The UHOP designations permit the proposed uses. The application for an official plan amendment is no longer needed.</w:t>
      </w:r>
      <w:r w:rsidR="00E83EEA" w:rsidRPr="003B7D01">
        <w:rPr>
          <w:rFonts w:cs="Arial"/>
        </w:rPr>
        <w:t xml:space="preserve"> LPF and Fengate now withdraw their appeal of City Council’s refusal or neglect to enact the proposed official plan amendment.</w:t>
      </w:r>
      <w:r w:rsidR="007A1F0A" w:rsidRPr="003B7D01">
        <w:rPr>
          <w:rFonts w:cs="Arial"/>
        </w:rPr>
        <w:t xml:space="preserve">   </w:t>
      </w:r>
    </w:p>
    <w:p w:rsidR="004532E2" w:rsidRPr="003B7D01" w:rsidRDefault="003A737C" w:rsidP="00C81069">
      <w:pPr>
        <w:pStyle w:val="DecisionBody"/>
        <w:spacing w:beforeLines="150" w:before="360" w:afterLines="150" w:after="360" w:line="360" w:lineRule="auto"/>
        <w:rPr>
          <w:rFonts w:cs="Arial"/>
        </w:rPr>
      </w:pPr>
      <w:r w:rsidRPr="003B7D01">
        <w:rPr>
          <w:rFonts w:cs="Arial"/>
        </w:rPr>
        <w:t xml:space="preserve">LPF has agreed to sell the lands for the proposed storm water management pond to the City. </w:t>
      </w:r>
      <w:r w:rsidR="00E83EEA" w:rsidRPr="003B7D01">
        <w:rPr>
          <w:rFonts w:cs="Arial"/>
        </w:rPr>
        <w:t xml:space="preserve">Since the transaction is with the City, consent to convey is no longer required. </w:t>
      </w:r>
    </w:p>
    <w:p w:rsidR="003A737C" w:rsidRPr="003B7D01" w:rsidRDefault="00E83EEA" w:rsidP="00C81069">
      <w:pPr>
        <w:pStyle w:val="DecisionBody"/>
        <w:spacing w:beforeLines="150" w:before="360" w:afterLines="150" w:after="360" w:line="360" w:lineRule="auto"/>
        <w:rPr>
          <w:rFonts w:cs="Arial"/>
        </w:rPr>
      </w:pPr>
      <w:r w:rsidRPr="003B7D01">
        <w:rPr>
          <w:rFonts w:cs="Arial"/>
        </w:rPr>
        <w:t xml:space="preserve">At the request and on consent of the parties, the City’s </w:t>
      </w:r>
      <w:r w:rsidR="00582920" w:rsidRPr="003B7D01">
        <w:rPr>
          <w:rFonts w:cs="Arial"/>
        </w:rPr>
        <w:t>appeal is allowed and the application for consent is refused.</w:t>
      </w:r>
    </w:p>
    <w:p w:rsidR="00DE7CA4" w:rsidRPr="003B7D01" w:rsidRDefault="00DE7CA4" w:rsidP="00C81069">
      <w:pPr>
        <w:pStyle w:val="DecisionBody"/>
        <w:spacing w:beforeLines="150" w:before="360" w:afterLines="150" w:after="360" w:line="360" w:lineRule="auto"/>
        <w:rPr>
          <w:rFonts w:cs="Arial"/>
        </w:rPr>
      </w:pPr>
      <w:r w:rsidRPr="003B7D01">
        <w:rPr>
          <w:rFonts w:cs="Arial"/>
        </w:rPr>
        <w:t>The Provincial Policy Statement (“PPS”) and the Growth Plan for the Greater Golden Horseshoe (“GGH”) both emphasize the importance of an efficient use of land and resources and direct growth to settlement areas.</w:t>
      </w:r>
    </w:p>
    <w:p w:rsidR="00DE7CA4" w:rsidRPr="003B7D01" w:rsidRDefault="00DE7CA4" w:rsidP="00C81069">
      <w:pPr>
        <w:pStyle w:val="DecisionBody"/>
        <w:spacing w:beforeLines="150" w:before="360" w:afterLines="150" w:after="360" w:line="360" w:lineRule="auto"/>
        <w:rPr>
          <w:rFonts w:cs="Arial"/>
        </w:rPr>
      </w:pPr>
      <w:r w:rsidRPr="003B7D01">
        <w:rPr>
          <w:rFonts w:cs="Arial"/>
        </w:rPr>
        <w:t>The subject lands are within a settlement area. The proposal enhances the efficient use of the lands. The conveyance of the lands for the proposed storm water management facility enables the development of appropriate infrastructure to serve the community.</w:t>
      </w:r>
    </w:p>
    <w:p w:rsidR="009E6113" w:rsidRPr="003B7D01" w:rsidRDefault="00DE7CA4" w:rsidP="00C81069">
      <w:pPr>
        <w:pStyle w:val="DecisionBody"/>
        <w:spacing w:beforeLines="150" w:before="360" w:afterLines="150" w:after="360" w:line="360" w:lineRule="auto"/>
        <w:rPr>
          <w:rFonts w:cs="Arial"/>
        </w:rPr>
      </w:pPr>
      <w:r w:rsidRPr="003B7D01">
        <w:rPr>
          <w:rFonts w:cs="Arial"/>
        </w:rPr>
        <w:t xml:space="preserve">Taken together, the Board finds that the proposed zoning by-law amendments will result in a development that appropriately implements matters of provincial interest, as set out in s. 2 of the </w:t>
      </w:r>
      <w:r w:rsidRPr="003B7D01">
        <w:rPr>
          <w:rFonts w:cs="Arial"/>
          <w:i/>
        </w:rPr>
        <w:t>Planning Act</w:t>
      </w:r>
      <w:r w:rsidR="00075968" w:rsidRPr="003B7D01">
        <w:rPr>
          <w:rFonts w:cs="Arial"/>
        </w:rPr>
        <w:t>, R.S.O. 1990, c. P</w:t>
      </w:r>
      <w:r w:rsidR="00A47C79">
        <w:rPr>
          <w:rFonts w:cs="Arial"/>
        </w:rPr>
        <w:t>.</w:t>
      </w:r>
      <w:r w:rsidR="00075968" w:rsidRPr="003B7D01">
        <w:rPr>
          <w:rFonts w:cs="Arial"/>
        </w:rPr>
        <w:t>13</w:t>
      </w:r>
      <w:r w:rsidR="009E6113" w:rsidRPr="003B7D01">
        <w:rPr>
          <w:rFonts w:cs="Arial"/>
        </w:rPr>
        <w:t xml:space="preserve"> (“Act”)</w:t>
      </w:r>
      <w:r w:rsidR="00075968" w:rsidRPr="003B7D01">
        <w:rPr>
          <w:rFonts w:cs="Arial"/>
        </w:rPr>
        <w:t xml:space="preserve">, is consistent with the PPS, conforms to the GGH and conforms to the UHOP. </w:t>
      </w:r>
      <w:r w:rsidR="009E6113" w:rsidRPr="003B7D01">
        <w:rPr>
          <w:rFonts w:cs="Arial"/>
        </w:rPr>
        <w:t xml:space="preserve"> In addition, the Board has had regard to the decision of Council to enter into Minutes of Settlement and support the proposed zoning by-law amendments.</w:t>
      </w:r>
    </w:p>
    <w:p w:rsidR="009E6113" w:rsidRPr="003B7D01" w:rsidRDefault="009E6113" w:rsidP="00C81069">
      <w:pPr>
        <w:pStyle w:val="DecisionBody"/>
        <w:spacing w:beforeLines="150" w:before="360" w:afterLines="150" w:after="360" w:line="360" w:lineRule="auto"/>
        <w:rPr>
          <w:rFonts w:cs="Arial"/>
        </w:rPr>
      </w:pPr>
      <w:r w:rsidRPr="003B7D01">
        <w:rPr>
          <w:rFonts w:cs="Arial"/>
        </w:rPr>
        <w:t xml:space="preserve">Zoning By-law </w:t>
      </w:r>
      <w:r w:rsidR="00FD2357" w:rsidRPr="003B7D01">
        <w:rPr>
          <w:rFonts w:cs="Arial"/>
        </w:rPr>
        <w:t xml:space="preserve">No. </w:t>
      </w:r>
      <w:r w:rsidRPr="003B7D01">
        <w:rPr>
          <w:rFonts w:cs="Arial"/>
        </w:rPr>
        <w:t xml:space="preserve">05-200 is amended in accordance with Attachment 1 to this </w:t>
      </w:r>
      <w:r w:rsidRPr="003B7D01">
        <w:rPr>
          <w:rFonts w:cs="Arial"/>
        </w:rPr>
        <w:lastRenderedPageBreak/>
        <w:t>decision.</w:t>
      </w:r>
    </w:p>
    <w:p w:rsidR="009E6113" w:rsidRPr="003B7D01" w:rsidRDefault="009E6113" w:rsidP="00C81069">
      <w:pPr>
        <w:pStyle w:val="DecisionBody"/>
        <w:spacing w:beforeLines="150" w:before="360" w:afterLines="150" w:after="360" w:line="360" w:lineRule="auto"/>
        <w:rPr>
          <w:rFonts w:cs="Arial"/>
        </w:rPr>
      </w:pPr>
      <w:r w:rsidRPr="003B7D01">
        <w:rPr>
          <w:rFonts w:cs="Arial"/>
        </w:rPr>
        <w:t xml:space="preserve">Zoning By-law </w:t>
      </w:r>
      <w:r w:rsidR="00FD2357" w:rsidRPr="003B7D01">
        <w:rPr>
          <w:rFonts w:cs="Arial"/>
        </w:rPr>
        <w:t>No. 6593 is amended in accordance with Attachment 2 to this decision.</w:t>
      </w:r>
    </w:p>
    <w:p w:rsidR="004532E2" w:rsidRPr="003B7D01" w:rsidRDefault="004532E2" w:rsidP="00C81069">
      <w:pPr>
        <w:pStyle w:val="DecisionBody"/>
        <w:spacing w:beforeLines="150" w:before="360" w:afterLines="150" w:after="360" w:line="360" w:lineRule="auto"/>
        <w:rPr>
          <w:rFonts w:cs="Arial"/>
        </w:rPr>
      </w:pPr>
      <w:r w:rsidRPr="003B7D01">
        <w:rPr>
          <w:rFonts w:cs="Arial"/>
        </w:rPr>
        <w:t>LPF had previously withdrawn its appeals in case PL130630</w:t>
      </w:r>
      <w:r w:rsidR="00154DC7" w:rsidRPr="003B7D01">
        <w:rPr>
          <w:rFonts w:cs="Arial"/>
        </w:rPr>
        <w:t>, as noted in the Board’s decision arising from the last pre-hearing.</w:t>
      </w:r>
    </w:p>
    <w:p w:rsidR="006F3E20" w:rsidRPr="003B7D01" w:rsidRDefault="006F3E20" w:rsidP="00C81069">
      <w:pPr>
        <w:pStyle w:val="DecisionBody"/>
        <w:spacing w:beforeLines="150" w:before="360" w:afterLines="150" w:after="360" w:line="360" w:lineRule="auto"/>
        <w:rPr>
          <w:rFonts w:cs="Arial"/>
        </w:rPr>
      </w:pPr>
      <w:r w:rsidRPr="003B7D01">
        <w:rPr>
          <w:rFonts w:cs="Arial"/>
        </w:rPr>
        <w:t>At this pre-hearing, LPF and Fengate are withdrawing as parties to PL130909 and to PL131311 and have advised the Board that they will take no further part in any hearing of the merits in these cases.</w:t>
      </w:r>
    </w:p>
    <w:p w:rsidR="00EE734B" w:rsidRPr="003B7D01" w:rsidRDefault="00D83B70" w:rsidP="00C81069">
      <w:pPr>
        <w:pStyle w:val="DecisionBody"/>
        <w:numPr>
          <w:ilvl w:val="0"/>
          <w:numId w:val="0"/>
        </w:numPr>
        <w:spacing w:beforeLines="150" w:before="360" w:afterLines="150" w:after="360" w:line="360" w:lineRule="auto"/>
        <w:rPr>
          <w:rFonts w:cs="Arial"/>
        </w:rPr>
      </w:pPr>
      <w:r w:rsidRPr="003B7D01">
        <w:rPr>
          <w:rFonts w:cs="Arial"/>
          <w:b/>
        </w:rPr>
        <w:t>PRE-HEARING FOR CASES PL130630, PL130909 AND PL131311</w:t>
      </w:r>
    </w:p>
    <w:p w:rsidR="002C09D6" w:rsidRPr="003B7D01" w:rsidRDefault="00331612" w:rsidP="00C81069">
      <w:pPr>
        <w:pStyle w:val="DecisionBody"/>
        <w:spacing w:beforeLines="150" w:before="360" w:afterLines="150" w:after="360" w:line="360" w:lineRule="auto"/>
        <w:rPr>
          <w:rFonts w:cs="Arial"/>
        </w:rPr>
      </w:pPr>
      <w:r w:rsidRPr="003B7D01">
        <w:rPr>
          <w:rFonts w:cs="Arial"/>
        </w:rPr>
        <w:t>The Board issued a Procedural Order previously when these three cases were being heard together with the two cases dealt with in the settlement hearing outlined above.</w:t>
      </w:r>
    </w:p>
    <w:p w:rsidR="00E87B92" w:rsidRPr="003B7D01" w:rsidRDefault="00E87B92" w:rsidP="00C81069">
      <w:pPr>
        <w:pStyle w:val="DecisionBody"/>
        <w:spacing w:beforeLines="150" w:before="360" w:afterLines="150" w:after="360" w:line="360" w:lineRule="auto"/>
        <w:rPr>
          <w:rFonts w:cs="Arial"/>
        </w:rPr>
      </w:pPr>
      <w:r w:rsidRPr="003B7D01">
        <w:rPr>
          <w:rFonts w:cs="Arial"/>
        </w:rPr>
        <w:t>In light of ongoing settlement discussions regarding the LPF and Fengate matters, the Board agreed to delay the filing of the Issue List and the Order of Evidence to govern the hearing for these three cases.</w:t>
      </w:r>
    </w:p>
    <w:p w:rsidR="00E87B92" w:rsidRPr="003B7D01" w:rsidRDefault="00E87B92" w:rsidP="00C81069">
      <w:pPr>
        <w:pStyle w:val="DecisionBody"/>
        <w:spacing w:beforeLines="150" w:before="360" w:afterLines="150" w:after="360" w:line="360" w:lineRule="auto"/>
        <w:rPr>
          <w:rFonts w:cs="Arial"/>
        </w:rPr>
      </w:pPr>
      <w:r w:rsidRPr="003B7D01">
        <w:rPr>
          <w:rFonts w:cs="Arial"/>
        </w:rPr>
        <w:t>The remaining parties for these three cases have now agreed on the Issue List, found at Attachment 3 to this decision.</w:t>
      </w:r>
    </w:p>
    <w:p w:rsidR="00E87B92" w:rsidRPr="003B7D01" w:rsidRDefault="00E87B92" w:rsidP="00C81069">
      <w:pPr>
        <w:pStyle w:val="DecisionBody"/>
        <w:spacing w:beforeLines="150" w:before="360" w:afterLines="150" w:after="360" w:line="360" w:lineRule="auto"/>
        <w:rPr>
          <w:rFonts w:cs="Arial"/>
        </w:rPr>
      </w:pPr>
      <w:r w:rsidRPr="003B7D01">
        <w:rPr>
          <w:rFonts w:cs="Arial"/>
        </w:rPr>
        <w:t>The parties have also agreed on an order of evidence for these three cases, subject two conditions.</w:t>
      </w:r>
    </w:p>
    <w:p w:rsidR="00E87B92" w:rsidRPr="003B7D01" w:rsidRDefault="00E87B92" w:rsidP="00C81069">
      <w:pPr>
        <w:pStyle w:val="DecisionBody"/>
        <w:spacing w:beforeLines="150" w:before="360" w:afterLines="150" w:after="360" w:line="360" w:lineRule="auto"/>
        <w:rPr>
          <w:rFonts w:cs="Arial"/>
        </w:rPr>
      </w:pPr>
      <w:r w:rsidRPr="003B7D01">
        <w:rPr>
          <w:rFonts w:cs="Arial"/>
        </w:rPr>
        <w:t xml:space="preserve">The first condition is that the agreement on the order of evidence is without prejudice to 1804482 Ontario Ltd. (“Sonoma”) seeking permission from the Board to </w:t>
      </w:r>
      <w:r w:rsidRPr="003B7D01">
        <w:rPr>
          <w:rFonts w:cs="Arial"/>
        </w:rPr>
        <w:lastRenderedPageBreak/>
        <w:t>proceed with the hearing of its matters notwithstanding any request for adjournment being made by another party.</w:t>
      </w:r>
    </w:p>
    <w:p w:rsidR="00E87B92" w:rsidRPr="003B7D01" w:rsidRDefault="00E87B92" w:rsidP="00C81069">
      <w:pPr>
        <w:pStyle w:val="DecisionBody"/>
        <w:spacing w:beforeLines="150" w:before="360" w:afterLines="150" w:after="360" w:line="360" w:lineRule="auto"/>
        <w:rPr>
          <w:rFonts w:cs="Arial"/>
        </w:rPr>
      </w:pPr>
      <w:r w:rsidRPr="003B7D01">
        <w:rPr>
          <w:rFonts w:cs="Arial"/>
        </w:rPr>
        <w:t xml:space="preserve">The second condition mirrors the first in that the other parties all agree that the order of evidence will not be cited or used to counter a request by Sonoma to proceed in the event that the circumstances of </w:t>
      </w:r>
      <w:r w:rsidR="00B44B7A" w:rsidRPr="003B7D01">
        <w:rPr>
          <w:rFonts w:cs="Arial"/>
        </w:rPr>
        <w:t xml:space="preserve">the </w:t>
      </w:r>
      <w:r w:rsidRPr="003B7D01">
        <w:rPr>
          <w:rFonts w:cs="Arial"/>
        </w:rPr>
        <w:t>first condition are triggered.</w:t>
      </w:r>
    </w:p>
    <w:p w:rsidR="00A024D3" w:rsidRPr="003B7D01" w:rsidRDefault="00A024D3" w:rsidP="00C81069">
      <w:pPr>
        <w:pStyle w:val="DecisionBody"/>
        <w:spacing w:beforeLines="150" w:before="360" w:afterLines="150" w:after="360" w:line="360" w:lineRule="auto"/>
        <w:rPr>
          <w:rFonts w:cs="Arial"/>
        </w:rPr>
      </w:pPr>
      <w:r w:rsidRPr="003B7D01">
        <w:rPr>
          <w:rFonts w:cs="Arial"/>
        </w:rPr>
        <w:t>The order of evidence is also found at Attachment 3 to this decision.</w:t>
      </w:r>
    </w:p>
    <w:p w:rsidR="00A024D3" w:rsidRPr="003B7D01" w:rsidRDefault="00A024D3" w:rsidP="00C81069">
      <w:pPr>
        <w:pStyle w:val="DecisionBody"/>
        <w:spacing w:beforeLines="150" w:before="360" w:afterLines="150" w:after="360" w:line="360" w:lineRule="auto"/>
        <w:rPr>
          <w:rFonts w:cs="Arial"/>
        </w:rPr>
      </w:pPr>
      <w:r w:rsidRPr="003B7D01">
        <w:rPr>
          <w:rFonts w:cs="Arial"/>
        </w:rPr>
        <w:t>Subsequent to the July 8 appearance, but prior to the issuance of these written reasons, the parties advised the Board that they are engaged in settlement disc</w:t>
      </w:r>
      <w:r w:rsidR="00B44B7A" w:rsidRPr="003B7D01">
        <w:rPr>
          <w:rFonts w:cs="Arial"/>
        </w:rPr>
        <w:t xml:space="preserve">ussions and sought relief on certain </w:t>
      </w:r>
      <w:r w:rsidRPr="003B7D01">
        <w:rPr>
          <w:rFonts w:cs="Arial"/>
        </w:rPr>
        <w:t xml:space="preserve">filing dates </w:t>
      </w:r>
      <w:r w:rsidR="00B44B7A" w:rsidRPr="003B7D01">
        <w:rPr>
          <w:rFonts w:cs="Arial"/>
        </w:rPr>
        <w:t>and agreed to delay the start of the hearing to August 14 from August 11.</w:t>
      </w:r>
      <w:r w:rsidRPr="003B7D01">
        <w:rPr>
          <w:rFonts w:cs="Arial"/>
        </w:rPr>
        <w:t xml:space="preserve"> </w:t>
      </w:r>
    </w:p>
    <w:bookmarkEnd w:id="4"/>
    <w:p w:rsidR="00DB1E88" w:rsidRPr="003B7D01" w:rsidRDefault="00DB1E88" w:rsidP="00C81069">
      <w:pPr>
        <w:pStyle w:val="DecisionBody"/>
        <w:numPr>
          <w:ilvl w:val="0"/>
          <w:numId w:val="0"/>
        </w:numPr>
        <w:spacing w:beforeLines="150" w:before="360" w:afterLines="150" w:after="360" w:line="360" w:lineRule="auto"/>
        <w:rPr>
          <w:rFonts w:cs="Arial"/>
          <w:b/>
        </w:rPr>
      </w:pPr>
      <w:r w:rsidRPr="003B7D01">
        <w:rPr>
          <w:rFonts w:cs="Arial"/>
          <w:b/>
        </w:rPr>
        <w:t>ORDER</w:t>
      </w:r>
    </w:p>
    <w:p w:rsidR="00DB1E88" w:rsidRPr="003B7D01" w:rsidRDefault="004D1FBD" w:rsidP="00C81069">
      <w:pPr>
        <w:pStyle w:val="DecisionBody"/>
        <w:spacing w:beforeLines="150" w:before="360" w:afterLines="150" w:after="360" w:line="360" w:lineRule="auto"/>
        <w:rPr>
          <w:rFonts w:cs="Arial"/>
        </w:rPr>
      </w:pPr>
      <w:r w:rsidRPr="003B7D01">
        <w:rPr>
          <w:rFonts w:cs="Arial"/>
        </w:rPr>
        <w:t>The Board orders that:</w:t>
      </w:r>
    </w:p>
    <w:p w:rsidR="00D61196" w:rsidRPr="003B7D01" w:rsidRDefault="004D1FBD" w:rsidP="00C81069">
      <w:pPr>
        <w:pStyle w:val="DecisionBody"/>
        <w:numPr>
          <w:ilvl w:val="1"/>
          <w:numId w:val="11"/>
        </w:numPr>
        <w:spacing w:beforeLines="150" w:before="360" w:afterLines="150" w:after="360" w:line="360" w:lineRule="auto"/>
        <w:ind w:left="993"/>
        <w:rPr>
          <w:rFonts w:cs="Arial"/>
        </w:rPr>
      </w:pPr>
      <w:r w:rsidRPr="003B7D01">
        <w:rPr>
          <w:rFonts w:cs="Arial"/>
        </w:rPr>
        <w:t xml:space="preserve">The </w:t>
      </w:r>
      <w:r w:rsidR="00B44B7A" w:rsidRPr="003B7D01">
        <w:rPr>
          <w:rFonts w:cs="Arial"/>
        </w:rPr>
        <w:t xml:space="preserve">City of Hamilton appeal in case PL130601 is allowed and the application for consent is refused. </w:t>
      </w:r>
    </w:p>
    <w:p w:rsidR="00D61196" w:rsidRPr="003B7D01" w:rsidRDefault="00B44B7A" w:rsidP="00C81069">
      <w:pPr>
        <w:pStyle w:val="DecisionBody"/>
        <w:numPr>
          <w:ilvl w:val="1"/>
          <w:numId w:val="11"/>
        </w:numPr>
        <w:spacing w:beforeLines="150" w:before="360" w:afterLines="150" w:after="360" w:line="360" w:lineRule="auto"/>
        <w:ind w:left="993"/>
        <w:rPr>
          <w:rFonts w:cs="Arial"/>
        </w:rPr>
      </w:pPr>
      <w:r w:rsidRPr="003B7D01">
        <w:rPr>
          <w:rFonts w:cs="Arial"/>
        </w:rPr>
        <w:t xml:space="preserve">The appeal by LPF Realty Retail Inc. and Fengate Capital Management Ltd. </w:t>
      </w:r>
      <w:r w:rsidR="00D61196" w:rsidRPr="003B7D01">
        <w:rPr>
          <w:rFonts w:cs="Arial"/>
        </w:rPr>
        <w:t>regarding</w:t>
      </w:r>
      <w:r w:rsidRPr="003B7D01">
        <w:rPr>
          <w:rFonts w:cs="Arial"/>
        </w:rPr>
        <w:t xml:space="preserve"> City of Hamilton Zoning By-law No. 05-200 is allowed in part and</w:t>
      </w:r>
      <w:r w:rsidR="00D61196" w:rsidRPr="003B7D01">
        <w:rPr>
          <w:rFonts w:cs="Arial"/>
        </w:rPr>
        <w:t xml:space="preserve"> By-law No. 05-200 is </w:t>
      </w:r>
      <w:r w:rsidRPr="003B7D01">
        <w:rPr>
          <w:rFonts w:cs="Arial"/>
        </w:rPr>
        <w:t xml:space="preserve"> amended in accordance with Attachment 1 to this decision. </w:t>
      </w:r>
    </w:p>
    <w:p w:rsidR="00D61196" w:rsidRPr="003B7D01" w:rsidRDefault="00D61196" w:rsidP="00C81069">
      <w:pPr>
        <w:pStyle w:val="DecisionBody"/>
        <w:numPr>
          <w:ilvl w:val="1"/>
          <w:numId w:val="11"/>
        </w:numPr>
        <w:spacing w:beforeLines="150" w:before="360" w:afterLines="150" w:after="360" w:line="360" w:lineRule="auto"/>
        <w:ind w:left="993"/>
        <w:rPr>
          <w:rFonts w:cs="Arial"/>
        </w:rPr>
      </w:pPr>
      <w:r w:rsidRPr="003B7D01">
        <w:rPr>
          <w:rFonts w:cs="Arial"/>
        </w:rPr>
        <w:t xml:space="preserve">The appeal by LPF Realty Retail Inc. and Fengate Capital Management Ltd. regarding </w:t>
      </w:r>
      <w:r w:rsidR="00B44B7A" w:rsidRPr="003B7D01">
        <w:rPr>
          <w:rFonts w:cs="Arial"/>
        </w:rPr>
        <w:t xml:space="preserve">Zoning By-law No. 6593 of the former Corporation of the City of Hamilton is </w:t>
      </w:r>
      <w:r w:rsidRPr="003B7D01">
        <w:rPr>
          <w:rFonts w:cs="Arial"/>
        </w:rPr>
        <w:t xml:space="preserve">allowed in part and By-law No. 6593 is </w:t>
      </w:r>
      <w:r w:rsidR="00B44B7A" w:rsidRPr="003B7D01">
        <w:rPr>
          <w:rFonts w:cs="Arial"/>
        </w:rPr>
        <w:t xml:space="preserve">amended in accordance with Attachment 2 to this decision. </w:t>
      </w:r>
    </w:p>
    <w:p w:rsidR="00B44B7A" w:rsidRPr="003B7D01" w:rsidRDefault="00D61196" w:rsidP="00C81069">
      <w:pPr>
        <w:pStyle w:val="DecisionBody"/>
        <w:numPr>
          <w:ilvl w:val="1"/>
          <w:numId w:val="11"/>
        </w:numPr>
        <w:spacing w:beforeLines="150" w:before="360" w:afterLines="150" w:after="360" w:line="360" w:lineRule="auto"/>
        <w:ind w:left="993"/>
        <w:rPr>
          <w:rFonts w:cs="Arial"/>
        </w:rPr>
      </w:pPr>
      <w:r w:rsidRPr="003B7D01">
        <w:rPr>
          <w:rFonts w:cs="Arial"/>
        </w:rPr>
        <w:lastRenderedPageBreak/>
        <w:t>The Procedural Order to govern cases PL130630, PL130909 and PL131311 is amended in accordance with paragraphs 25 through 30, above, and in accordance with Attachment 3 to this decision.</w:t>
      </w:r>
    </w:p>
    <w:p w:rsidR="009A73F6" w:rsidRPr="003B7D01" w:rsidRDefault="009A73F6" w:rsidP="00375F31">
      <w:pPr>
        <w:pStyle w:val="DecisionBody"/>
        <w:numPr>
          <w:ilvl w:val="0"/>
          <w:numId w:val="0"/>
        </w:numPr>
        <w:spacing w:before="0" w:after="0" w:line="360" w:lineRule="auto"/>
        <w:rPr>
          <w:rFonts w:cs="Arial"/>
        </w:rPr>
      </w:pPr>
    </w:p>
    <w:p w:rsidR="003620BF" w:rsidRPr="003B7D01" w:rsidRDefault="00CC5C59" w:rsidP="00375F31">
      <w:pPr>
        <w:pStyle w:val="Member"/>
        <w:jc w:val="right"/>
      </w:pPr>
      <w:r w:rsidRPr="003B7D01">
        <w:t>“</w:t>
      </w:r>
      <w:r w:rsidR="00DB1E88" w:rsidRPr="003B7D01">
        <w:t>Susan de Avellar Schiller</w:t>
      </w:r>
      <w:r w:rsidR="003620BF" w:rsidRPr="003B7D01">
        <w:t>”</w:t>
      </w:r>
    </w:p>
    <w:p w:rsidR="00420FFD" w:rsidRPr="003B7D01" w:rsidRDefault="00420FFD" w:rsidP="00375F31">
      <w:pPr>
        <w:pStyle w:val="Member"/>
        <w:jc w:val="right"/>
      </w:pPr>
    </w:p>
    <w:p w:rsidR="003620BF" w:rsidRPr="003B7D01" w:rsidRDefault="00DB1E88" w:rsidP="00375F31">
      <w:pPr>
        <w:pStyle w:val="Member"/>
        <w:jc w:val="right"/>
        <w:rPr>
          <w:i w:val="0"/>
        </w:rPr>
      </w:pPr>
      <w:r w:rsidRPr="003B7D01">
        <w:rPr>
          <w:i w:val="0"/>
        </w:rPr>
        <w:t>SUSAN de AVELLAR SCHILLER</w:t>
      </w:r>
    </w:p>
    <w:p w:rsidR="003620BF" w:rsidRPr="003B7D01" w:rsidRDefault="00DB1E88" w:rsidP="00375F31">
      <w:pPr>
        <w:pStyle w:val="Member"/>
        <w:jc w:val="right"/>
        <w:rPr>
          <w:i w:val="0"/>
        </w:rPr>
      </w:pPr>
      <w:r w:rsidRPr="003B7D01">
        <w:rPr>
          <w:i w:val="0"/>
        </w:rPr>
        <w:t>VICE CHAIR</w:t>
      </w:r>
    </w:p>
    <w:p w:rsidR="009A73F6" w:rsidRPr="003B7D01" w:rsidRDefault="009A73F6" w:rsidP="009A73F6">
      <w:pPr>
        <w:keepLines/>
        <w:jc w:val="center"/>
        <w:rPr>
          <w:rFonts w:ascii="Arial" w:hAnsi="Arial" w:cs="Arial"/>
          <w:lang w:val="en-CA"/>
        </w:rPr>
      </w:pPr>
    </w:p>
    <w:p w:rsidR="009A73F6" w:rsidRPr="009936CF" w:rsidRDefault="009A73F6" w:rsidP="009A73F6">
      <w:pPr>
        <w:keepLines/>
        <w:jc w:val="center"/>
        <w:rPr>
          <w:rFonts w:ascii="Arial" w:hAnsi="Arial" w:cs="Arial"/>
          <w:lang w:val="en-CA"/>
        </w:rPr>
      </w:pPr>
    </w:p>
    <w:p w:rsidR="004D1FBD" w:rsidRDefault="004D1FBD" w:rsidP="009A73F6">
      <w:pPr>
        <w:keepLines/>
        <w:jc w:val="center"/>
        <w:rPr>
          <w:rFonts w:ascii="Arial" w:hAnsi="Arial" w:cs="Arial"/>
          <w:lang w:val="en-CA"/>
        </w:rPr>
      </w:pPr>
    </w:p>
    <w:p w:rsidR="004D1FBD" w:rsidRDefault="004D1FBD"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D61196" w:rsidRDefault="00D61196" w:rsidP="009A73F6">
      <w:pPr>
        <w:keepLines/>
        <w:jc w:val="center"/>
        <w:rPr>
          <w:rFonts w:ascii="Arial" w:hAnsi="Arial" w:cs="Arial"/>
          <w:lang w:val="en-CA"/>
        </w:rPr>
      </w:pPr>
    </w:p>
    <w:p w:rsidR="00D61196" w:rsidRDefault="00D61196" w:rsidP="009A73F6">
      <w:pPr>
        <w:keepLines/>
        <w:jc w:val="center"/>
        <w:rPr>
          <w:rFonts w:ascii="Arial" w:hAnsi="Arial" w:cs="Arial"/>
          <w:lang w:val="en-CA"/>
        </w:rPr>
      </w:pPr>
    </w:p>
    <w:p w:rsidR="001D0A2A" w:rsidRDefault="001D0A2A" w:rsidP="009A73F6">
      <w:pPr>
        <w:keepLines/>
        <w:jc w:val="center"/>
        <w:rPr>
          <w:rFonts w:ascii="Arial" w:hAnsi="Arial" w:cs="Arial"/>
          <w:lang w:val="en-CA"/>
        </w:rPr>
      </w:pPr>
    </w:p>
    <w:p w:rsidR="001D0A2A" w:rsidRPr="009936CF" w:rsidRDefault="001D0A2A" w:rsidP="009A73F6">
      <w:pPr>
        <w:keepLines/>
        <w:jc w:val="center"/>
        <w:rPr>
          <w:rFonts w:ascii="Arial" w:hAnsi="Arial" w:cs="Arial"/>
          <w:lang w:val="en-CA"/>
        </w:rPr>
      </w:pPr>
    </w:p>
    <w:p w:rsidR="009A73F6" w:rsidRPr="009936CF" w:rsidRDefault="009A73F6" w:rsidP="009A73F6">
      <w:pPr>
        <w:keepLines/>
        <w:jc w:val="center"/>
        <w:rPr>
          <w:rFonts w:ascii="Arial" w:hAnsi="Arial" w:cs="Arial"/>
          <w:lang w:val="en-CA"/>
        </w:rPr>
      </w:pPr>
    </w:p>
    <w:p w:rsidR="005A6B29" w:rsidRPr="009936CF" w:rsidRDefault="005A6B29" w:rsidP="009A73F6">
      <w:pPr>
        <w:keepLines/>
        <w:jc w:val="center"/>
        <w:rPr>
          <w:rFonts w:ascii="Arial" w:hAnsi="Arial" w:cs="Arial"/>
          <w:b/>
          <w:lang w:val="en-CA"/>
        </w:rPr>
      </w:pPr>
      <w:r w:rsidRPr="009936CF">
        <w:rPr>
          <w:rFonts w:ascii="Arial" w:hAnsi="Arial" w:cs="Arial"/>
          <w:b/>
          <w:lang w:val="en-CA"/>
        </w:rPr>
        <w:t>Ontario Municipal Board</w:t>
      </w:r>
    </w:p>
    <w:p w:rsidR="005A6B29" w:rsidRPr="009936CF" w:rsidRDefault="005A6B29" w:rsidP="009A73F6">
      <w:pPr>
        <w:keepLines/>
        <w:jc w:val="center"/>
        <w:rPr>
          <w:rFonts w:ascii="Arial" w:hAnsi="Arial" w:cs="Arial"/>
          <w:lang w:val="en-CA"/>
        </w:rPr>
      </w:pPr>
      <w:r w:rsidRPr="009936CF">
        <w:rPr>
          <w:rFonts w:ascii="Arial" w:hAnsi="Arial" w:cs="Arial"/>
          <w:lang w:val="en-CA"/>
        </w:rPr>
        <w:t>A constituent tribunal of Environment and Land Tribunals Ontario</w:t>
      </w:r>
    </w:p>
    <w:p w:rsidR="005A6B29" w:rsidRPr="009936CF" w:rsidRDefault="005A6B29" w:rsidP="009A73F6">
      <w:pPr>
        <w:pStyle w:val="Footer"/>
        <w:jc w:val="center"/>
        <w:rPr>
          <w:rFonts w:ascii="Arial" w:hAnsi="Arial" w:cs="Arial"/>
          <w:lang w:val="en-CA"/>
        </w:rPr>
      </w:pPr>
      <w:r w:rsidRPr="009936CF">
        <w:rPr>
          <w:rFonts w:ascii="Arial" w:hAnsi="Arial" w:cs="Arial"/>
          <w:lang w:val="en-CA"/>
        </w:rPr>
        <w:t>Website: www.elto.gov.on.ca  Telephone: 416-212-6349  Toll Free: 1-866-448-2248</w:t>
      </w:r>
    </w:p>
    <w:sectPr w:rsidR="005A6B29" w:rsidRPr="009936CF" w:rsidSect="00B92BA3">
      <w:headerReference w:type="default" r:id="rId9"/>
      <w:pgSz w:w="12240" w:h="15840" w:code="1"/>
      <w:pgMar w:top="1239"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EC9" w:rsidRDefault="003A4EC9">
      <w:r>
        <w:separator/>
      </w:r>
    </w:p>
  </w:endnote>
  <w:endnote w:type="continuationSeparator" w:id="0">
    <w:p w:rsidR="003A4EC9" w:rsidRDefault="003A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EC9" w:rsidRDefault="003A4EC9">
      <w:r>
        <w:separator/>
      </w:r>
    </w:p>
  </w:footnote>
  <w:footnote w:type="continuationSeparator" w:id="0">
    <w:p w:rsidR="003A4EC9" w:rsidRDefault="003A4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64" w:rsidRDefault="00054764" w:rsidP="002D2254">
    <w:pPr>
      <w:pStyle w:val="Header"/>
      <w:tabs>
        <w:tab w:val="clear" w:pos="8640"/>
        <w:tab w:val="center" w:pos="4680"/>
        <w:tab w:val="left" w:pos="6804"/>
        <w:tab w:val="right" w:pos="9360"/>
      </w:tabs>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756120">
      <w:rPr>
        <w:rFonts w:ascii="Arial" w:hAnsi="Arial" w:cs="Arial"/>
        <w:noProof/>
      </w:rPr>
      <w:t>9</w:t>
    </w:r>
    <w:r w:rsidRPr="005E51AF">
      <w:rPr>
        <w:rFonts w:ascii="Arial" w:hAnsi="Arial" w:cs="Arial"/>
        <w:noProof/>
      </w:rPr>
      <w:fldChar w:fldCharType="end"/>
    </w:r>
    <w:r>
      <w:rPr>
        <w:rFonts w:ascii="Arial" w:hAnsi="Arial" w:cs="Arial"/>
        <w:noProof/>
      </w:rPr>
      <w:tab/>
    </w:r>
    <w:r>
      <w:rPr>
        <w:rFonts w:ascii="Arial" w:hAnsi="Arial" w:cs="Arial"/>
        <w:noProof/>
      </w:rPr>
      <w:tab/>
    </w:r>
    <w:r w:rsidRPr="005E51AF">
      <w:rPr>
        <w:rFonts w:ascii="Arial" w:hAnsi="Arial" w:cs="Arial"/>
        <w:noProof/>
      </w:rPr>
      <w:t>PL</w:t>
    </w:r>
    <w:r>
      <w:rPr>
        <w:rFonts w:ascii="Arial" w:hAnsi="Arial" w:cs="Arial"/>
        <w:noProof/>
      </w:rPr>
      <w:t>130601</w:t>
    </w:r>
  </w:p>
  <w:p w:rsidR="00054764" w:rsidRDefault="00054764" w:rsidP="00852C12">
    <w:pPr>
      <w:pStyle w:val="Header"/>
      <w:tabs>
        <w:tab w:val="clear" w:pos="8640"/>
        <w:tab w:val="center" w:pos="4680"/>
        <w:tab w:val="left" w:pos="6804"/>
        <w:tab w:val="right" w:pos="9360"/>
      </w:tabs>
      <w:jc w:val="right"/>
      <w:rPr>
        <w:rFonts w:ascii="Arial" w:hAnsi="Arial" w:cs="Arial"/>
        <w:noProof/>
      </w:rPr>
    </w:pPr>
    <w:r>
      <w:rPr>
        <w:rFonts w:ascii="Arial" w:hAnsi="Arial" w:cs="Arial"/>
        <w:lang w:val="en-CA"/>
      </w:rPr>
      <w:t>PL131311</w:t>
    </w:r>
  </w:p>
  <w:p w:rsidR="00054764" w:rsidRDefault="00054764" w:rsidP="00852C12">
    <w:pPr>
      <w:framePr w:hSpace="181" w:wrap="around" w:vAnchor="text" w:hAnchor="page" w:x="1485" w:y="4"/>
      <w:jc w:val="right"/>
      <w:rPr>
        <w:rFonts w:ascii="Arial" w:hAnsi="Arial" w:cs="Arial"/>
        <w:lang w:val="en-CA"/>
      </w:rPr>
    </w:pPr>
    <w:r>
      <w:rPr>
        <w:rFonts w:ascii="Arial" w:hAnsi="Arial" w:cs="Arial"/>
        <w:lang w:val="en-CA"/>
      </w:rPr>
      <w:t>PL131089</w:t>
    </w:r>
  </w:p>
  <w:p w:rsidR="00054764" w:rsidRDefault="00054764" w:rsidP="00852C12">
    <w:pPr>
      <w:framePr w:hSpace="181" w:wrap="around" w:vAnchor="text" w:hAnchor="page" w:x="1485" w:y="4"/>
      <w:jc w:val="right"/>
      <w:rPr>
        <w:rFonts w:ascii="Arial" w:hAnsi="Arial" w:cs="Arial"/>
        <w:lang w:val="en-CA"/>
      </w:rPr>
    </w:pPr>
    <w:r>
      <w:rPr>
        <w:rFonts w:ascii="Arial" w:hAnsi="Arial" w:cs="Arial"/>
        <w:lang w:val="en-CA"/>
      </w:rPr>
      <w:t>PL130630</w:t>
    </w:r>
  </w:p>
  <w:p w:rsidR="00054764" w:rsidRDefault="00054764" w:rsidP="00852C12">
    <w:pPr>
      <w:framePr w:hSpace="181" w:wrap="around" w:vAnchor="text" w:hAnchor="page" w:x="1485" w:y="4"/>
      <w:jc w:val="right"/>
      <w:rPr>
        <w:rFonts w:ascii="Arial" w:hAnsi="Arial" w:cs="Arial"/>
        <w:lang w:val="en-CA"/>
      </w:rPr>
    </w:pPr>
    <w:r>
      <w:rPr>
        <w:rFonts w:ascii="Arial" w:hAnsi="Arial" w:cs="Arial"/>
        <w:lang w:val="en-CA"/>
      </w:rPr>
      <w:t>PL130909</w:t>
    </w:r>
  </w:p>
  <w:p w:rsidR="00054764" w:rsidRDefault="00054764" w:rsidP="00852C12">
    <w:pPr>
      <w:framePr w:hSpace="181" w:wrap="around" w:vAnchor="text" w:hAnchor="page" w:x="1485" w:y="4"/>
      <w:jc w:val="right"/>
      <w:rPr>
        <w:rFonts w:ascii="Arial" w:hAnsi="Arial" w:cs="Arial"/>
        <w:lang w:val="en-CA"/>
      </w:rPr>
    </w:pPr>
  </w:p>
  <w:p w:rsidR="00054764" w:rsidRDefault="00054764" w:rsidP="002D2254">
    <w:pPr>
      <w:pStyle w:val="Header"/>
      <w:tabs>
        <w:tab w:val="clear" w:pos="8640"/>
        <w:tab w:val="center" w:pos="4680"/>
        <w:tab w:val="left" w:pos="6804"/>
        <w:tab w:val="right" w:pos="9360"/>
      </w:tabs>
      <w:rPr>
        <w:rFonts w:ascii="Arial" w:hAnsi="Arial" w:cs="Arial"/>
        <w:noProof/>
      </w:rPr>
    </w:pPr>
  </w:p>
  <w:p w:rsidR="00054764" w:rsidRPr="005E51AF" w:rsidRDefault="00054764"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A12260"/>
    <w:multiLevelType w:val="hybridMultilevel"/>
    <w:tmpl w:val="A0D0F4E8"/>
    <w:lvl w:ilvl="0" w:tplc="921E247A">
      <w:start w:val="1"/>
      <w:numFmt w:val="decimal"/>
      <w:pStyle w:val="DecisionBody"/>
      <w:lvlText w:val="[%1]"/>
      <w:lvlJc w:val="left"/>
      <w:pPr>
        <w:ind w:left="720" w:hanging="360"/>
      </w:pPr>
      <w:rPr>
        <w:rFonts w:hint="default"/>
        <w:b w:val="0"/>
      </w:rPr>
    </w:lvl>
    <w:lvl w:ilvl="1" w:tplc="63A085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658C0"/>
    <w:multiLevelType w:val="hybridMultilevel"/>
    <w:tmpl w:val="FDC63906"/>
    <w:lvl w:ilvl="0" w:tplc="5DD0736A">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7B256AC"/>
    <w:multiLevelType w:val="hybridMultilevel"/>
    <w:tmpl w:val="A42CC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9463357"/>
    <w:multiLevelType w:val="hybridMultilevel"/>
    <w:tmpl w:val="79C039DC"/>
    <w:lvl w:ilvl="0" w:tplc="29ECC2FE">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9"/>
  </w:num>
  <w:num w:numId="4">
    <w:abstractNumId w:val="7"/>
  </w:num>
  <w:num w:numId="5">
    <w:abstractNumId w:val="22"/>
  </w:num>
  <w:num w:numId="6">
    <w:abstractNumId w:val="4"/>
  </w:num>
  <w:num w:numId="7">
    <w:abstractNumId w:val="1"/>
  </w:num>
  <w:num w:numId="8">
    <w:abstractNumId w:val="17"/>
  </w:num>
  <w:num w:numId="9">
    <w:abstractNumId w:val="10"/>
  </w:num>
  <w:num w:numId="10">
    <w:abstractNumId w:val="9"/>
  </w:num>
  <w:num w:numId="11">
    <w:abstractNumId w:val="14"/>
  </w:num>
  <w:num w:numId="12">
    <w:abstractNumId w:val="21"/>
  </w:num>
  <w:num w:numId="13">
    <w:abstractNumId w:val="3"/>
  </w:num>
  <w:num w:numId="14">
    <w:abstractNumId w:val="11"/>
  </w:num>
  <w:num w:numId="15">
    <w:abstractNumId w:val="16"/>
  </w:num>
  <w:num w:numId="16">
    <w:abstractNumId w:val="13"/>
  </w:num>
  <w:num w:numId="17">
    <w:abstractNumId w:val="6"/>
  </w:num>
  <w:num w:numId="18">
    <w:abstractNumId w:val="8"/>
  </w:num>
  <w:num w:numId="19">
    <w:abstractNumId w:val="2"/>
  </w:num>
  <w:num w:numId="20">
    <w:abstractNumId w:val="0"/>
  </w:num>
  <w:num w:numId="21">
    <w:abstractNumId w:val="18"/>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019D9"/>
    <w:rsid w:val="0001398A"/>
    <w:rsid w:val="00016619"/>
    <w:rsid w:val="000170F3"/>
    <w:rsid w:val="000173C0"/>
    <w:rsid w:val="00017DFC"/>
    <w:rsid w:val="00031C6E"/>
    <w:rsid w:val="0003783B"/>
    <w:rsid w:val="000424A6"/>
    <w:rsid w:val="00054764"/>
    <w:rsid w:val="00054A9F"/>
    <w:rsid w:val="00057B18"/>
    <w:rsid w:val="0007009B"/>
    <w:rsid w:val="00075342"/>
    <w:rsid w:val="00075968"/>
    <w:rsid w:val="00076196"/>
    <w:rsid w:val="0008105B"/>
    <w:rsid w:val="00081B93"/>
    <w:rsid w:val="000B4BFB"/>
    <w:rsid w:val="000B6A7E"/>
    <w:rsid w:val="000C21BB"/>
    <w:rsid w:val="000C480C"/>
    <w:rsid w:val="000C7608"/>
    <w:rsid w:val="000C7ED2"/>
    <w:rsid w:val="000D6F9D"/>
    <w:rsid w:val="000D7BBD"/>
    <w:rsid w:val="000E008D"/>
    <w:rsid w:val="00137797"/>
    <w:rsid w:val="00154DC7"/>
    <w:rsid w:val="001551CC"/>
    <w:rsid w:val="001562BE"/>
    <w:rsid w:val="00160074"/>
    <w:rsid w:val="001634FB"/>
    <w:rsid w:val="001656BC"/>
    <w:rsid w:val="001702F3"/>
    <w:rsid w:val="00172CE7"/>
    <w:rsid w:val="001765FB"/>
    <w:rsid w:val="00182765"/>
    <w:rsid w:val="00187F33"/>
    <w:rsid w:val="00190DF3"/>
    <w:rsid w:val="001A0829"/>
    <w:rsid w:val="001A3C06"/>
    <w:rsid w:val="001A76EB"/>
    <w:rsid w:val="001B5CE4"/>
    <w:rsid w:val="001D0A2A"/>
    <w:rsid w:val="001D6F93"/>
    <w:rsid w:val="001D7C57"/>
    <w:rsid w:val="001F179F"/>
    <w:rsid w:val="001F1BF4"/>
    <w:rsid w:val="0020298E"/>
    <w:rsid w:val="00205167"/>
    <w:rsid w:val="0021608D"/>
    <w:rsid w:val="00220639"/>
    <w:rsid w:val="0022133C"/>
    <w:rsid w:val="00225203"/>
    <w:rsid w:val="00226115"/>
    <w:rsid w:val="002346B3"/>
    <w:rsid w:val="002419BB"/>
    <w:rsid w:val="002433A2"/>
    <w:rsid w:val="002446DE"/>
    <w:rsid w:val="00246A65"/>
    <w:rsid w:val="0026320F"/>
    <w:rsid w:val="00277F40"/>
    <w:rsid w:val="002816F8"/>
    <w:rsid w:val="00283370"/>
    <w:rsid w:val="00293E85"/>
    <w:rsid w:val="0029409B"/>
    <w:rsid w:val="002959D2"/>
    <w:rsid w:val="00296832"/>
    <w:rsid w:val="002B47E9"/>
    <w:rsid w:val="002C00E1"/>
    <w:rsid w:val="002C09D6"/>
    <w:rsid w:val="002D2254"/>
    <w:rsid w:val="002D38E7"/>
    <w:rsid w:val="002E7C9F"/>
    <w:rsid w:val="002F0496"/>
    <w:rsid w:val="002F73E5"/>
    <w:rsid w:val="003011F4"/>
    <w:rsid w:val="003051EA"/>
    <w:rsid w:val="00307DEE"/>
    <w:rsid w:val="00316394"/>
    <w:rsid w:val="00324440"/>
    <w:rsid w:val="00331612"/>
    <w:rsid w:val="00340879"/>
    <w:rsid w:val="00345480"/>
    <w:rsid w:val="003506EA"/>
    <w:rsid w:val="00350E1B"/>
    <w:rsid w:val="003620BF"/>
    <w:rsid w:val="00367CB0"/>
    <w:rsid w:val="00375F31"/>
    <w:rsid w:val="0038484F"/>
    <w:rsid w:val="00391DD7"/>
    <w:rsid w:val="00392A62"/>
    <w:rsid w:val="003A4EC9"/>
    <w:rsid w:val="003A737C"/>
    <w:rsid w:val="003B236D"/>
    <w:rsid w:val="003B298B"/>
    <w:rsid w:val="003B7CE2"/>
    <w:rsid w:val="003B7D01"/>
    <w:rsid w:val="003C2E86"/>
    <w:rsid w:val="003F266C"/>
    <w:rsid w:val="00401F7B"/>
    <w:rsid w:val="00403715"/>
    <w:rsid w:val="00420FFD"/>
    <w:rsid w:val="004233D2"/>
    <w:rsid w:val="0043345F"/>
    <w:rsid w:val="00441A9B"/>
    <w:rsid w:val="004507E6"/>
    <w:rsid w:val="00452228"/>
    <w:rsid w:val="004532E2"/>
    <w:rsid w:val="004568CC"/>
    <w:rsid w:val="004662FE"/>
    <w:rsid w:val="004751C5"/>
    <w:rsid w:val="00477482"/>
    <w:rsid w:val="004A2AA0"/>
    <w:rsid w:val="004A4461"/>
    <w:rsid w:val="004A497F"/>
    <w:rsid w:val="004C06AB"/>
    <w:rsid w:val="004C5ADC"/>
    <w:rsid w:val="004D1FBD"/>
    <w:rsid w:val="004E03A4"/>
    <w:rsid w:val="004E4C91"/>
    <w:rsid w:val="004E4CD6"/>
    <w:rsid w:val="004F13B0"/>
    <w:rsid w:val="00505DF1"/>
    <w:rsid w:val="00513CCD"/>
    <w:rsid w:val="005176E6"/>
    <w:rsid w:val="00526987"/>
    <w:rsid w:val="00540AD6"/>
    <w:rsid w:val="0055024F"/>
    <w:rsid w:val="00581834"/>
    <w:rsid w:val="00581FFB"/>
    <w:rsid w:val="00582920"/>
    <w:rsid w:val="005832B8"/>
    <w:rsid w:val="00585632"/>
    <w:rsid w:val="0058684A"/>
    <w:rsid w:val="005A6B29"/>
    <w:rsid w:val="005A767F"/>
    <w:rsid w:val="005B0EFC"/>
    <w:rsid w:val="005B5DDE"/>
    <w:rsid w:val="005C7251"/>
    <w:rsid w:val="005D0D8D"/>
    <w:rsid w:val="005D1ED7"/>
    <w:rsid w:val="005D356A"/>
    <w:rsid w:val="005E51AF"/>
    <w:rsid w:val="005F182A"/>
    <w:rsid w:val="005F7A16"/>
    <w:rsid w:val="006002DC"/>
    <w:rsid w:val="0060505C"/>
    <w:rsid w:val="00614648"/>
    <w:rsid w:val="00616822"/>
    <w:rsid w:val="006419E7"/>
    <w:rsid w:val="00641AD3"/>
    <w:rsid w:val="00647ECC"/>
    <w:rsid w:val="006510E9"/>
    <w:rsid w:val="00653B50"/>
    <w:rsid w:val="00655F95"/>
    <w:rsid w:val="00656CC7"/>
    <w:rsid w:val="00657A90"/>
    <w:rsid w:val="00663C56"/>
    <w:rsid w:val="00665DAE"/>
    <w:rsid w:val="006664C3"/>
    <w:rsid w:val="00677294"/>
    <w:rsid w:val="006A119C"/>
    <w:rsid w:val="006A19B7"/>
    <w:rsid w:val="006B314B"/>
    <w:rsid w:val="006D0A63"/>
    <w:rsid w:val="006F214C"/>
    <w:rsid w:val="006F2DF2"/>
    <w:rsid w:val="006F3E20"/>
    <w:rsid w:val="006F5589"/>
    <w:rsid w:val="006F7035"/>
    <w:rsid w:val="007057F0"/>
    <w:rsid w:val="00706196"/>
    <w:rsid w:val="00707B3B"/>
    <w:rsid w:val="00715DD1"/>
    <w:rsid w:val="00716030"/>
    <w:rsid w:val="00756120"/>
    <w:rsid w:val="0076119A"/>
    <w:rsid w:val="00765C2D"/>
    <w:rsid w:val="00780CC7"/>
    <w:rsid w:val="007872DF"/>
    <w:rsid w:val="007A1709"/>
    <w:rsid w:val="007A1F0A"/>
    <w:rsid w:val="007A2C3D"/>
    <w:rsid w:val="007C08BD"/>
    <w:rsid w:val="007D1B63"/>
    <w:rsid w:val="007E0C30"/>
    <w:rsid w:val="007F7583"/>
    <w:rsid w:val="008046EB"/>
    <w:rsid w:val="00804EF5"/>
    <w:rsid w:val="0080724D"/>
    <w:rsid w:val="008173CF"/>
    <w:rsid w:val="00823753"/>
    <w:rsid w:val="008316DB"/>
    <w:rsid w:val="0083211C"/>
    <w:rsid w:val="00834B93"/>
    <w:rsid w:val="00835A80"/>
    <w:rsid w:val="00852C12"/>
    <w:rsid w:val="00865727"/>
    <w:rsid w:val="00866681"/>
    <w:rsid w:val="008806E4"/>
    <w:rsid w:val="0089782A"/>
    <w:rsid w:val="008A1A0C"/>
    <w:rsid w:val="008A3586"/>
    <w:rsid w:val="008B1766"/>
    <w:rsid w:val="008B3EB4"/>
    <w:rsid w:val="008B667D"/>
    <w:rsid w:val="008C09C4"/>
    <w:rsid w:val="008C7470"/>
    <w:rsid w:val="008D3B01"/>
    <w:rsid w:val="008D43A9"/>
    <w:rsid w:val="008E147D"/>
    <w:rsid w:val="008E5B11"/>
    <w:rsid w:val="00900C5B"/>
    <w:rsid w:val="00930FD3"/>
    <w:rsid w:val="009333AA"/>
    <w:rsid w:val="00935ABA"/>
    <w:rsid w:val="00945F40"/>
    <w:rsid w:val="00951EE2"/>
    <w:rsid w:val="0096422B"/>
    <w:rsid w:val="009650D8"/>
    <w:rsid w:val="009748FB"/>
    <w:rsid w:val="00976AA8"/>
    <w:rsid w:val="00981E7A"/>
    <w:rsid w:val="00986AB5"/>
    <w:rsid w:val="00990F55"/>
    <w:rsid w:val="009936CF"/>
    <w:rsid w:val="009A31C9"/>
    <w:rsid w:val="009A34A1"/>
    <w:rsid w:val="009A6D63"/>
    <w:rsid w:val="009A73F6"/>
    <w:rsid w:val="009B0A91"/>
    <w:rsid w:val="009C4D62"/>
    <w:rsid w:val="009C592B"/>
    <w:rsid w:val="009D0191"/>
    <w:rsid w:val="009D0B82"/>
    <w:rsid w:val="009D5078"/>
    <w:rsid w:val="009E0DF7"/>
    <w:rsid w:val="009E202F"/>
    <w:rsid w:val="009E6113"/>
    <w:rsid w:val="009E6983"/>
    <w:rsid w:val="009E7D1C"/>
    <w:rsid w:val="009F3047"/>
    <w:rsid w:val="00A01393"/>
    <w:rsid w:val="00A024D3"/>
    <w:rsid w:val="00A07D8A"/>
    <w:rsid w:val="00A13634"/>
    <w:rsid w:val="00A17C3F"/>
    <w:rsid w:val="00A20E8C"/>
    <w:rsid w:val="00A23160"/>
    <w:rsid w:val="00A452B0"/>
    <w:rsid w:val="00A45D63"/>
    <w:rsid w:val="00A47406"/>
    <w:rsid w:val="00A47C79"/>
    <w:rsid w:val="00A550FC"/>
    <w:rsid w:val="00A70E2F"/>
    <w:rsid w:val="00A81716"/>
    <w:rsid w:val="00A86E97"/>
    <w:rsid w:val="00A955CF"/>
    <w:rsid w:val="00A9753C"/>
    <w:rsid w:val="00AA1090"/>
    <w:rsid w:val="00AA6E2C"/>
    <w:rsid w:val="00AB07FC"/>
    <w:rsid w:val="00AB7E2E"/>
    <w:rsid w:val="00AC4A12"/>
    <w:rsid w:val="00AD29BF"/>
    <w:rsid w:val="00AE075F"/>
    <w:rsid w:val="00AE1098"/>
    <w:rsid w:val="00AE6366"/>
    <w:rsid w:val="00B157E1"/>
    <w:rsid w:val="00B16A05"/>
    <w:rsid w:val="00B225A1"/>
    <w:rsid w:val="00B2277D"/>
    <w:rsid w:val="00B25ACB"/>
    <w:rsid w:val="00B25ECF"/>
    <w:rsid w:val="00B35686"/>
    <w:rsid w:val="00B44B7A"/>
    <w:rsid w:val="00B51EBA"/>
    <w:rsid w:val="00B5261C"/>
    <w:rsid w:val="00B5585B"/>
    <w:rsid w:val="00B62606"/>
    <w:rsid w:val="00B6431E"/>
    <w:rsid w:val="00B67AB9"/>
    <w:rsid w:val="00B702CE"/>
    <w:rsid w:val="00B721A7"/>
    <w:rsid w:val="00B73739"/>
    <w:rsid w:val="00B77B07"/>
    <w:rsid w:val="00B818DE"/>
    <w:rsid w:val="00B92BA3"/>
    <w:rsid w:val="00BA5F87"/>
    <w:rsid w:val="00BB1683"/>
    <w:rsid w:val="00BC66D9"/>
    <w:rsid w:val="00BE0FA0"/>
    <w:rsid w:val="00BE79D3"/>
    <w:rsid w:val="00BF497A"/>
    <w:rsid w:val="00BF7426"/>
    <w:rsid w:val="00C02B28"/>
    <w:rsid w:val="00C27240"/>
    <w:rsid w:val="00C62A84"/>
    <w:rsid w:val="00C66C9E"/>
    <w:rsid w:val="00C7545F"/>
    <w:rsid w:val="00C81069"/>
    <w:rsid w:val="00C83BD6"/>
    <w:rsid w:val="00C92977"/>
    <w:rsid w:val="00CC269B"/>
    <w:rsid w:val="00CC29F3"/>
    <w:rsid w:val="00CC5C59"/>
    <w:rsid w:val="00CD235D"/>
    <w:rsid w:val="00CD5591"/>
    <w:rsid w:val="00CE10CC"/>
    <w:rsid w:val="00CF3F96"/>
    <w:rsid w:val="00CF4C37"/>
    <w:rsid w:val="00CF55CF"/>
    <w:rsid w:val="00CF602D"/>
    <w:rsid w:val="00D008AB"/>
    <w:rsid w:val="00D268C8"/>
    <w:rsid w:val="00D30F49"/>
    <w:rsid w:val="00D42D9F"/>
    <w:rsid w:val="00D439F0"/>
    <w:rsid w:val="00D47413"/>
    <w:rsid w:val="00D60C9B"/>
    <w:rsid w:val="00D61196"/>
    <w:rsid w:val="00D66856"/>
    <w:rsid w:val="00D71056"/>
    <w:rsid w:val="00D76186"/>
    <w:rsid w:val="00D76968"/>
    <w:rsid w:val="00D83B70"/>
    <w:rsid w:val="00D83C03"/>
    <w:rsid w:val="00D8571F"/>
    <w:rsid w:val="00D91064"/>
    <w:rsid w:val="00DB023D"/>
    <w:rsid w:val="00DB16DE"/>
    <w:rsid w:val="00DB1E88"/>
    <w:rsid w:val="00DB49FE"/>
    <w:rsid w:val="00DC5992"/>
    <w:rsid w:val="00DD35F5"/>
    <w:rsid w:val="00DD4CB4"/>
    <w:rsid w:val="00DD6665"/>
    <w:rsid w:val="00DE12B5"/>
    <w:rsid w:val="00DE62BC"/>
    <w:rsid w:val="00DE7CA4"/>
    <w:rsid w:val="00DF75FB"/>
    <w:rsid w:val="00E11D71"/>
    <w:rsid w:val="00E12DE7"/>
    <w:rsid w:val="00E15446"/>
    <w:rsid w:val="00E15BD0"/>
    <w:rsid w:val="00E40778"/>
    <w:rsid w:val="00E45C87"/>
    <w:rsid w:val="00E5336E"/>
    <w:rsid w:val="00E62B30"/>
    <w:rsid w:val="00E65759"/>
    <w:rsid w:val="00E73226"/>
    <w:rsid w:val="00E83EEA"/>
    <w:rsid w:val="00E87A9B"/>
    <w:rsid w:val="00E87B92"/>
    <w:rsid w:val="00EA73B7"/>
    <w:rsid w:val="00EB3E73"/>
    <w:rsid w:val="00EB6593"/>
    <w:rsid w:val="00EC1739"/>
    <w:rsid w:val="00EC181A"/>
    <w:rsid w:val="00EC79EF"/>
    <w:rsid w:val="00EE3DEE"/>
    <w:rsid w:val="00EE4BA3"/>
    <w:rsid w:val="00EE734B"/>
    <w:rsid w:val="00F05EDE"/>
    <w:rsid w:val="00F20B8D"/>
    <w:rsid w:val="00F241C7"/>
    <w:rsid w:val="00F35C4A"/>
    <w:rsid w:val="00F376E5"/>
    <w:rsid w:val="00F404B1"/>
    <w:rsid w:val="00F408C2"/>
    <w:rsid w:val="00F4439F"/>
    <w:rsid w:val="00F548C9"/>
    <w:rsid w:val="00F746E9"/>
    <w:rsid w:val="00F76E36"/>
    <w:rsid w:val="00F873DF"/>
    <w:rsid w:val="00F90029"/>
    <w:rsid w:val="00F92774"/>
    <w:rsid w:val="00F9597B"/>
    <w:rsid w:val="00FA016B"/>
    <w:rsid w:val="00FD10D9"/>
    <w:rsid w:val="00FD2357"/>
    <w:rsid w:val="00FD4182"/>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autoRedefine/>
    <w:rsid w:val="00AA1090"/>
    <w:pPr>
      <w:widowControl w:val="0"/>
      <w:numPr>
        <w:numId w:val="1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ubTitleBold">
    <w:name w:val="Sub Title Bold"/>
    <w:basedOn w:val="Subtitle"/>
    <w:rsid w:val="00C7545F"/>
    <w:pPr>
      <w:numPr>
        <w:ilvl w:val="0"/>
      </w:numPr>
      <w:spacing w:after="60"/>
      <w:jc w:val="center"/>
      <w:outlineLvl w:val="1"/>
    </w:pPr>
    <w:rPr>
      <w:rFonts w:ascii="Arial" w:hAnsi="Arial" w:cs="Arial"/>
      <w:b/>
      <w:i w:val="0"/>
      <w:iCs w:val="0"/>
      <w:color w:val="auto"/>
      <w:spacing w:val="0"/>
    </w:rPr>
  </w:style>
  <w:style w:type="paragraph" w:styleId="Subtitle">
    <w:name w:val="Subtitle"/>
    <w:basedOn w:val="Normal"/>
    <w:next w:val="Normal"/>
    <w:link w:val="SubtitleChar"/>
    <w:qFormat/>
    <w:rsid w:val="00C7545F"/>
    <w:pPr>
      <w:numPr>
        <w:ilvl w:val="1"/>
      </w:numPr>
    </w:pPr>
    <w:rPr>
      <w:rFonts w:ascii="Cambria" w:hAnsi="Cambria"/>
      <w:i/>
      <w:iCs/>
      <w:color w:val="4F81BD"/>
      <w:spacing w:val="15"/>
    </w:rPr>
  </w:style>
  <w:style w:type="character" w:customStyle="1" w:styleId="SubtitleChar">
    <w:name w:val="Subtitle Char"/>
    <w:link w:val="Subtitle"/>
    <w:rsid w:val="00C7545F"/>
    <w:rPr>
      <w:rFonts w:ascii="Cambria" w:eastAsia="Times New Roman" w:hAnsi="Cambria" w:cs="Times New Roman"/>
      <w:i/>
      <w:iCs/>
      <w:color w:val="4F81BD"/>
      <w:spacing w:val="15"/>
      <w:sz w:val="24"/>
      <w:szCs w:val="24"/>
      <w:lang w:val="en-US" w:eastAsia="en-US"/>
    </w:rPr>
  </w:style>
  <w:style w:type="paragraph" w:customStyle="1" w:styleId="DocID">
    <w:name w:val="DocID"/>
    <w:basedOn w:val="Normal"/>
    <w:next w:val="Normal"/>
    <w:link w:val="DocIDChar"/>
    <w:rsid w:val="002F0496"/>
    <w:rPr>
      <w:rFonts w:ascii="Arial" w:hAnsi="Arial" w:cs="Arial"/>
      <w:sz w:val="16"/>
    </w:rPr>
  </w:style>
  <w:style w:type="character" w:customStyle="1" w:styleId="DocIDChar">
    <w:name w:val="DocID Char"/>
    <w:link w:val="DocID"/>
    <w:rsid w:val="002F0496"/>
    <w:rPr>
      <w:rFonts w:ascii="Arial" w:hAnsi="Arial" w:cs="Arial"/>
      <w:sz w:val="16"/>
      <w:szCs w:val="24"/>
      <w:lang w:val="en-US" w:eastAsia="en-US"/>
    </w:rPr>
  </w:style>
  <w:style w:type="paragraph" w:customStyle="1" w:styleId="Default">
    <w:name w:val="Default"/>
    <w:rsid w:val="002F0496"/>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FE478E"/>
    <w:pPr>
      <w:keepNext/>
      <w:outlineLvl w:val="0"/>
    </w:pPr>
    <w:rPr>
      <w:rFonts w:ascii="Arial" w:hAnsi="Arial"/>
      <w:b/>
      <w:bCs/>
      <w:sz w:val="16"/>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A550FC"/>
    <w:pPr>
      <w:tabs>
        <w:tab w:val="center" w:pos="4320"/>
        <w:tab w:val="right" w:pos="8640"/>
      </w:tabs>
    </w:p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basedOn w:val="PartiesCounselAgent"/>
    <w:autoRedefine/>
    <w:rsid w:val="00AA1090"/>
    <w:pPr>
      <w:widowControl w:val="0"/>
      <w:numPr>
        <w:numId w:val="11"/>
      </w:numPr>
      <w:spacing w:before="240" w:after="240" w:line="360" w:lineRule="atLeast"/>
      <w:ind w:left="0" w:firstLine="0"/>
    </w:pPr>
    <w:rPr>
      <w:bC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F404B1"/>
    <w:rPr>
      <w:sz w:val="24"/>
      <w:szCs w:val="24"/>
      <w:lang w:val="en-US" w:eastAsia="en-US"/>
    </w:rPr>
  </w:style>
  <w:style w:type="paragraph" w:customStyle="1" w:styleId="SubTitleBold">
    <w:name w:val="Sub Title Bold"/>
    <w:basedOn w:val="Subtitle"/>
    <w:rsid w:val="00C7545F"/>
    <w:pPr>
      <w:numPr>
        <w:ilvl w:val="0"/>
      </w:numPr>
      <w:spacing w:after="60"/>
      <w:jc w:val="center"/>
      <w:outlineLvl w:val="1"/>
    </w:pPr>
    <w:rPr>
      <w:rFonts w:ascii="Arial" w:hAnsi="Arial" w:cs="Arial"/>
      <w:b/>
      <w:i w:val="0"/>
      <w:iCs w:val="0"/>
      <w:color w:val="auto"/>
      <w:spacing w:val="0"/>
    </w:rPr>
  </w:style>
  <w:style w:type="paragraph" w:styleId="Subtitle">
    <w:name w:val="Subtitle"/>
    <w:basedOn w:val="Normal"/>
    <w:next w:val="Normal"/>
    <w:link w:val="SubtitleChar"/>
    <w:qFormat/>
    <w:rsid w:val="00C7545F"/>
    <w:pPr>
      <w:numPr>
        <w:ilvl w:val="1"/>
      </w:numPr>
    </w:pPr>
    <w:rPr>
      <w:rFonts w:ascii="Cambria" w:hAnsi="Cambria"/>
      <w:i/>
      <w:iCs/>
      <w:color w:val="4F81BD"/>
      <w:spacing w:val="15"/>
    </w:rPr>
  </w:style>
  <w:style w:type="character" w:customStyle="1" w:styleId="SubtitleChar">
    <w:name w:val="Subtitle Char"/>
    <w:link w:val="Subtitle"/>
    <w:rsid w:val="00C7545F"/>
    <w:rPr>
      <w:rFonts w:ascii="Cambria" w:eastAsia="Times New Roman" w:hAnsi="Cambria" w:cs="Times New Roman"/>
      <w:i/>
      <w:iCs/>
      <w:color w:val="4F81BD"/>
      <w:spacing w:val="15"/>
      <w:sz w:val="24"/>
      <w:szCs w:val="24"/>
      <w:lang w:val="en-US" w:eastAsia="en-US"/>
    </w:rPr>
  </w:style>
  <w:style w:type="paragraph" w:customStyle="1" w:styleId="DocID">
    <w:name w:val="DocID"/>
    <w:basedOn w:val="Normal"/>
    <w:next w:val="Normal"/>
    <w:link w:val="DocIDChar"/>
    <w:rsid w:val="002F0496"/>
    <w:rPr>
      <w:rFonts w:ascii="Arial" w:hAnsi="Arial" w:cs="Arial"/>
      <w:sz w:val="16"/>
    </w:rPr>
  </w:style>
  <w:style w:type="character" w:customStyle="1" w:styleId="DocIDChar">
    <w:name w:val="DocID Char"/>
    <w:link w:val="DocID"/>
    <w:rsid w:val="002F0496"/>
    <w:rPr>
      <w:rFonts w:ascii="Arial" w:hAnsi="Arial" w:cs="Arial"/>
      <w:sz w:val="16"/>
      <w:szCs w:val="24"/>
      <w:lang w:val="en-US" w:eastAsia="en-US"/>
    </w:rPr>
  </w:style>
  <w:style w:type="paragraph" w:customStyle="1" w:styleId="Default">
    <w:name w:val="Default"/>
    <w:rsid w:val="002F0496"/>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645782">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1998</Words>
  <Characters>10528</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12501</CharactersWithSpaces>
  <SharedDoc>false</SharedDoc>
  <HLinks>
    <vt:vector size="24" baseType="variant">
      <vt:variant>
        <vt:i4>4390963</vt:i4>
      </vt:variant>
      <vt:variant>
        <vt:i4>14</vt:i4>
      </vt:variant>
      <vt:variant>
        <vt:i4>0</vt:i4>
      </vt:variant>
      <vt:variant>
        <vt:i4>5</vt:i4>
      </vt:variant>
      <vt:variant>
        <vt:lpwstr>mailto:michael.kovacevic@hamilton.ca</vt:lpwstr>
      </vt:variant>
      <vt:variant>
        <vt:lpwstr/>
      </vt:variant>
      <vt:variant>
        <vt:i4>6160485</vt:i4>
      </vt:variant>
      <vt:variant>
        <vt:i4>11</vt:i4>
      </vt:variant>
      <vt:variant>
        <vt:i4>0</vt:i4>
      </vt:variant>
      <vt:variant>
        <vt:i4>5</vt:i4>
      </vt:variant>
      <vt:variant>
        <vt:lpwstr>mailto:pharrington@airdberlis.com</vt:lpwstr>
      </vt:variant>
      <vt:variant>
        <vt:lpwstr/>
      </vt:variant>
      <vt:variant>
        <vt:i4>2883613</vt:i4>
      </vt:variant>
      <vt:variant>
        <vt:i4>8</vt:i4>
      </vt:variant>
      <vt:variant>
        <vt:i4>0</vt:i4>
      </vt:variant>
      <vt:variant>
        <vt:i4>5</vt:i4>
      </vt:variant>
      <vt:variant>
        <vt:lpwstr>mailto:szakem@airdberlis.com</vt:lpwstr>
      </vt:variant>
      <vt:variant>
        <vt:lpwstr/>
      </vt:variant>
      <vt:variant>
        <vt:i4>2818073</vt:i4>
      </vt:variant>
      <vt:variant>
        <vt:i4>5</vt:i4>
      </vt:variant>
      <vt:variant>
        <vt:i4>0</vt:i4>
      </vt:variant>
      <vt:variant>
        <vt:i4>5</vt:i4>
      </vt:variant>
      <vt:variant>
        <vt:lpwstr>mailto:dbaker@weirfoulds.com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Chew, Joyce (JUS)</cp:lastModifiedBy>
  <cp:revision>5</cp:revision>
  <cp:lastPrinted>2014-08-19T18:41:00Z</cp:lastPrinted>
  <dcterms:created xsi:type="dcterms:W3CDTF">2014-08-22T14:38:00Z</dcterms:created>
  <dcterms:modified xsi:type="dcterms:W3CDTF">2014-08-22T14:40:00Z</dcterms:modified>
</cp:coreProperties>
</file>