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BCA48CA" w14:textId="77777777" w:rsidTr="000F1CE9">
        <w:trPr>
          <w:trHeight w:val="281"/>
        </w:trPr>
        <w:tc>
          <w:tcPr>
            <w:tcW w:w="5778" w:type="dxa"/>
          </w:tcPr>
          <w:p w14:paraId="15B1EE1C" w14:textId="77777777" w:rsidR="006D09B4" w:rsidRPr="001E764F" w:rsidRDefault="006D09B4" w:rsidP="006D09B4">
            <w:pPr>
              <w:rPr>
                <w:rFonts w:ascii="Arial" w:hAnsi="Arial" w:cs="Arial"/>
                <w:b/>
                <w:sz w:val="16"/>
                <w:szCs w:val="16"/>
              </w:rPr>
            </w:pPr>
          </w:p>
        </w:tc>
        <w:tc>
          <w:tcPr>
            <w:tcW w:w="3828" w:type="dxa"/>
            <w:vMerge w:val="restart"/>
          </w:tcPr>
          <w:p w14:paraId="660869A8"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5B9F6667" wp14:editId="0D2864D3">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79443D38" w14:textId="77777777" w:rsidTr="000F1CE9">
        <w:tc>
          <w:tcPr>
            <w:tcW w:w="5778" w:type="dxa"/>
          </w:tcPr>
          <w:p w14:paraId="4A5769C3"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6814BC3" w14:textId="77777777" w:rsidR="006D09B4" w:rsidRPr="001E764F" w:rsidRDefault="006D09B4" w:rsidP="006D09B4">
            <w:pPr>
              <w:rPr>
                <w:rFonts w:ascii="Arial" w:hAnsi="Arial" w:cs="Arial"/>
                <w:b/>
                <w:sz w:val="32"/>
                <w:szCs w:val="32"/>
              </w:rPr>
            </w:pPr>
          </w:p>
        </w:tc>
      </w:tr>
      <w:tr w:rsidR="006D09B4" w:rsidRPr="001E764F" w14:paraId="4E1A51D6" w14:textId="77777777" w:rsidTr="000F1CE9">
        <w:tc>
          <w:tcPr>
            <w:tcW w:w="5778" w:type="dxa"/>
          </w:tcPr>
          <w:p w14:paraId="49ED9530"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3A81386A" w14:textId="77777777" w:rsidR="006D09B4" w:rsidRPr="001E764F" w:rsidRDefault="006D09B4" w:rsidP="006D09B4">
            <w:pPr>
              <w:rPr>
                <w:rFonts w:ascii="Arial" w:hAnsi="Arial" w:cs="Arial"/>
                <w:sz w:val="32"/>
                <w:szCs w:val="32"/>
                <w:lang w:val="fr-CA"/>
              </w:rPr>
            </w:pPr>
          </w:p>
          <w:p w14:paraId="0A5E1C85" w14:textId="77777777" w:rsidR="006D09B4" w:rsidRPr="001E764F" w:rsidRDefault="006D09B4" w:rsidP="006D09B4">
            <w:pPr>
              <w:rPr>
                <w:rFonts w:ascii="Arial" w:hAnsi="Arial" w:cs="Arial"/>
                <w:sz w:val="32"/>
                <w:szCs w:val="32"/>
                <w:lang w:val="fr-CA"/>
              </w:rPr>
            </w:pPr>
          </w:p>
        </w:tc>
        <w:tc>
          <w:tcPr>
            <w:tcW w:w="3828" w:type="dxa"/>
            <w:vMerge/>
          </w:tcPr>
          <w:p w14:paraId="5778BDE8" w14:textId="77777777" w:rsidR="006D09B4" w:rsidRPr="001E764F" w:rsidRDefault="006D09B4" w:rsidP="006D09B4">
            <w:pPr>
              <w:rPr>
                <w:rFonts w:ascii="Arial" w:hAnsi="Arial" w:cs="Arial"/>
                <w:sz w:val="32"/>
                <w:szCs w:val="32"/>
                <w:lang w:val="fr-CA"/>
              </w:rPr>
            </w:pPr>
          </w:p>
        </w:tc>
      </w:tr>
    </w:tbl>
    <w:p w14:paraId="62C24F7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DDF805D" w14:textId="77777777" w:rsidTr="00657FF0">
        <w:trPr>
          <w:trHeight w:val="260"/>
        </w:trPr>
        <w:tc>
          <w:tcPr>
            <w:tcW w:w="1818" w:type="dxa"/>
            <w:shd w:val="clear" w:color="auto" w:fill="auto"/>
            <w:vAlign w:val="center"/>
          </w:tcPr>
          <w:p w14:paraId="536E6D94"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4E6EA433" w14:textId="7B1BBCA3" w:rsidR="00EA73B7" w:rsidRPr="001D67CE" w:rsidRDefault="00F1315F" w:rsidP="002159B4">
            <w:pPr>
              <w:rPr>
                <w:rFonts w:ascii="Arial" w:hAnsi="Arial" w:cs="Arial"/>
              </w:rPr>
            </w:pPr>
            <w:r>
              <w:rPr>
                <w:rFonts w:ascii="Arial" w:hAnsi="Arial" w:cs="Arial"/>
              </w:rPr>
              <w:t>April 08, 2021</w:t>
            </w:r>
          </w:p>
        </w:tc>
        <w:tc>
          <w:tcPr>
            <w:tcW w:w="1890" w:type="dxa"/>
            <w:shd w:val="clear" w:color="auto" w:fill="auto"/>
            <w:vAlign w:val="center"/>
          </w:tcPr>
          <w:p w14:paraId="059E25C7" w14:textId="7186B715"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1F1BF054" w14:textId="7E852878" w:rsidR="00EA73B7" w:rsidRPr="001E764F" w:rsidRDefault="0041577D" w:rsidP="0041577D">
            <w:pPr>
              <w:jc w:val="right"/>
              <w:rPr>
                <w:rFonts w:ascii="Arial" w:hAnsi="Arial" w:cs="Arial"/>
              </w:rPr>
            </w:pPr>
            <w:r>
              <w:rPr>
                <w:rFonts w:ascii="Arial" w:hAnsi="Arial" w:cs="Arial"/>
              </w:rPr>
              <w:t>PL140860</w:t>
            </w:r>
          </w:p>
        </w:tc>
      </w:tr>
    </w:tbl>
    <w:p w14:paraId="524C2BF4" w14:textId="70697A2B" w:rsidR="00FD395A" w:rsidRPr="00FD395A" w:rsidRDefault="00FD395A" w:rsidP="0041577D">
      <w:pPr>
        <w:jc w:val="right"/>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F89AECC" w14:textId="77777777" w:rsidTr="000F1CE9">
        <w:tc>
          <w:tcPr>
            <w:tcW w:w="9606" w:type="dxa"/>
            <w:tcBorders>
              <w:top w:val="nil"/>
              <w:left w:val="nil"/>
              <w:bottom w:val="nil"/>
              <w:right w:val="nil"/>
            </w:tcBorders>
          </w:tcPr>
          <w:p w14:paraId="4F3F0402"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20039B6F"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602"/>
        <w:gridCol w:w="6157"/>
      </w:tblGrid>
      <w:tr w:rsidR="000F1CE9" w14:paraId="409E1F2E" w14:textId="77777777" w:rsidTr="004D6E02">
        <w:trPr>
          <w:cantSplit/>
          <w:trHeight w:val="732"/>
        </w:trPr>
        <w:tc>
          <w:tcPr>
            <w:tcW w:w="9606" w:type="dxa"/>
            <w:gridSpan w:val="2"/>
          </w:tcPr>
          <w:tbl>
            <w:tblPr>
              <w:tblW w:w="10068" w:type="dxa"/>
              <w:tblLook w:val="04A0" w:firstRow="1" w:lastRow="0" w:firstColumn="1" w:lastColumn="0" w:noHBand="0" w:noVBand="1"/>
            </w:tblPr>
            <w:tblGrid>
              <w:gridCol w:w="3468"/>
              <w:gridCol w:w="6600"/>
            </w:tblGrid>
            <w:tr w:rsidR="0041577D" w:rsidRPr="0041577D" w14:paraId="4E9E0779" w14:textId="77777777" w:rsidTr="0041577D">
              <w:trPr>
                <w:cantSplit/>
                <w:trHeight w:val="732"/>
              </w:trPr>
              <w:tc>
                <w:tcPr>
                  <w:tcW w:w="10068" w:type="dxa"/>
                  <w:gridSpan w:val="2"/>
                  <w:hideMark/>
                </w:tcPr>
                <w:p w14:paraId="750F7B3B" w14:textId="77777777" w:rsidR="0041577D" w:rsidRDefault="0041577D" w:rsidP="0041577D">
                  <w:pPr>
                    <w:ind w:left="-110"/>
                    <w:rPr>
                      <w:rFonts w:ascii="Arial" w:hAnsi="Arial" w:cs="Arial"/>
                    </w:rPr>
                  </w:pPr>
                  <w:r w:rsidRPr="0041577D">
                    <w:rPr>
                      <w:rFonts w:ascii="Arial" w:hAnsi="Arial" w:cs="Arial"/>
                      <w:b/>
                    </w:rPr>
                    <w:t xml:space="preserve">PROCEEDING COMMENCED UNDER </w:t>
                  </w:r>
                  <w:r w:rsidRPr="0041577D">
                    <w:rPr>
                      <w:rFonts w:ascii="Arial" w:hAnsi="Arial" w:cs="Arial"/>
                    </w:rPr>
                    <w:t xml:space="preserve">subsection 17(36) of the </w:t>
                  </w:r>
                  <w:r w:rsidRPr="0041577D">
                    <w:rPr>
                      <w:rFonts w:ascii="Arial" w:hAnsi="Arial" w:cs="Arial"/>
                      <w:i/>
                    </w:rPr>
                    <w:t>Planning Act</w:t>
                  </w:r>
                  <w:r w:rsidRPr="0041577D">
                    <w:rPr>
                      <w:rFonts w:ascii="Arial" w:hAnsi="Arial" w:cs="Arial"/>
                    </w:rPr>
                    <w:t xml:space="preserve">, R.S.O. </w:t>
                  </w:r>
                </w:p>
                <w:p w14:paraId="50B51972" w14:textId="694E1F31" w:rsidR="0041577D" w:rsidRPr="0041577D" w:rsidRDefault="0041577D" w:rsidP="0041577D">
                  <w:pPr>
                    <w:ind w:left="-110"/>
                    <w:rPr>
                      <w:rFonts w:ascii="Arial" w:hAnsi="Arial" w:cs="Arial"/>
                      <w:lang w:val="en-CA"/>
                    </w:rPr>
                  </w:pPr>
                  <w:r w:rsidRPr="0041577D">
                    <w:rPr>
                      <w:rFonts w:ascii="Arial" w:hAnsi="Arial" w:cs="Arial"/>
                    </w:rPr>
                    <w:t>1990, c. P.13, as amended</w:t>
                  </w:r>
                </w:p>
              </w:tc>
            </w:tr>
            <w:tr w:rsidR="0041577D" w:rsidRPr="0041577D" w14:paraId="6DFA9196" w14:textId="77777777" w:rsidTr="0041577D">
              <w:tc>
                <w:tcPr>
                  <w:tcW w:w="3468" w:type="dxa"/>
                  <w:hideMark/>
                </w:tcPr>
                <w:p w14:paraId="1F919DBA" w14:textId="77777777" w:rsidR="0041577D" w:rsidRPr="0041577D" w:rsidRDefault="0041577D" w:rsidP="0041577D">
                  <w:pPr>
                    <w:ind w:left="-110"/>
                    <w:rPr>
                      <w:rFonts w:ascii="Arial" w:hAnsi="Arial" w:cs="Arial"/>
                    </w:rPr>
                  </w:pPr>
                  <w:r w:rsidRPr="0041577D">
                    <w:rPr>
                      <w:rFonts w:ascii="Arial" w:hAnsi="Arial" w:cs="Arial"/>
                    </w:rPr>
                    <w:t>Appellant:</w:t>
                  </w:r>
                </w:p>
              </w:tc>
              <w:tc>
                <w:tcPr>
                  <w:tcW w:w="6600" w:type="dxa"/>
                  <w:hideMark/>
                </w:tcPr>
                <w:p w14:paraId="305CAA35" w14:textId="77777777" w:rsidR="0041577D" w:rsidRPr="0041577D" w:rsidRDefault="0041577D" w:rsidP="0041577D">
                  <w:pPr>
                    <w:ind w:left="389"/>
                    <w:rPr>
                      <w:rFonts w:ascii="Arial" w:hAnsi="Arial" w:cs="Arial"/>
                    </w:rPr>
                  </w:pPr>
                  <w:r w:rsidRPr="0041577D">
                    <w:rPr>
                      <w:rFonts w:ascii="Arial" w:hAnsi="Arial" w:cs="Arial"/>
                    </w:rPr>
                    <w:t>10 QEW Inc. et. al.</w:t>
                  </w:r>
                </w:p>
              </w:tc>
            </w:tr>
            <w:tr w:rsidR="0041577D" w:rsidRPr="0041577D" w14:paraId="6AFD48F9" w14:textId="77777777" w:rsidTr="0041577D">
              <w:tc>
                <w:tcPr>
                  <w:tcW w:w="3468" w:type="dxa"/>
                  <w:hideMark/>
                </w:tcPr>
                <w:p w14:paraId="40B01BA2" w14:textId="77777777" w:rsidR="0041577D" w:rsidRPr="0041577D" w:rsidRDefault="0041577D" w:rsidP="0041577D">
                  <w:pPr>
                    <w:ind w:left="-110"/>
                    <w:rPr>
                      <w:rFonts w:ascii="Arial" w:hAnsi="Arial" w:cs="Arial"/>
                    </w:rPr>
                  </w:pPr>
                  <w:r w:rsidRPr="0041577D">
                    <w:rPr>
                      <w:rFonts w:ascii="Arial" w:hAnsi="Arial" w:cs="Arial"/>
                    </w:rPr>
                    <w:t>Subject:</w:t>
                  </w:r>
                </w:p>
              </w:tc>
              <w:tc>
                <w:tcPr>
                  <w:tcW w:w="6600" w:type="dxa"/>
                  <w:hideMark/>
                </w:tcPr>
                <w:p w14:paraId="3F20DE4F" w14:textId="77777777" w:rsidR="0041577D" w:rsidRPr="0041577D" w:rsidRDefault="0041577D" w:rsidP="0041577D">
                  <w:pPr>
                    <w:ind w:left="389"/>
                    <w:rPr>
                      <w:rFonts w:ascii="Arial" w:hAnsi="Arial" w:cs="Arial"/>
                    </w:rPr>
                  </w:pPr>
                  <w:r w:rsidRPr="0041577D">
                    <w:rPr>
                      <w:rFonts w:ascii="Arial" w:hAnsi="Arial" w:cs="Arial"/>
                    </w:rPr>
                    <w:t>Proposed Official Plan Amendment No. 231</w:t>
                  </w:r>
                </w:p>
              </w:tc>
            </w:tr>
            <w:tr w:rsidR="0041577D" w:rsidRPr="0041577D" w14:paraId="4F87E777" w14:textId="77777777" w:rsidTr="0041577D">
              <w:tc>
                <w:tcPr>
                  <w:tcW w:w="3468" w:type="dxa"/>
                  <w:hideMark/>
                </w:tcPr>
                <w:p w14:paraId="11E57537" w14:textId="77777777" w:rsidR="0041577D" w:rsidRPr="0041577D" w:rsidRDefault="0041577D" w:rsidP="0041577D">
                  <w:pPr>
                    <w:ind w:left="-110"/>
                    <w:rPr>
                      <w:rFonts w:ascii="Arial" w:hAnsi="Arial" w:cs="Arial"/>
                    </w:rPr>
                  </w:pPr>
                  <w:r w:rsidRPr="0041577D">
                    <w:rPr>
                      <w:rFonts w:ascii="Arial" w:hAnsi="Arial" w:cs="Arial"/>
                    </w:rPr>
                    <w:t xml:space="preserve">Municipality: </w:t>
                  </w:r>
                </w:p>
              </w:tc>
              <w:tc>
                <w:tcPr>
                  <w:tcW w:w="6600" w:type="dxa"/>
                  <w:hideMark/>
                </w:tcPr>
                <w:p w14:paraId="2ACE8318" w14:textId="77777777" w:rsidR="0041577D" w:rsidRPr="0041577D" w:rsidRDefault="0041577D" w:rsidP="0041577D">
                  <w:pPr>
                    <w:ind w:left="389"/>
                    <w:rPr>
                      <w:rFonts w:ascii="Arial" w:hAnsi="Arial" w:cs="Arial"/>
                    </w:rPr>
                  </w:pPr>
                  <w:r w:rsidRPr="0041577D">
                    <w:rPr>
                      <w:rFonts w:ascii="Arial" w:hAnsi="Arial" w:cs="Arial"/>
                    </w:rPr>
                    <w:t>City of Toronto</w:t>
                  </w:r>
                </w:p>
              </w:tc>
            </w:tr>
            <w:tr w:rsidR="0041577D" w:rsidRPr="0041577D" w14:paraId="63879722" w14:textId="77777777" w:rsidTr="0041577D">
              <w:tc>
                <w:tcPr>
                  <w:tcW w:w="3468" w:type="dxa"/>
                  <w:hideMark/>
                </w:tcPr>
                <w:p w14:paraId="2BC79F77" w14:textId="77777777" w:rsidR="0041577D" w:rsidRPr="0041577D" w:rsidRDefault="0041577D" w:rsidP="0041577D">
                  <w:pPr>
                    <w:ind w:left="-110"/>
                    <w:rPr>
                      <w:rFonts w:ascii="Arial" w:hAnsi="Arial" w:cs="Arial"/>
                    </w:rPr>
                  </w:pPr>
                  <w:r w:rsidRPr="0041577D">
                    <w:rPr>
                      <w:rFonts w:ascii="Arial" w:hAnsi="Arial" w:cs="Arial"/>
                    </w:rPr>
                    <w:t xml:space="preserve">OMB Case No.: </w:t>
                  </w:r>
                </w:p>
              </w:tc>
              <w:tc>
                <w:tcPr>
                  <w:tcW w:w="6600" w:type="dxa"/>
                  <w:hideMark/>
                </w:tcPr>
                <w:p w14:paraId="243D6CE7" w14:textId="77777777" w:rsidR="0041577D" w:rsidRPr="0041577D" w:rsidRDefault="0041577D" w:rsidP="0041577D">
                  <w:pPr>
                    <w:ind w:left="389"/>
                    <w:rPr>
                      <w:rFonts w:ascii="Arial" w:hAnsi="Arial" w:cs="Arial"/>
                    </w:rPr>
                  </w:pPr>
                  <w:r w:rsidRPr="0041577D">
                    <w:rPr>
                      <w:rFonts w:ascii="Arial" w:hAnsi="Arial" w:cs="Arial"/>
                    </w:rPr>
                    <w:t>PL140860</w:t>
                  </w:r>
                </w:p>
              </w:tc>
            </w:tr>
            <w:tr w:rsidR="0041577D" w:rsidRPr="0041577D" w14:paraId="11440159" w14:textId="77777777" w:rsidTr="0041577D">
              <w:tc>
                <w:tcPr>
                  <w:tcW w:w="3468" w:type="dxa"/>
                  <w:hideMark/>
                </w:tcPr>
                <w:p w14:paraId="63BDDC8D" w14:textId="77777777" w:rsidR="0041577D" w:rsidRPr="0041577D" w:rsidRDefault="0041577D" w:rsidP="0041577D">
                  <w:pPr>
                    <w:ind w:left="-110"/>
                    <w:rPr>
                      <w:rFonts w:ascii="Arial" w:hAnsi="Arial" w:cs="Arial"/>
                    </w:rPr>
                  </w:pPr>
                  <w:r w:rsidRPr="0041577D">
                    <w:rPr>
                      <w:rFonts w:ascii="Arial" w:hAnsi="Arial" w:cs="Arial"/>
                    </w:rPr>
                    <w:t xml:space="preserve">OMB File No.: </w:t>
                  </w:r>
                </w:p>
                <w:p w14:paraId="05C2E7F7" w14:textId="77777777" w:rsidR="0041577D" w:rsidRPr="0041577D" w:rsidRDefault="0041577D" w:rsidP="0041577D">
                  <w:pPr>
                    <w:ind w:left="-110"/>
                    <w:rPr>
                      <w:rFonts w:ascii="Arial" w:hAnsi="Arial" w:cs="Arial"/>
                    </w:rPr>
                  </w:pPr>
                  <w:r w:rsidRPr="0041577D">
                    <w:rPr>
                      <w:rFonts w:ascii="Arial" w:hAnsi="Arial" w:cs="Arial"/>
                    </w:rPr>
                    <w:t>OMB Case Name:</w:t>
                  </w:r>
                </w:p>
              </w:tc>
              <w:tc>
                <w:tcPr>
                  <w:tcW w:w="6600" w:type="dxa"/>
                  <w:hideMark/>
                </w:tcPr>
                <w:p w14:paraId="2149A0EF" w14:textId="77777777" w:rsidR="0041577D" w:rsidRPr="0041577D" w:rsidRDefault="0041577D" w:rsidP="0041577D">
                  <w:pPr>
                    <w:ind w:left="389"/>
                    <w:rPr>
                      <w:rFonts w:ascii="Arial" w:hAnsi="Arial" w:cs="Arial"/>
                    </w:rPr>
                  </w:pPr>
                  <w:r w:rsidRPr="0041577D">
                    <w:rPr>
                      <w:rFonts w:ascii="Arial" w:hAnsi="Arial" w:cs="Arial"/>
                    </w:rPr>
                    <w:t>PL140860</w:t>
                  </w:r>
                </w:p>
                <w:p w14:paraId="20AFBF20" w14:textId="77777777" w:rsidR="0041577D" w:rsidRPr="0041577D" w:rsidRDefault="0041577D" w:rsidP="0041577D">
                  <w:pPr>
                    <w:ind w:left="389"/>
                    <w:rPr>
                      <w:rFonts w:ascii="Arial" w:hAnsi="Arial" w:cs="Arial"/>
                    </w:rPr>
                  </w:pPr>
                  <w:bookmarkStart w:id="1" w:name="_GoBack"/>
                  <w:r w:rsidRPr="0041577D">
                    <w:rPr>
                      <w:rFonts w:ascii="Arial" w:hAnsi="Arial" w:cs="Arial"/>
                    </w:rPr>
                    <w:t xml:space="preserve">A. </w:t>
                  </w:r>
                  <w:proofErr w:type="spellStart"/>
                  <w:r w:rsidRPr="0041577D">
                    <w:rPr>
                      <w:rFonts w:ascii="Arial" w:hAnsi="Arial" w:cs="Arial"/>
                    </w:rPr>
                    <w:t>Mantella</w:t>
                  </w:r>
                  <w:proofErr w:type="spellEnd"/>
                  <w:r w:rsidRPr="0041577D">
                    <w:rPr>
                      <w:rFonts w:ascii="Arial" w:hAnsi="Arial" w:cs="Arial"/>
                    </w:rPr>
                    <w:t xml:space="preserve"> &amp; Sons Limited v. Toronto (City)</w:t>
                  </w:r>
                  <w:bookmarkEnd w:id="1"/>
                </w:p>
              </w:tc>
            </w:tr>
          </w:tbl>
          <w:p w14:paraId="456EA433" w14:textId="67DA3F5E" w:rsidR="000F1CE9" w:rsidRPr="0041577D" w:rsidRDefault="000F1CE9">
            <w:pPr>
              <w:rPr>
                <w:rFonts w:ascii="Arial" w:hAnsi="Arial" w:cs="Arial"/>
              </w:rPr>
            </w:pPr>
          </w:p>
        </w:tc>
      </w:tr>
      <w:tr w:rsidR="000F1CE9" w14:paraId="57109A1C" w14:textId="77777777" w:rsidTr="004D6E02">
        <w:tc>
          <w:tcPr>
            <w:tcW w:w="3468" w:type="dxa"/>
          </w:tcPr>
          <w:p w14:paraId="0D1EFBB6" w14:textId="77777777" w:rsidR="00657FF0" w:rsidRPr="000F1CE9" w:rsidRDefault="00657FF0">
            <w:pPr>
              <w:rPr>
                <w:rFonts w:ascii="Arial" w:hAnsi="Arial" w:cs="Arial"/>
              </w:rPr>
            </w:pPr>
          </w:p>
        </w:tc>
        <w:tc>
          <w:tcPr>
            <w:tcW w:w="6138" w:type="dxa"/>
          </w:tcPr>
          <w:p w14:paraId="78AB19FB" w14:textId="77777777" w:rsidR="000F1CE9" w:rsidRPr="000F1CE9" w:rsidRDefault="000F1CE9" w:rsidP="000F1CE9">
            <w:pPr>
              <w:ind w:left="785"/>
              <w:rPr>
                <w:rFonts w:ascii="Arial" w:hAnsi="Arial" w:cs="Arial"/>
              </w:rPr>
            </w:pPr>
          </w:p>
        </w:tc>
      </w:tr>
    </w:tbl>
    <w:p w14:paraId="1260777C" w14:textId="2D59F217" w:rsidR="00F3716B" w:rsidRDefault="00F3716B" w:rsidP="00F3716B">
      <w:pPr>
        <w:ind w:left="142"/>
        <w:rPr>
          <w:rFonts w:ascii="Arial" w:hAnsi="Arial" w:cs="Arial"/>
        </w:rPr>
      </w:pPr>
      <w:r>
        <w:rPr>
          <w:rFonts w:ascii="Arial" w:hAnsi="Arial" w:cs="Arial"/>
          <w:b/>
        </w:rPr>
        <w:t xml:space="preserve">PROCEEDING COMMENCED UNDER </w:t>
      </w:r>
      <w:r>
        <w:rPr>
          <w:rFonts w:ascii="Arial" w:hAnsi="Arial" w:cs="Arial"/>
        </w:rPr>
        <w:t xml:space="preserve">subsection 17(36) of the </w:t>
      </w:r>
      <w:r>
        <w:rPr>
          <w:rFonts w:ascii="Arial" w:hAnsi="Arial" w:cs="Arial"/>
          <w:i/>
        </w:rPr>
        <w:t>Planning Act</w:t>
      </w:r>
      <w:r>
        <w:rPr>
          <w:rFonts w:ascii="Arial" w:hAnsi="Arial" w:cs="Arial"/>
        </w:rPr>
        <w:t>, R.S.O.    1990, c. P.13, as amended</w:t>
      </w:r>
    </w:p>
    <w:p w14:paraId="19D48121" w14:textId="77777777" w:rsidR="00F3716B" w:rsidRDefault="00F3716B" w:rsidP="00F3716B">
      <w:pPr>
        <w:rPr>
          <w:rFonts w:ascii="Arial" w:hAnsi="Arial" w:cs="Arial"/>
        </w:rPr>
      </w:pPr>
    </w:p>
    <w:p w14:paraId="086A817E" w14:textId="1391B94A" w:rsidR="00F3716B" w:rsidRPr="00BB40CF" w:rsidRDefault="00F3716B" w:rsidP="00F3716B">
      <w:pPr>
        <w:tabs>
          <w:tab w:val="left" w:pos="3468"/>
          <w:tab w:val="left" w:pos="4230"/>
        </w:tabs>
        <w:ind w:left="142"/>
        <w:rPr>
          <w:rFonts w:ascii="Arial" w:hAnsi="Arial" w:cs="Arial"/>
        </w:rPr>
      </w:pPr>
      <w:r w:rsidRPr="00BB40CF">
        <w:rPr>
          <w:rFonts w:ascii="Arial" w:hAnsi="Arial" w:cs="Arial"/>
        </w:rPr>
        <w:t>Appellant:</w:t>
      </w:r>
      <w:r w:rsidRPr="00BB40CF">
        <w:rPr>
          <w:rFonts w:ascii="Arial" w:hAnsi="Arial" w:cs="Arial"/>
        </w:rPr>
        <w:tab/>
      </w:r>
      <w:r>
        <w:rPr>
          <w:rFonts w:ascii="Arial" w:hAnsi="Arial" w:cs="Arial"/>
        </w:rPr>
        <w:t xml:space="preserve">         Multiple Appellants</w:t>
      </w:r>
    </w:p>
    <w:p w14:paraId="78F68295" w14:textId="27E284A2" w:rsidR="00F3716B" w:rsidRDefault="00F3716B" w:rsidP="00F3716B">
      <w:pPr>
        <w:tabs>
          <w:tab w:val="left" w:pos="3468"/>
        </w:tabs>
        <w:ind w:left="142"/>
        <w:rPr>
          <w:rFonts w:ascii="Arial" w:hAnsi="Arial" w:cs="Arial"/>
        </w:rPr>
      </w:pPr>
      <w:r>
        <w:rPr>
          <w:rFonts w:ascii="Arial" w:hAnsi="Arial" w:cs="Arial"/>
        </w:rPr>
        <w:t>Subject:</w:t>
      </w:r>
      <w:r>
        <w:rPr>
          <w:rFonts w:ascii="Arial" w:hAnsi="Arial" w:cs="Arial"/>
        </w:rPr>
        <w:tab/>
      </w:r>
      <w:r>
        <w:rPr>
          <w:rFonts w:ascii="Arial" w:hAnsi="Arial" w:cs="Arial"/>
        </w:rPr>
        <w:tab/>
        <w:t xml:space="preserve">       Proposed Official Plan Amendment No. 231</w:t>
      </w:r>
    </w:p>
    <w:p w14:paraId="23FC76BB" w14:textId="1A1FCC18" w:rsidR="00F3716B" w:rsidRDefault="00F3716B" w:rsidP="00F3716B">
      <w:pPr>
        <w:tabs>
          <w:tab w:val="left" w:pos="3468"/>
        </w:tabs>
        <w:ind w:left="142"/>
        <w:rPr>
          <w:rFonts w:ascii="Arial" w:hAnsi="Arial" w:cs="Arial"/>
        </w:rPr>
      </w:pPr>
      <w:r>
        <w:rPr>
          <w:rFonts w:ascii="Arial" w:hAnsi="Arial" w:cs="Arial"/>
        </w:rPr>
        <w:t xml:space="preserve">Municipality: </w:t>
      </w:r>
      <w:r>
        <w:rPr>
          <w:rFonts w:ascii="Arial" w:hAnsi="Arial" w:cs="Arial"/>
        </w:rPr>
        <w:tab/>
      </w:r>
      <w:r>
        <w:rPr>
          <w:rFonts w:ascii="Arial" w:hAnsi="Arial" w:cs="Arial"/>
        </w:rPr>
        <w:tab/>
        <w:t xml:space="preserve">       City of Toronto</w:t>
      </w:r>
    </w:p>
    <w:p w14:paraId="2763AD4A" w14:textId="206A6842" w:rsidR="00F3716B" w:rsidRDefault="00F3716B" w:rsidP="00F3716B">
      <w:pPr>
        <w:tabs>
          <w:tab w:val="left" w:pos="3468"/>
        </w:tabs>
        <w:ind w:left="142"/>
        <w:rPr>
          <w:rFonts w:ascii="Arial" w:hAnsi="Arial" w:cs="Arial"/>
        </w:rPr>
      </w:pPr>
      <w:r>
        <w:rPr>
          <w:rFonts w:ascii="Arial" w:hAnsi="Arial" w:cs="Arial"/>
        </w:rPr>
        <w:t xml:space="preserve">OMB Case No.: </w:t>
      </w:r>
      <w:r>
        <w:rPr>
          <w:rFonts w:ascii="Arial" w:hAnsi="Arial" w:cs="Arial"/>
        </w:rPr>
        <w:tab/>
      </w:r>
      <w:r>
        <w:rPr>
          <w:rFonts w:ascii="Arial" w:hAnsi="Arial" w:cs="Arial"/>
        </w:rPr>
        <w:tab/>
        <w:t xml:space="preserve">       PL140860</w:t>
      </w:r>
    </w:p>
    <w:p w14:paraId="35FBC30E" w14:textId="0F455743" w:rsidR="00F3716B" w:rsidRDefault="00F3716B" w:rsidP="00F3716B">
      <w:pPr>
        <w:ind w:left="142"/>
        <w:rPr>
          <w:rFonts w:ascii="Arial" w:hAnsi="Arial" w:cs="Arial"/>
        </w:rPr>
      </w:pPr>
      <w:r>
        <w:rPr>
          <w:rFonts w:ascii="Arial" w:hAnsi="Arial" w:cs="Arial"/>
        </w:rPr>
        <w:t xml:space="preserve">OMB File No.: </w:t>
      </w:r>
      <w:r>
        <w:rPr>
          <w:rFonts w:ascii="Arial" w:hAnsi="Arial" w:cs="Arial"/>
        </w:rPr>
        <w:tab/>
      </w:r>
      <w:r>
        <w:rPr>
          <w:rFonts w:ascii="Arial" w:hAnsi="Arial" w:cs="Arial"/>
        </w:rPr>
        <w:tab/>
      </w:r>
      <w:r>
        <w:rPr>
          <w:rFonts w:ascii="Arial" w:hAnsi="Arial" w:cs="Arial"/>
        </w:rPr>
        <w:tab/>
        <w:t xml:space="preserve">       PL140860</w:t>
      </w:r>
    </w:p>
    <w:p w14:paraId="1676BB64" w14:textId="449467D8" w:rsidR="00F3716B" w:rsidRDefault="00F3716B" w:rsidP="00F3716B">
      <w:pPr>
        <w:ind w:left="142" w:right="-1283"/>
        <w:rPr>
          <w:rFonts w:ascii="Arial" w:hAnsi="Arial" w:cs="Arial"/>
        </w:rPr>
      </w:pPr>
      <w:r>
        <w:rPr>
          <w:rFonts w:ascii="Arial" w:hAnsi="Arial" w:cs="Arial"/>
        </w:rPr>
        <w:t>OMB Case Name:</w:t>
      </w:r>
      <w:r>
        <w:rPr>
          <w:rFonts w:ascii="Arial" w:hAnsi="Arial" w:cs="Arial"/>
        </w:rPr>
        <w:tab/>
      </w:r>
      <w:r>
        <w:rPr>
          <w:rFonts w:ascii="Arial" w:hAnsi="Arial" w:cs="Arial"/>
        </w:rPr>
        <w:tab/>
      </w:r>
      <w:r>
        <w:rPr>
          <w:rFonts w:ascii="Arial" w:hAnsi="Arial" w:cs="Arial"/>
        </w:rPr>
        <w:tab/>
        <w:t xml:space="preserve">       A. </w:t>
      </w:r>
      <w:proofErr w:type="spellStart"/>
      <w:r>
        <w:rPr>
          <w:rFonts w:ascii="Arial" w:hAnsi="Arial" w:cs="Arial"/>
        </w:rPr>
        <w:t>Mantella</w:t>
      </w:r>
      <w:proofErr w:type="spellEnd"/>
      <w:r>
        <w:rPr>
          <w:rFonts w:ascii="Arial" w:hAnsi="Arial" w:cs="Arial"/>
        </w:rPr>
        <w:t xml:space="preserve"> &amp; Sons Limited v. Toronto (City)</w:t>
      </w:r>
    </w:p>
    <w:p w14:paraId="63FFB3DB" w14:textId="77777777" w:rsidR="00F3716B" w:rsidRDefault="00F3716B" w:rsidP="00F3716B">
      <w:pPr>
        <w:rPr>
          <w:rFonts w:ascii="Arial" w:hAnsi="Arial" w:cs="Arial"/>
          <w:sz w:val="22"/>
        </w:rPr>
      </w:pPr>
    </w:p>
    <w:tbl>
      <w:tblPr>
        <w:tblW w:w="0" w:type="auto"/>
        <w:tblInd w:w="-108" w:type="dxa"/>
        <w:tblLook w:val="0000" w:firstRow="0" w:lastRow="0" w:firstColumn="0" w:lastColumn="0" w:noHBand="0" w:noVBand="0"/>
      </w:tblPr>
      <w:tblGrid>
        <w:gridCol w:w="108"/>
        <w:gridCol w:w="3240"/>
        <w:gridCol w:w="108"/>
        <w:gridCol w:w="5400"/>
        <w:gridCol w:w="108"/>
      </w:tblGrid>
      <w:tr w:rsidR="00F3716B" w:rsidRPr="005E3387" w14:paraId="58CA56C9" w14:textId="77777777" w:rsidTr="00F3716B">
        <w:trPr>
          <w:gridBefore w:val="1"/>
          <w:wBefore w:w="108" w:type="dxa"/>
          <w:trHeight w:val="732"/>
        </w:trPr>
        <w:tc>
          <w:tcPr>
            <w:tcW w:w="8856" w:type="dxa"/>
            <w:gridSpan w:val="4"/>
          </w:tcPr>
          <w:p w14:paraId="54A3983D" w14:textId="77777777" w:rsidR="00F3716B" w:rsidRDefault="00F3716B" w:rsidP="00F3716B">
            <w:pPr>
              <w:rPr>
                <w:rFonts w:ascii="Arial" w:hAnsi="Arial" w:cs="Arial"/>
                <w:b/>
              </w:rPr>
            </w:pPr>
          </w:p>
          <w:p w14:paraId="231431E1" w14:textId="77777777" w:rsidR="00F3716B" w:rsidRPr="005E3387" w:rsidRDefault="00F3716B" w:rsidP="00F3716B">
            <w:pPr>
              <w:rPr>
                <w:rFonts w:ascii="Arial" w:hAnsi="Arial" w:cs="Arial"/>
              </w:rPr>
            </w:pPr>
            <w:r w:rsidRPr="005E3387">
              <w:rPr>
                <w:rFonts w:ascii="Arial" w:hAnsi="Arial" w:cs="Arial"/>
                <w:b/>
              </w:rPr>
              <w:t xml:space="preserve">PROCEEDING COMMENCED UNDER </w:t>
            </w:r>
            <w:r w:rsidRPr="005E3387">
              <w:rPr>
                <w:rFonts w:ascii="Arial" w:hAnsi="Arial" w:cs="Arial"/>
              </w:rPr>
              <w:t xml:space="preserve">subsection 31(2) of the </w:t>
            </w:r>
            <w:r w:rsidRPr="005E3387">
              <w:rPr>
                <w:rFonts w:ascii="Arial" w:hAnsi="Arial" w:cs="Arial"/>
                <w:i/>
              </w:rPr>
              <w:t xml:space="preserve">Local Planning Appeal Tribunal Act, </w:t>
            </w:r>
            <w:r w:rsidRPr="005E3387">
              <w:rPr>
                <w:rFonts w:ascii="Arial" w:hAnsi="Arial" w:cs="Arial"/>
              </w:rPr>
              <w:t>S.O. 2017, c. 23, Sched. 1, as amended</w:t>
            </w:r>
          </w:p>
        </w:tc>
      </w:tr>
      <w:tr w:rsidR="00F3716B" w:rsidRPr="005E3387" w14:paraId="213705C1" w14:textId="77777777" w:rsidTr="00F3716B">
        <w:trPr>
          <w:gridBefore w:val="1"/>
          <w:wBefore w:w="108" w:type="dxa"/>
        </w:trPr>
        <w:tc>
          <w:tcPr>
            <w:tcW w:w="3348" w:type="dxa"/>
            <w:gridSpan w:val="2"/>
          </w:tcPr>
          <w:p w14:paraId="657032E3" w14:textId="77777777" w:rsidR="00F3716B" w:rsidRDefault="00F3716B" w:rsidP="00F3716B">
            <w:pPr>
              <w:rPr>
                <w:rFonts w:ascii="Arial" w:hAnsi="Arial" w:cs="Arial"/>
              </w:rPr>
            </w:pPr>
          </w:p>
          <w:p w14:paraId="1C5D0E73" w14:textId="77777777" w:rsidR="00F3716B" w:rsidRPr="005E3387" w:rsidRDefault="00F3716B" w:rsidP="00F3716B">
            <w:pPr>
              <w:rPr>
                <w:rFonts w:ascii="Arial" w:hAnsi="Arial" w:cs="Arial"/>
              </w:rPr>
            </w:pPr>
            <w:r w:rsidRPr="005E3387">
              <w:rPr>
                <w:rFonts w:ascii="Arial" w:hAnsi="Arial" w:cs="Arial"/>
              </w:rPr>
              <w:t>Motion By:</w:t>
            </w:r>
          </w:p>
        </w:tc>
        <w:tc>
          <w:tcPr>
            <w:tcW w:w="5508" w:type="dxa"/>
            <w:gridSpan w:val="2"/>
          </w:tcPr>
          <w:p w14:paraId="39001F67" w14:textId="77777777" w:rsidR="00F3716B" w:rsidRDefault="00F3716B" w:rsidP="00F3716B">
            <w:pPr>
              <w:spacing w:line="256" w:lineRule="auto"/>
              <w:ind w:firstLine="509"/>
              <w:rPr>
                <w:rFonts w:ascii="Arial" w:hAnsi="Arial" w:cs="Arial"/>
              </w:rPr>
            </w:pPr>
          </w:p>
          <w:p w14:paraId="54C19326" w14:textId="77777777" w:rsidR="00F3716B" w:rsidRPr="005E3387" w:rsidRDefault="00F3716B" w:rsidP="00F3716B">
            <w:pPr>
              <w:spacing w:line="256" w:lineRule="auto"/>
              <w:ind w:firstLine="509"/>
              <w:rPr>
                <w:rFonts w:ascii="Arial" w:hAnsi="Arial" w:cs="Arial"/>
              </w:rPr>
            </w:pPr>
            <w:r>
              <w:rPr>
                <w:rFonts w:ascii="Arial" w:hAnsi="Arial" w:cs="Arial"/>
              </w:rPr>
              <w:t>City of Toronto</w:t>
            </w:r>
          </w:p>
        </w:tc>
      </w:tr>
      <w:tr w:rsidR="00F3716B" w:rsidRPr="005E3387" w14:paraId="6CD3C487" w14:textId="77777777" w:rsidTr="00F3716B">
        <w:trPr>
          <w:gridBefore w:val="1"/>
          <w:wBefore w:w="108" w:type="dxa"/>
        </w:trPr>
        <w:tc>
          <w:tcPr>
            <w:tcW w:w="3348" w:type="dxa"/>
            <w:gridSpan w:val="2"/>
          </w:tcPr>
          <w:p w14:paraId="56E474A2" w14:textId="77777777" w:rsidR="00F3716B" w:rsidRPr="005E3387" w:rsidRDefault="00F3716B" w:rsidP="00F3716B">
            <w:pPr>
              <w:rPr>
                <w:rFonts w:ascii="Arial" w:hAnsi="Arial" w:cs="Arial"/>
              </w:rPr>
            </w:pPr>
            <w:r w:rsidRPr="005E3387">
              <w:rPr>
                <w:rFonts w:ascii="Arial" w:hAnsi="Arial" w:cs="Arial"/>
              </w:rPr>
              <w:t>Purpose of Motion:</w:t>
            </w:r>
          </w:p>
        </w:tc>
        <w:tc>
          <w:tcPr>
            <w:tcW w:w="5508" w:type="dxa"/>
            <w:gridSpan w:val="2"/>
          </w:tcPr>
          <w:p w14:paraId="155B5B8C" w14:textId="77777777" w:rsidR="00F3716B" w:rsidRPr="005E3387" w:rsidRDefault="00F3716B" w:rsidP="00F3716B">
            <w:pPr>
              <w:ind w:firstLine="509"/>
              <w:rPr>
                <w:rFonts w:ascii="Arial" w:hAnsi="Arial" w:cs="Arial"/>
              </w:rPr>
            </w:pPr>
            <w:r>
              <w:rPr>
                <w:rFonts w:ascii="Arial" w:hAnsi="Arial" w:cs="Arial"/>
              </w:rPr>
              <w:t>Settlement Order</w:t>
            </w:r>
          </w:p>
        </w:tc>
      </w:tr>
      <w:tr w:rsidR="00F3716B" w:rsidRPr="005E3387" w14:paraId="710E2335" w14:textId="77777777" w:rsidTr="00F3716B">
        <w:trPr>
          <w:gridBefore w:val="1"/>
          <w:wBefore w:w="108" w:type="dxa"/>
        </w:trPr>
        <w:tc>
          <w:tcPr>
            <w:tcW w:w="3348" w:type="dxa"/>
            <w:gridSpan w:val="2"/>
          </w:tcPr>
          <w:p w14:paraId="13275180" w14:textId="77777777" w:rsidR="00F3716B" w:rsidRPr="005E3387" w:rsidRDefault="00F3716B" w:rsidP="00F3716B">
            <w:pPr>
              <w:rPr>
                <w:rFonts w:ascii="Arial" w:hAnsi="Arial" w:cs="Arial"/>
              </w:rPr>
            </w:pPr>
            <w:r w:rsidRPr="005E3387">
              <w:rPr>
                <w:rFonts w:ascii="Arial" w:hAnsi="Arial" w:cs="Arial"/>
              </w:rPr>
              <w:t>Property Address/Description:</w:t>
            </w:r>
          </w:p>
        </w:tc>
        <w:tc>
          <w:tcPr>
            <w:tcW w:w="5508" w:type="dxa"/>
            <w:gridSpan w:val="2"/>
          </w:tcPr>
          <w:p w14:paraId="666E690C" w14:textId="77777777" w:rsidR="00F3716B" w:rsidRDefault="00F3716B" w:rsidP="00F3716B">
            <w:pPr>
              <w:ind w:firstLine="509"/>
              <w:rPr>
                <w:rFonts w:ascii="Arial" w:hAnsi="Arial" w:cs="Arial"/>
              </w:rPr>
            </w:pPr>
            <w:r>
              <w:rPr>
                <w:rFonts w:ascii="Arial" w:hAnsi="Arial" w:cs="Arial"/>
              </w:rPr>
              <w:t>459 Eastern Avenue</w:t>
            </w:r>
          </w:p>
          <w:p w14:paraId="34C0F17D" w14:textId="0573DEA1" w:rsidR="00F3716B" w:rsidRDefault="00F3716B" w:rsidP="00F3716B">
            <w:pPr>
              <w:ind w:firstLine="509"/>
              <w:rPr>
                <w:rFonts w:ascii="Arial" w:hAnsi="Arial" w:cs="Arial"/>
              </w:rPr>
            </w:pPr>
            <w:r>
              <w:rPr>
                <w:rFonts w:ascii="Arial" w:hAnsi="Arial" w:cs="Arial"/>
              </w:rPr>
              <w:t>6 Lloyd Avenue et al</w:t>
            </w:r>
          </w:p>
          <w:p w14:paraId="68FD131D" w14:textId="77777777" w:rsidR="00F3716B" w:rsidRDefault="00F3716B" w:rsidP="00F3716B">
            <w:pPr>
              <w:ind w:firstLine="509"/>
              <w:rPr>
                <w:rFonts w:ascii="Arial" w:hAnsi="Arial" w:cs="Arial"/>
              </w:rPr>
            </w:pPr>
            <w:r>
              <w:rPr>
                <w:rFonts w:ascii="Arial" w:hAnsi="Arial" w:cs="Arial"/>
              </w:rPr>
              <w:t>85 Hanna Avenue</w:t>
            </w:r>
          </w:p>
          <w:p w14:paraId="4FD31D0C" w14:textId="77777777" w:rsidR="00F3716B" w:rsidRPr="005E3387" w:rsidRDefault="00F3716B" w:rsidP="00F3716B">
            <w:pPr>
              <w:ind w:firstLine="509"/>
              <w:rPr>
                <w:rFonts w:ascii="Arial" w:hAnsi="Arial" w:cs="Arial"/>
              </w:rPr>
            </w:pPr>
            <w:r>
              <w:rPr>
                <w:rFonts w:ascii="Arial" w:hAnsi="Arial" w:cs="Arial"/>
              </w:rPr>
              <w:t>Downsview Area Secondary Plan</w:t>
            </w:r>
          </w:p>
        </w:tc>
      </w:tr>
      <w:tr w:rsidR="00F3716B" w:rsidRPr="005E3387" w14:paraId="5BB09EE5" w14:textId="77777777" w:rsidTr="00F3716B">
        <w:trPr>
          <w:gridBefore w:val="1"/>
          <w:wBefore w:w="108" w:type="dxa"/>
        </w:trPr>
        <w:tc>
          <w:tcPr>
            <w:tcW w:w="3348" w:type="dxa"/>
            <w:gridSpan w:val="2"/>
          </w:tcPr>
          <w:p w14:paraId="46699DE4" w14:textId="77777777" w:rsidR="00F3716B" w:rsidRPr="005E3387" w:rsidRDefault="00F3716B" w:rsidP="00F3716B">
            <w:pPr>
              <w:rPr>
                <w:rFonts w:ascii="Arial" w:hAnsi="Arial" w:cs="Arial"/>
              </w:rPr>
            </w:pPr>
            <w:r w:rsidRPr="005E3387">
              <w:rPr>
                <w:rFonts w:ascii="Arial" w:hAnsi="Arial" w:cs="Arial"/>
              </w:rPr>
              <w:t xml:space="preserve">Municipality: </w:t>
            </w:r>
          </w:p>
        </w:tc>
        <w:tc>
          <w:tcPr>
            <w:tcW w:w="5508" w:type="dxa"/>
            <w:gridSpan w:val="2"/>
          </w:tcPr>
          <w:p w14:paraId="5CDB148F" w14:textId="77777777" w:rsidR="00F3716B" w:rsidRPr="005E3387" w:rsidRDefault="00F3716B" w:rsidP="00F3716B">
            <w:pPr>
              <w:ind w:firstLine="509"/>
              <w:rPr>
                <w:rFonts w:ascii="Arial" w:hAnsi="Arial" w:cs="Arial"/>
              </w:rPr>
            </w:pPr>
            <w:r w:rsidRPr="005E3387">
              <w:rPr>
                <w:rFonts w:ascii="Arial" w:hAnsi="Arial" w:cs="Arial"/>
              </w:rPr>
              <w:t>City of Toronto</w:t>
            </w:r>
          </w:p>
        </w:tc>
      </w:tr>
      <w:tr w:rsidR="00F3716B" w:rsidRPr="005E3387" w14:paraId="0657AA41" w14:textId="77777777" w:rsidTr="00F3716B">
        <w:trPr>
          <w:gridBefore w:val="1"/>
          <w:wBefore w:w="108" w:type="dxa"/>
        </w:trPr>
        <w:tc>
          <w:tcPr>
            <w:tcW w:w="3348" w:type="dxa"/>
            <w:gridSpan w:val="2"/>
          </w:tcPr>
          <w:p w14:paraId="21CC9514" w14:textId="77777777" w:rsidR="00F3716B" w:rsidRPr="005E3387" w:rsidRDefault="00F3716B" w:rsidP="00F3716B">
            <w:pPr>
              <w:rPr>
                <w:rFonts w:ascii="Arial" w:hAnsi="Arial" w:cs="Arial"/>
              </w:rPr>
            </w:pPr>
            <w:r w:rsidRPr="005E3387">
              <w:rPr>
                <w:rFonts w:ascii="Arial" w:hAnsi="Arial" w:cs="Arial"/>
              </w:rPr>
              <w:t xml:space="preserve">LPAT Case No.: </w:t>
            </w:r>
          </w:p>
        </w:tc>
        <w:tc>
          <w:tcPr>
            <w:tcW w:w="5508" w:type="dxa"/>
            <w:gridSpan w:val="2"/>
          </w:tcPr>
          <w:p w14:paraId="407FEA98" w14:textId="77777777" w:rsidR="00F3716B" w:rsidRPr="005E3387" w:rsidRDefault="00F3716B" w:rsidP="00F3716B">
            <w:pPr>
              <w:ind w:firstLine="509"/>
              <w:rPr>
                <w:rFonts w:ascii="Arial" w:hAnsi="Arial" w:cs="Arial"/>
              </w:rPr>
            </w:pPr>
            <w:r>
              <w:rPr>
                <w:rFonts w:ascii="Arial" w:hAnsi="Arial" w:cs="Arial"/>
              </w:rPr>
              <w:t>PL140840</w:t>
            </w:r>
          </w:p>
        </w:tc>
      </w:tr>
      <w:tr w:rsidR="00F3716B" w:rsidRPr="005E3387" w14:paraId="4342366F" w14:textId="77777777" w:rsidTr="00F3716B">
        <w:trPr>
          <w:gridBefore w:val="1"/>
          <w:wBefore w:w="108" w:type="dxa"/>
        </w:trPr>
        <w:tc>
          <w:tcPr>
            <w:tcW w:w="3348" w:type="dxa"/>
            <w:gridSpan w:val="2"/>
          </w:tcPr>
          <w:p w14:paraId="6C2B3BB4" w14:textId="77777777" w:rsidR="00F3716B" w:rsidRPr="005E3387" w:rsidRDefault="00F3716B" w:rsidP="00F3716B">
            <w:pPr>
              <w:rPr>
                <w:rFonts w:ascii="Arial" w:hAnsi="Arial" w:cs="Arial"/>
              </w:rPr>
            </w:pPr>
            <w:r w:rsidRPr="005E3387">
              <w:rPr>
                <w:rFonts w:ascii="Arial" w:hAnsi="Arial" w:cs="Arial"/>
              </w:rPr>
              <w:t xml:space="preserve">LPAT File No.: </w:t>
            </w:r>
          </w:p>
        </w:tc>
        <w:tc>
          <w:tcPr>
            <w:tcW w:w="5508" w:type="dxa"/>
            <w:gridSpan w:val="2"/>
          </w:tcPr>
          <w:p w14:paraId="519E5C27" w14:textId="77777777" w:rsidR="00F3716B" w:rsidRPr="005E3387" w:rsidRDefault="00F3716B" w:rsidP="00F3716B">
            <w:pPr>
              <w:ind w:firstLine="509"/>
              <w:rPr>
                <w:rFonts w:ascii="Arial" w:hAnsi="Arial" w:cs="Arial"/>
              </w:rPr>
            </w:pPr>
            <w:r>
              <w:rPr>
                <w:rFonts w:ascii="Arial" w:hAnsi="Arial" w:cs="Arial"/>
              </w:rPr>
              <w:t>PL140860</w:t>
            </w:r>
          </w:p>
        </w:tc>
      </w:tr>
      <w:tr w:rsidR="00F3716B" w:rsidRPr="005E3387" w14:paraId="7885BFDB" w14:textId="77777777" w:rsidTr="00F3716B">
        <w:trPr>
          <w:gridAfter w:val="1"/>
          <w:wAfter w:w="108" w:type="dxa"/>
          <w:trHeight w:val="732"/>
        </w:trPr>
        <w:tc>
          <w:tcPr>
            <w:tcW w:w="8856" w:type="dxa"/>
            <w:gridSpan w:val="4"/>
          </w:tcPr>
          <w:p w14:paraId="5EBFA0B9" w14:textId="77777777" w:rsidR="00F3716B" w:rsidRPr="005E3387" w:rsidRDefault="00F3716B" w:rsidP="00F3716B">
            <w:pPr>
              <w:ind w:left="142"/>
              <w:rPr>
                <w:rFonts w:ascii="Arial" w:hAnsi="Arial" w:cs="Arial"/>
              </w:rPr>
            </w:pPr>
            <w:r w:rsidRPr="005E3387">
              <w:rPr>
                <w:rFonts w:ascii="Arial" w:hAnsi="Arial" w:cs="Arial"/>
                <w:b/>
              </w:rPr>
              <w:lastRenderedPageBreak/>
              <w:t xml:space="preserve">PROCEEDING COMMENCED UNDER </w:t>
            </w:r>
            <w:r w:rsidRPr="005E3387">
              <w:rPr>
                <w:rFonts w:ascii="Arial" w:hAnsi="Arial" w:cs="Arial"/>
              </w:rPr>
              <w:t xml:space="preserve">subsection 31(2) of the </w:t>
            </w:r>
            <w:r w:rsidRPr="005E3387">
              <w:rPr>
                <w:rFonts w:ascii="Arial" w:hAnsi="Arial" w:cs="Arial"/>
                <w:i/>
              </w:rPr>
              <w:t xml:space="preserve">Local Planning Appeal Tribunal Act, </w:t>
            </w:r>
            <w:r w:rsidRPr="005E3387">
              <w:rPr>
                <w:rFonts w:ascii="Arial" w:hAnsi="Arial" w:cs="Arial"/>
              </w:rPr>
              <w:t>S.O. 2017, c. 23, Sched. 1, as amended</w:t>
            </w:r>
          </w:p>
        </w:tc>
      </w:tr>
      <w:tr w:rsidR="00F3716B" w:rsidRPr="005E3387" w14:paraId="3E628865" w14:textId="77777777" w:rsidTr="00F3716B">
        <w:trPr>
          <w:gridAfter w:val="1"/>
          <w:wAfter w:w="108" w:type="dxa"/>
        </w:trPr>
        <w:tc>
          <w:tcPr>
            <w:tcW w:w="3348" w:type="dxa"/>
            <w:gridSpan w:val="2"/>
          </w:tcPr>
          <w:p w14:paraId="3E1E2EEB" w14:textId="77777777" w:rsidR="00F3716B" w:rsidRDefault="00F3716B" w:rsidP="00F3716B">
            <w:pPr>
              <w:ind w:firstLine="142"/>
              <w:rPr>
                <w:rFonts w:ascii="Arial" w:hAnsi="Arial" w:cs="Arial"/>
              </w:rPr>
            </w:pPr>
          </w:p>
          <w:p w14:paraId="26FAB8AD" w14:textId="77777777" w:rsidR="00F3716B" w:rsidRPr="005E3387" w:rsidRDefault="00F3716B" w:rsidP="00F3716B">
            <w:pPr>
              <w:ind w:firstLine="142"/>
              <w:rPr>
                <w:rFonts w:ascii="Arial" w:hAnsi="Arial" w:cs="Arial"/>
              </w:rPr>
            </w:pPr>
            <w:r w:rsidRPr="005E3387">
              <w:rPr>
                <w:rFonts w:ascii="Arial" w:hAnsi="Arial" w:cs="Arial"/>
              </w:rPr>
              <w:t>Motion By:</w:t>
            </w:r>
          </w:p>
        </w:tc>
        <w:tc>
          <w:tcPr>
            <w:tcW w:w="5508" w:type="dxa"/>
            <w:gridSpan w:val="2"/>
          </w:tcPr>
          <w:p w14:paraId="7B8B8D60" w14:textId="77777777" w:rsidR="00F3716B" w:rsidRDefault="00F3716B" w:rsidP="00F3716B">
            <w:pPr>
              <w:spacing w:line="256" w:lineRule="auto"/>
              <w:ind w:left="619"/>
              <w:rPr>
                <w:rFonts w:ascii="Arial" w:hAnsi="Arial" w:cs="Arial"/>
              </w:rPr>
            </w:pPr>
          </w:p>
          <w:p w14:paraId="33BB957C" w14:textId="77777777" w:rsidR="00F3716B" w:rsidRPr="005E3387" w:rsidRDefault="00F3716B" w:rsidP="00F3716B">
            <w:pPr>
              <w:spacing w:line="256" w:lineRule="auto"/>
              <w:ind w:left="619"/>
              <w:rPr>
                <w:rFonts w:ascii="Arial" w:hAnsi="Arial" w:cs="Arial"/>
              </w:rPr>
            </w:pPr>
            <w:r>
              <w:rPr>
                <w:rFonts w:ascii="Arial" w:hAnsi="Arial" w:cs="Arial"/>
              </w:rPr>
              <w:t>City of Toronto</w:t>
            </w:r>
          </w:p>
        </w:tc>
      </w:tr>
      <w:tr w:rsidR="00F3716B" w:rsidRPr="005E3387" w14:paraId="00CD0EC3" w14:textId="77777777" w:rsidTr="00F3716B">
        <w:trPr>
          <w:gridAfter w:val="1"/>
          <w:wAfter w:w="108" w:type="dxa"/>
        </w:trPr>
        <w:tc>
          <w:tcPr>
            <w:tcW w:w="3348" w:type="dxa"/>
            <w:gridSpan w:val="2"/>
          </w:tcPr>
          <w:p w14:paraId="65175611" w14:textId="77777777" w:rsidR="00F3716B" w:rsidRPr="005E3387" w:rsidRDefault="00F3716B" w:rsidP="00F3716B">
            <w:pPr>
              <w:ind w:firstLine="142"/>
              <w:rPr>
                <w:rFonts w:ascii="Arial" w:hAnsi="Arial" w:cs="Arial"/>
              </w:rPr>
            </w:pPr>
            <w:r w:rsidRPr="005E3387">
              <w:rPr>
                <w:rFonts w:ascii="Arial" w:hAnsi="Arial" w:cs="Arial"/>
              </w:rPr>
              <w:t>Purpose of Motion:</w:t>
            </w:r>
          </w:p>
        </w:tc>
        <w:tc>
          <w:tcPr>
            <w:tcW w:w="5508" w:type="dxa"/>
            <w:gridSpan w:val="2"/>
          </w:tcPr>
          <w:p w14:paraId="4B4DC00A" w14:textId="77777777" w:rsidR="00F3716B" w:rsidRPr="005E3387" w:rsidRDefault="00F3716B" w:rsidP="00F3716B">
            <w:pPr>
              <w:ind w:left="619"/>
              <w:rPr>
                <w:rFonts w:ascii="Arial" w:hAnsi="Arial" w:cs="Arial"/>
              </w:rPr>
            </w:pPr>
            <w:r w:rsidRPr="005E3387">
              <w:rPr>
                <w:rFonts w:ascii="Arial" w:hAnsi="Arial" w:cs="Arial"/>
              </w:rPr>
              <w:t>Request for Direction and Determination</w:t>
            </w:r>
            <w:r>
              <w:rPr>
                <w:rFonts w:ascii="Arial" w:hAnsi="Arial" w:cs="Arial"/>
              </w:rPr>
              <w:t xml:space="preserve"> (Phased Hearing for Site Specific Appellants)</w:t>
            </w:r>
          </w:p>
        </w:tc>
      </w:tr>
      <w:tr w:rsidR="00F3716B" w:rsidRPr="005E3387" w14:paraId="692F816E" w14:textId="77777777" w:rsidTr="00F3716B">
        <w:trPr>
          <w:gridAfter w:val="1"/>
          <w:wAfter w:w="108" w:type="dxa"/>
        </w:trPr>
        <w:tc>
          <w:tcPr>
            <w:tcW w:w="3348" w:type="dxa"/>
            <w:gridSpan w:val="2"/>
          </w:tcPr>
          <w:p w14:paraId="55BBFB1F" w14:textId="77777777" w:rsidR="00F3716B" w:rsidRPr="005E3387" w:rsidRDefault="00F3716B" w:rsidP="00F3716B">
            <w:pPr>
              <w:ind w:firstLine="142"/>
              <w:rPr>
                <w:rFonts w:ascii="Arial" w:hAnsi="Arial" w:cs="Arial"/>
              </w:rPr>
            </w:pPr>
            <w:r w:rsidRPr="005E3387">
              <w:rPr>
                <w:rFonts w:ascii="Arial" w:hAnsi="Arial" w:cs="Arial"/>
              </w:rPr>
              <w:t xml:space="preserve">Municipality: </w:t>
            </w:r>
          </w:p>
        </w:tc>
        <w:tc>
          <w:tcPr>
            <w:tcW w:w="5508" w:type="dxa"/>
            <w:gridSpan w:val="2"/>
          </w:tcPr>
          <w:p w14:paraId="279DBB84" w14:textId="77777777" w:rsidR="00F3716B" w:rsidRPr="005E3387" w:rsidRDefault="00F3716B" w:rsidP="00F3716B">
            <w:pPr>
              <w:ind w:left="619"/>
              <w:rPr>
                <w:rFonts w:ascii="Arial" w:hAnsi="Arial" w:cs="Arial"/>
              </w:rPr>
            </w:pPr>
            <w:r w:rsidRPr="005E3387">
              <w:rPr>
                <w:rFonts w:ascii="Arial" w:hAnsi="Arial" w:cs="Arial"/>
              </w:rPr>
              <w:t>City of Toronto</w:t>
            </w:r>
          </w:p>
        </w:tc>
      </w:tr>
      <w:tr w:rsidR="00F3716B" w:rsidRPr="005E3387" w14:paraId="446E6DFF" w14:textId="77777777" w:rsidTr="00F3716B">
        <w:trPr>
          <w:gridAfter w:val="1"/>
          <w:wAfter w:w="108" w:type="dxa"/>
        </w:trPr>
        <w:tc>
          <w:tcPr>
            <w:tcW w:w="3348" w:type="dxa"/>
            <w:gridSpan w:val="2"/>
          </w:tcPr>
          <w:p w14:paraId="5E8547EE" w14:textId="77777777" w:rsidR="00F3716B" w:rsidRPr="005E3387" w:rsidRDefault="00F3716B" w:rsidP="00F3716B">
            <w:pPr>
              <w:ind w:firstLine="142"/>
              <w:rPr>
                <w:rFonts w:ascii="Arial" w:hAnsi="Arial" w:cs="Arial"/>
              </w:rPr>
            </w:pPr>
            <w:r w:rsidRPr="005E3387">
              <w:rPr>
                <w:rFonts w:ascii="Arial" w:hAnsi="Arial" w:cs="Arial"/>
              </w:rPr>
              <w:t xml:space="preserve">LPAT Case No.: </w:t>
            </w:r>
          </w:p>
        </w:tc>
        <w:tc>
          <w:tcPr>
            <w:tcW w:w="5508" w:type="dxa"/>
            <w:gridSpan w:val="2"/>
          </w:tcPr>
          <w:p w14:paraId="3A254FAD" w14:textId="77777777" w:rsidR="00F3716B" w:rsidRPr="005E3387" w:rsidRDefault="00F3716B" w:rsidP="00F3716B">
            <w:pPr>
              <w:ind w:left="619"/>
              <w:rPr>
                <w:rFonts w:ascii="Arial" w:hAnsi="Arial" w:cs="Arial"/>
              </w:rPr>
            </w:pPr>
            <w:r>
              <w:rPr>
                <w:rFonts w:ascii="Arial" w:hAnsi="Arial" w:cs="Arial"/>
              </w:rPr>
              <w:t>PL140860</w:t>
            </w:r>
          </w:p>
        </w:tc>
      </w:tr>
      <w:tr w:rsidR="00F3716B" w:rsidRPr="005E3387" w14:paraId="04F63C69" w14:textId="77777777" w:rsidTr="00F3716B">
        <w:trPr>
          <w:gridAfter w:val="1"/>
          <w:wAfter w:w="108" w:type="dxa"/>
        </w:trPr>
        <w:tc>
          <w:tcPr>
            <w:tcW w:w="3348" w:type="dxa"/>
            <w:gridSpan w:val="2"/>
          </w:tcPr>
          <w:p w14:paraId="5B7EBAC8" w14:textId="77777777" w:rsidR="00F3716B" w:rsidRPr="005E3387" w:rsidRDefault="00F3716B" w:rsidP="00F3716B">
            <w:pPr>
              <w:ind w:firstLine="142"/>
              <w:rPr>
                <w:rFonts w:ascii="Arial" w:hAnsi="Arial" w:cs="Arial"/>
              </w:rPr>
            </w:pPr>
            <w:r w:rsidRPr="005E3387">
              <w:rPr>
                <w:rFonts w:ascii="Arial" w:hAnsi="Arial" w:cs="Arial"/>
              </w:rPr>
              <w:t xml:space="preserve">LPAT File No.: </w:t>
            </w:r>
          </w:p>
        </w:tc>
        <w:tc>
          <w:tcPr>
            <w:tcW w:w="5508" w:type="dxa"/>
            <w:gridSpan w:val="2"/>
          </w:tcPr>
          <w:p w14:paraId="27D0811F" w14:textId="77777777" w:rsidR="00F3716B" w:rsidRPr="005E3387" w:rsidRDefault="00F3716B" w:rsidP="00F3716B">
            <w:pPr>
              <w:ind w:left="619"/>
              <w:rPr>
                <w:rFonts w:ascii="Arial" w:hAnsi="Arial" w:cs="Arial"/>
              </w:rPr>
            </w:pPr>
            <w:r>
              <w:rPr>
                <w:rFonts w:ascii="Arial" w:hAnsi="Arial" w:cs="Arial"/>
              </w:rPr>
              <w:t>PL140860</w:t>
            </w:r>
          </w:p>
        </w:tc>
      </w:tr>
    </w:tbl>
    <w:p w14:paraId="0252D837" w14:textId="73C702DF" w:rsidR="00B268A7" w:rsidRDefault="00B268A7" w:rsidP="00270AAE">
      <w:pPr>
        <w:rPr>
          <w:rFonts w:ascii="Arial" w:hAnsi="Arial" w:cs="Arial"/>
        </w:rPr>
      </w:pPr>
    </w:p>
    <w:p w14:paraId="5BAE0CC9" w14:textId="77777777" w:rsidR="00F3716B" w:rsidRDefault="00F3716B" w:rsidP="00F3716B">
      <w:pPr>
        <w:ind w:left="142"/>
        <w:rPr>
          <w:rFonts w:ascii="Arial" w:hAnsi="Arial" w:cs="Arial"/>
          <w:b/>
          <w:bCs/>
        </w:rPr>
      </w:pPr>
    </w:p>
    <w:p w14:paraId="34C611BC" w14:textId="3F2D7082" w:rsidR="00F3716B" w:rsidRPr="00F3716B" w:rsidRDefault="00F3716B" w:rsidP="00F3716B">
      <w:pPr>
        <w:ind w:left="142"/>
        <w:rPr>
          <w:rFonts w:ascii="Arial" w:hAnsi="Arial" w:cs="Arial"/>
          <w:b/>
          <w:bCs/>
        </w:rPr>
      </w:pPr>
      <w:r>
        <w:rPr>
          <w:rFonts w:ascii="Arial" w:hAnsi="Arial" w:cs="Arial"/>
          <w:b/>
          <w:bCs/>
        </w:rPr>
        <w:t>Heard: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3716B">
        <w:rPr>
          <w:rFonts w:ascii="Arial" w:hAnsi="Arial" w:cs="Arial"/>
        </w:rPr>
        <w:t xml:space="preserve">      March 4, 2021 by video hearing</w:t>
      </w:r>
    </w:p>
    <w:p w14:paraId="216365DE" w14:textId="77777777" w:rsidR="00F3716B" w:rsidRPr="001E764F" w:rsidRDefault="00F3716B" w:rsidP="00270AAE">
      <w:pPr>
        <w:rPr>
          <w:rFonts w:ascii="Arial" w:hAnsi="Arial" w:cs="Arial"/>
        </w:rPr>
      </w:pPr>
    </w:p>
    <w:bookmarkEnd w:id="0"/>
    <w:tbl>
      <w:tblPr>
        <w:tblW w:w="9606" w:type="dxa"/>
        <w:tblLook w:val="0000" w:firstRow="0" w:lastRow="0" w:firstColumn="0" w:lastColumn="0" w:noHBand="0" w:noVBand="0"/>
      </w:tblPr>
      <w:tblGrid>
        <w:gridCol w:w="3936"/>
        <w:gridCol w:w="5670"/>
      </w:tblGrid>
      <w:tr w:rsidR="0089782A" w:rsidRPr="001E764F" w14:paraId="02083DEC" w14:textId="77777777" w:rsidTr="008E10BC">
        <w:tc>
          <w:tcPr>
            <w:tcW w:w="3936" w:type="dxa"/>
          </w:tcPr>
          <w:p w14:paraId="4E27CF24" w14:textId="77777777" w:rsidR="00F3716B" w:rsidRDefault="00F3716B" w:rsidP="00270AAE">
            <w:pPr>
              <w:rPr>
                <w:rFonts w:ascii="Arial" w:hAnsi="Arial" w:cs="Arial"/>
                <w:b/>
              </w:rPr>
            </w:pPr>
          </w:p>
          <w:p w14:paraId="3F3D75AB" w14:textId="085C0B3D"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33D80A19" w14:textId="77777777" w:rsidR="0089782A" w:rsidRPr="001E764F" w:rsidRDefault="0089782A" w:rsidP="00270AAE">
            <w:pPr>
              <w:rPr>
                <w:rFonts w:ascii="Arial" w:hAnsi="Arial" w:cs="Arial"/>
              </w:rPr>
            </w:pPr>
          </w:p>
        </w:tc>
      </w:tr>
      <w:tr w:rsidR="0089782A" w:rsidRPr="001E764F" w14:paraId="72CF6152" w14:textId="77777777" w:rsidTr="008E10BC">
        <w:tc>
          <w:tcPr>
            <w:tcW w:w="3936" w:type="dxa"/>
          </w:tcPr>
          <w:p w14:paraId="113C3C3D" w14:textId="77777777" w:rsidR="0089782A" w:rsidRPr="001E764F" w:rsidRDefault="0089782A" w:rsidP="00270AAE">
            <w:pPr>
              <w:rPr>
                <w:rFonts w:ascii="Arial" w:hAnsi="Arial" w:cs="Arial"/>
              </w:rPr>
            </w:pPr>
          </w:p>
        </w:tc>
        <w:tc>
          <w:tcPr>
            <w:tcW w:w="5670" w:type="dxa"/>
          </w:tcPr>
          <w:p w14:paraId="4EDF97CD" w14:textId="77777777" w:rsidR="0089782A" w:rsidRPr="001E764F" w:rsidRDefault="0089782A" w:rsidP="00270AAE">
            <w:pPr>
              <w:rPr>
                <w:rFonts w:ascii="Arial" w:hAnsi="Arial" w:cs="Arial"/>
              </w:rPr>
            </w:pPr>
          </w:p>
        </w:tc>
      </w:tr>
      <w:tr w:rsidR="008046EB" w:rsidRPr="001E764F" w14:paraId="6AE47D76" w14:textId="77777777" w:rsidTr="008E10BC">
        <w:tc>
          <w:tcPr>
            <w:tcW w:w="3936" w:type="dxa"/>
          </w:tcPr>
          <w:p w14:paraId="18D57C6E"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51134254" w14:textId="271E53E6"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15C22AF5" w14:textId="77777777" w:rsidTr="00E27193">
        <w:tc>
          <w:tcPr>
            <w:tcW w:w="3936" w:type="dxa"/>
          </w:tcPr>
          <w:p w14:paraId="5AADF5C0" w14:textId="77777777" w:rsidR="00CF3F96" w:rsidRPr="001E764F" w:rsidRDefault="00CF3F96" w:rsidP="00270AAE">
            <w:pPr>
              <w:rPr>
                <w:rFonts w:ascii="Arial" w:hAnsi="Arial" w:cs="Arial"/>
              </w:rPr>
            </w:pPr>
          </w:p>
        </w:tc>
        <w:tc>
          <w:tcPr>
            <w:tcW w:w="5670" w:type="dxa"/>
          </w:tcPr>
          <w:p w14:paraId="5EB9B784" w14:textId="77777777" w:rsidR="00CF3F96" w:rsidRPr="001D67CE" w:rsidRDefault="00CF3F96" w:rsidP="00270AAE">
            <w:pPr>
              <w:rPr>
                <w:rFonts w:ascii="Arial" w:hAnsi="Arial" w:cs="Arial"/>
              </w:rPr>
            </w:pPr>
          </w:p>
        </w:tc>
      </w:tr>
      <w:tr w:rsidR="001D67CE" w:rsidRPr="001E764F" w14:paraId="181E99E4" w14:textId="77777777" w:rsidTr="00E27193">
        <w:tc>
          <w:tcPr>
            <w:tcW w:w="3936" w:type="dxa"/>
          </w:tcPr>
          <w:p w14:paraId="54F6B0F9" w14:textId="32523513" w:rsidR="001D67CE" w:rsidRPr="0041577D" w:rsidRDefault="0041577D" w:rsidP="00270AAE">
            <w:pPr>
              <w:rPr>
                <w:rFonts w:ascii="Arial" w:hAnsi="Arial" w:cs="Arial"/>
              </w:rPr>
            </w:pPr>
            <w:r w:rsidRPr="0041577D">
              <w:rPr>
                <w:rFonts w:ascii="Arial" w:hAnsi="Arial" w:cs="Arial"/>
              </w:rPr>
              <w:t xml:space="preserve">City of Toronto                                       </w:t>
            </w:r>
          </w:p>
        </w:tc>
        <w:tc>
          <w:tcPr>
            <w:tcW w:w="5670" w:type="dxa"/>
          </w:tcPr>
          <w:p w14:paraId="697EFC11" w14:textId="77777777" w:rsidR="001D67CE" w:rsidRPr="0041577D" w:rsidRDefault="0041577D" w:rsidP="00270AAE">
            <w:pPr>
              <w:rPr>
                <w:rFonts w:ascii="Arial" w:hAnsi="Arial" w:cs="Arial"/>
              </w:rPr>
            </w:pPr>
            <w:r w:rsidRPr="0041577D">
              <w:rPr>
                <w:rFonts w:ascii="Arial" w:hAnsi="Arial" w:cs="Arial"/>
              </w:rPr>
              <w:t xml:space="preserve">A. </w:t>
            </w:r>
            <w:proofErr w:type="spellStart"/>
            <w:r w:rsidRPr="0041577D">
              <w:rPr>
                <w:rFonts w:ascii="Arial" w:hAnsi="Arial" w:cs="Arial"/>
              </w:rPr>
              <w:t>Biggart</w:t>
            </w:r>
            <w:proofErr w:type="spellEnd"/>
          </w:p>
          <w:p w14:paraId="16F03499" w14:textId="187A570F" w:rsidR="0041577D" w:rsidRPr="0053255B" w:rsidRDefault="0041577D" w:rsidP="00270AAE">
            <w:pPr>
              <w:rPr>
                <w:rFonts w:ascii="Arial" w:hAnsi="Arial" w:cs="Arial"/>
              </w:rPr>
            </w:pPr>
            <w:r w:rsidRPr="0041577D">
              <w:rPr>
                <w:rFonts w:ascii="Arial" w:hAnsi="Arial" w:cs="Arial"/>
              </w:rPr>
              <w:t xml:space="preserve">K. </w:t>
            </w:r>
            <w:proofErr w:type="spellStart"/>
            <w:r w:rsidRPr="0041577D">
              <w:rPr>
                <w:rFonts w:ascii="Arial" w:hAnsi="Arial" w:cs="Arial"/>
              </w:rPr>
              <w:t>Matsumuto</w:t>
            </w:r>
            <w:proofErr w:type="spellEnd"/>
            <w:r w:rsidRPr="0041577D">
              <w:rPr>
                <w:rFonts w:ascii="Arial" w:hAnsi="Arial" w:cs="Arial"/>
              </w:rPr>
              <w:t xml:space="preserve">                                                                      </w:t>
            </w:r>
          </w:p>
        </w:tc>
      </w:tr>
      <w:tr w:rsidR="001D67CE" w:rsidRPr="001E764F" w14:paraId="1AF5A544" w14:textId="77777777" w:rsidTr="00E27193">
        <w:tc>
          <w:tcPr>
            <w:tcW w:w="3936" w:type="dxa"/>
          </w:tcPr>
          <w:p w14:paraId="69027E2B" w14:textId="77777777" w:rsidR="001D67CE" w:rsidRPr="000F1CE9" w:rsidRDefault="001D67CE" w:rsidP="00270AAE">
            <w:pPr>
              <w:rPr>
                <w:rFonts w:ascii="Arial" w:hAnsi="Arial" w:cs="Arial"/>
              </w:rPr>
            </w:pPr>
          </w:p>
        </w:tc>
        <w:tc>
          <w:tcPr>
            <w:tcW w:w="5670" w:type="dxa"/>
          </w:tcPr>
          <w:p w14:paraId="1FAF1642" w14:textId="77777777" w:rsidR="001D67CE" w:rsidRPr="000F1CE9" w:rsidRDefault="001D67CE" w:rsidP="00270AAE">
            <w:pPr>
              <w:rPr>
                <w:rFonts w:ascii="Arial" w:hAnsi="Arial" w:cs="Arial"/>
              </w:rPr>
            </w:pPr>
          </w:p>
        </w:tc>
      </w:tr>
      <w:tr w:rsidR="001D67CE" w:rsidRPr="001E764F" w14:paraId="103DE1A7" w14:textId="77777777" w:rsidTr="00E27193">
        <w:tc>
          <w:tcPr>
            <w:tcW w:w="3936" w:type="dxa"/>
          </w:tcPr>
          <w:p w14:paraId="5CD1D986" w14:textId="46906844" w:rsidR="001D67CE" w:rsidRPr="0041577D" w:rsidRDefault="0041577D" w:rsidP="00270AAE">
            <w:pPr>
              <w:rPr>
                <w:rFonts w:ascii="Arial" w:hAnsi="Arial" w:cs="Arial"/>
              </w:rPr>
            </w:pPr>
            <w:r w:rsidRPr="0041577D">
              <w:rPr>
                <w:rFonts w:ascii="Arial" w:hAnsi="Arial" w:cs="Arial"/>
              </w:rPr>
              <w:t>10 Q.E.W. Inc.</w:t>
            </w:r>
          </w:p>
        </w:tc>
        <w:tc>
          <w:tcPr>
            <w:tcW w:w="5670" w:type="dxa"/>
          </w:tcPr>
          <w:p w14:paraId="69B1547C" w14:textId="77777777" w:rsidR="001D67CE" w:rsidRDefault="0041577D" w:rsidP="00270AAE">
            <w:pPr>
              <w:rPr>
                <w:rFonts w:ascii="Arial" w:hAnsi="Arial" w:cs="Arial"/>
              </w:rPr>
            </w:pPr>
            <w:r>
              <w:rPr>
                <w:rFonts w:ascii="Arial" w:hAnsi="Arial" w:cs="Arial"/>
              </w:rPr>
              <w:t xml:space="preserve">K. </w:t>
            </w:r>
            <w:proofErr w:type="spellStart"/>
            <w:r>
              <w:rPr>
                <w:rFonts w:ascii="Arial" w:hAnsi="Arial" w:cs="Arial"/>
              </w:rPr>
              <w:t>Sliwa</w:t>
            </w:r>
            <w:proofErr w:type="spellEnd"/>
          </w:p>
          <w:p w14:paraId="7992CFE1" w14:textId="2F25B315" w:rsidR="00AE28D1" w:rsidRPr="000F1CE9" w:rsidRDefault="00AE28D1" w:rsidP="00270AAE">
            <w:pPr>
              <w:rPr>
                <w:rFonts w:ascii="Arial" w:hAnsi="Arial" w:cs="Arial"/>
              </w:rPr>
            </w:pPr>
            <w:r>
              <w:rPr>
                <w:rFonts w:ascii="Arial" w:hAnsi="Arial" w:cs="Arial"/>
              </w:rPr>
              <w:t xml:space="preserve">A. </w:t>
            </w:r>
            <w:proofErr w:type="spellStart"/>
            <w:r>
              <w:rPr>
                <w:rFonts w:ascii="Arial" w:hAnsi="Arial" w:cs="Arial"/>
              </w:rPr>
              <w:t>Kurts</w:t>
            </w:r>
            <w:proofErr w:type="spellEnd"/>
          </w:p>
        </w:tc>
      </w:tr>
      <w:tr w:rsidR="001D67CE" w:rsidRPr="001E764F" w14:paraId="4CE1AB0E" w14:textId="77777777" w:rsidTr="00E27193">
        <w:tc>
          <w:tcPr>
            <w:tcW w:w="3936" w:type="dxa"/>
          </w:tcPr>
          <w:p w14:paraId="31068156" w14:textId="77777777" w:rsidR="001D67CE" w:rsidRPr="001E764F" w:rsidRDefault="001D67CE" w:rsidP="00270AAE">
            <w:pPr>
              <w:rPr>
                <w:rFonts w:ascii="Arial" w:hAnsi="Arial" w:cs="Arial"/>
              </w:rPr>
            </w:pPr>
          </w:p>
        </w:tc>
        <w:tc>
          <w:tcPr>
            <w:tcW w:w="5670" w:type="dxa"/>
          </w:tcPr>
          <w:p w14:paraId="619C8686" w14:textId="77777777" w:rsidR="001D67CE" w:rsidRPr="001D67CE" w:rsidRDefault="001D67CE" w:rsidP="00270AAE">
            <w:pPr>
              <w:rPr>
                <w:rFonts w:ascii="Arial" w:hAnsi="Arial" w:cs="Arial"/>
              </w:rPr>
            </w:pPr>
          </w:p>
        </w:tc>
      </w:tr>
      <w:tr w:rsidR="0041577D" w:rsidRPr="001E764F" w14:paraId="08E97FA9" w14:textId="77777777" w:rsidTr="00E27193">
        <w:tc>
          <w:tcPr>
            <w:tcW w:w="3936" w:type="dxa"/>
          </w:tcPr>
          <w:p w14:paraId="602DD2CD" w14:textId="0E17C12D" w:rsidR="0041577D" w:rsidRDefault="002E6D64" w:rsidP="00270AAE">
            <w:pPr>
              <w:rPr>
                <w:rFonts w:ascii="Arial" w:hAnsi="Arial" w:cs="Arial"/>
              </w:rPr>
            </w:pPr>
            <w:r w:rsidRPr="002E6D64">
              <w:rPr>
                <w:rFonts w:ascii="Arial" w:hAnsi="Arial" w:cs="Arial"/>
              </w:rPr>
              <w:t xml:space="preserve">Canada Lands </w:t>
            </w:r>
            <w:r w:rsidR="00AE28D1">
              <w:rPr>
                <w:rFonts w:ascii="Arial" w:hAnsi="Arial" w:cs="Arial"/>
              </w:rPr>
              <w:t>Corporation</w:t>
            </w:r>
          </w:p>
          <w:p w14:paraId="27870C01" w14:textId="5453FFB9" w:rsidR="002E6D64" w:rsidRPr="002E6D64" w:rsidRDefault="002E6D64" w:rsidP="00AE28D1">
            <w:pPr>
              <w:rPr>
                <w:rFonts w:ascii="Arial" w:hAnsi="Arial" w:cs="Arial"/>
              </w:rPr>
            </w:pPr>
            <w:r w:rsidRPr="002E6D64">
              <w:rPr>
                <w:rFonts w:ascii="Arial" w:hAnsi="Arial" w:cs="Arial"/>
              </w:rPr>
              <w:t>Parc Downsview Park Inc.</w:t>
            </w:r>
          </w:p>
        </w:tc>
        <w:tc>
          <w:tcPr>
            <w:tcW w:w="5670" w:type="dxa"/>
          </w:tcPr>
          <w:p w14:paraId="02E43C49" w14:textId="1BB692DE" w:rsidR="0041577D" w:rsidRPr="002E6D64" w:rsidRDefault="002E6D64" w:rsidP="00270AAE">
            <w:pPr>
              <w:rPr>
                <w:rFonts w:ascii="Arial" w:hAnsi="Arial" w:cs="Arial"/>
              </w:rPr>
            </w:pPr>
            <w:r w:rsidRPr="002E6D64">
              <w:rPr>
                <w:rFonts w:ascii="Arial" w:hAnsi="Arial" w:cs="Arial"/>
              </w:rPr>
              <w:t>E. Costello</w:t>
            </w:r>
          </w:p>
        </w:tc>
      </w:tr>
      <w:tr w:rsidR="002E6D64" w:rsidRPr="001E764F" w14:paraId="27AEFB81" w14:textId="77777777" w:rsidTr="00E27193">
        <w:tc>
          <w:tcPr>
            <w:tcW w:w="3936" w:type="dxa"/>
          </w:tcPr>
          <w:p w14:paraId="09F84390" w14:textId="77777777" w:rsidR="002E6D64" w:rsidRPr="002E6D64" w:rsidRDefault="002E6D64" w:rsidP="00270AAE">
            <w:pPr>
              <w:rPr>
                <w:rFonts w:ascii="Arial" w:hAnsi="Arial" w:cs="Arial"/>
              </w:rPr>
            </w:pPr>
          </w:p>
        </w:tc>
        <w:tc>
          <w:tcPr>
            <w:tcW w:w="5670" w:type="dxa"/>
          </w:tcPr>
          <w:p w14:paraId="14449FB1" w14:textId="77777777" w:rsidR="002E6D64" w:rsidRPr="002E6D64" w:rsidRDefault="002E6D64" w:rsidP="00270AAE">
            <w:pPr>
              <w:rPr>
                <w:rFonts w:ascii="Arial" w:hAnsi="Arial" w:cs="Arial"/>
              </w:rPr>
            </w:pPr>
          </w:p>
        </w:tc>
      </w:tr>
      <w:tr w:rsidR="002E6D64" w:rsidRPr="001E764F" w14:paraId="2375ABD4" w14:textId="77777777" w:rsidTr="00E27193">
        <w:tc>
          <w:tcPr>
            <w:tcW w:w="3936" w:type="dxa"/>
          </w:tcPr>
          <w:p w14:paraId="4607500A" w14:textId="2C3A943B" w:rsidR="002E6D64" w:rsidRPr="002E6D64" w:rsidRDefault="002E6D64" w:rsidP="00270AAE">
            <w:pPr>
              <w:rPr>
                <w:rFonts w:ascii="Arial" w:hAnsi="Arial" w:cs="Arial"/>
              </w:rPr>
            </w:pPr>
            <w:r w:rsidRPr="002E6D64">
              <w:rPr>
                <w:rFonts w:ascii="Arial" w:hAnsi="Arial" w:cs="Arial"/>
              </w:rPr>
              <w:t>Rothmans, Benson and Hedges Inc.</w:t>
            </w:r>
          </w:p>
        </w:tc>
        <w:tc>
          <w:tcPr>
            <w:tcW w:w="5670" w:type="dxa"/>
          </w:tcPr>
          <w:p w14:paraId="219670E4" w14:textId="15A01CE9" w:rsidR="002E6D64" w:rsidRPr="002E6D64" w:rsidRDefault="002E6D64" w:rsidP="00270AAE">
            <w:pPr>
              <w:rPr>
                <w:rFonts w:ascii="Arial" w:hAnsi="Arial" w:cs="Arial"/>
              </w:rPr>
            </w:pPr>
            <w:r>
              <w:rPr>
                <w:rFonts w:ascii="Arial" w:hAnsi="Arial" w:cs="Arial"/>
              </w:rPr>
              <w:t>P. Gross</w:t>
            </w:r>
          </w:p>
        </w:tc>
      </w:tr>
      <w:tr w:rsidR="002E6D64" w:rsidRPr="001E764F" w14:paraId="252A0937" w14:textId="77777777" w:rsidTr="00E27193">
        <w:tc>
          <w:tcPr>
            <w:tcW w:w="3936" w:type="dxa"/>
          </w:tcPr>
          <w:p w14:paraId="79A6C761" w14:textId="77777777" w:rsidR="002E6D64" w:rsidRPr="002E6D64" w:rsidRDefault="002E6D64" w:rsidP="00270AAE">
            <w:pPr>
              <w:rPr>
                <w:rFonts w:ascii="Arial" w:hAnsi="Arial" w:cs="Arial"/>
              </w:rPr>
            </w:pPr>
          </w:p>
        </w:tc>
        <w:tc>
          <w:tcPr>
            <w:tcW w:w="5670" w:type="dxa"/>
          </w:tcPr>
          <w:p w14:paraId="0E3BBF64" w14:textId="77777777" w:rsidR="002E6D64" w:rsidRDefault="002E6D64" w:rsidP="00270AAE">
            <w:pPr>
              <w:rPr>
                <w:rFonts w:ascii="Arial" w:hAnsi="Arial" w:cs="Arial"/>
              </w:rPr>
            </w:pPr>
          </w:p>
        </w:tc>
      </w:tr>
      <w:tr w:rsidR="002E6D64" w:rsidRPr="001E764F" w14:paraId="0E0131C5" w14:textId="77777777" w:rsidTr="00E27193">
        <w:tc>
          <w:tcPr>
            <w:tcW w:w="3936" w:type="dxa"/>
          </w:tcPr>
          <w:p w14:paraId="70526FAB" w14:textId="5789E2AB" w:rsidR="002E6D64" w:rsidRPr="002E6D64" w:rsidRDefault="002E6D64" w:rsidP="00270AAE">
            <w:pPr>
              <w:rPr>
                <w:rFonts w:ascii="Arial" w:hAnsi="Arial" w:cs="Arial"/>
              </w:rPr>
            </w:pPr>
            <w:r>
              <w:rPr>
                <w:rFonts w:ascii="Arial" w:hAnsi="Arial" w:cs="Arial"/>
              </w:rPr>
              <w:t>Ministry of Municipal Affairs and Housing</w:t>
            </w:r>
          </w:p>
        </w:tc>
        <w:tc>
          <w:tcPr>
            <w:tcW w:w="5670" w:type="dxa"/>
          </w:tcPr>
          <w:p w14:paraId="141A9AD8" w14:textId="77777777" w:rsidR="002E6D64" w:rsidRDefault="002E6D64" w:rsidP="00270AAE">
            <w:pPr>
              <w:rPr>
                <w:rFonts w:ascii="Arial" w:hAnsi="Arial" w:cs="Arial"/>
              </w:rPr>
            </w:pPr>
            <w:r>
              <w:rPr>
                <w:rFonts w:ascii="Arial" w:hAnsi="Arial" w:cs="Arial"/>
              </w:rPr>
              <w:t xml:space="preserve">C. </w:t>
            </w:r>
            <w:r w:rsidR="00433AA7">
              <w:rPr>
                <w:rFonts w:ascii="Arial" w:hAnsi="Arial" w:cs="Arial"/>
              </w:rPr>
              <w:t>Young</w:t>
            </w:r>
          </w:p>
          <w:p w14:paraId="2592DBA6" w14:textId="6FADB87C" w:rsidR="00433AA7" w:rsidRDefault="00433AA7" w:rsidP="00270AAE">
            <w:pPr>
              <w:rPr>
                <w:rFonts w:ascii="Arial" w:hAnsi="Arial" w:cs="Arial"/>
              </w:rPr>
            </w:pPr>
            <w:r>
              <w:rPr>
                <w:rFonts w:ascii="Arial" w:hAnsi="Arial" w:cs="Arial"/>
              </w:rPr>
              <w:t>A. Beamish</w:t>
            </w:r>
          </w:p>
        </w:tc>
      </w:tr>
      <w:tr w:rsidR="002E6D64" w:rsidRPr="001E764F" w14:paraId="79B80571" w14:textId="77777777" w:rsidTr="00E27193">
        <w:tc>
          <w:tcPr>
            <w:tcW w:w="3936" w:type="dxa"/>
          </w:tcPr>
          <w:p w14:paraId="3CC556F8" w14:textId="77777777" w:rsidR="002E6D64" w:rsidRDefault="002E6D64" w:rsidP="00270AAE">
            <w:pPr>
              <w:rPr>
                <w:rFonts w:ascii="Arial" w:hAnsi="Arial" w:cs="Arial"/>
              </w:rPr>
            </w:pPr>
          </w:p>
        </w:tc>
        <w:tc>
          <w:tcPr>
            <w:tcW w:w="5670" w:type="dxa"/>
          </w:tcPr>
          <w:p w14:paraId="79A63E7C" w14:textId="77777777" w:rsidR="002E6D64" w:rsidRDefault="002E6D64" w:rsidP="00270AAE">
            <w:pPr>
              <w:rPr>
                <w:rFonts w:ascii="Arial" w:hAnsi="Arial" w:cs="Arial"/>
              </w:rPr>
            </w:pPr>
          </w:p>
        </w:tc>
      </w:tr>
      <w:tr w:rsidR="002E6D64" w:rsidRPr="001E764F" w14:paraId="3D5E71AF" w14:textId="77777777" w:rsidTr="00E27193">
        <w:tc>
          <w:tcPr>
            <w:tcW w:w="3936" w:type="dxa"/>
          </w:tcPr>
          <w:p w14:paraId="38499810" w14:textId="1534B458" w:rsidR="00E23212" w:rsidRPr="00211F03" w:rsidRDefault="00E23212" w:rsidP="00270AAE">
            <w:pPr>
              <w:rPr>
                <w:rFonts w:ascii="Arial" w:hAnsi="Arial" w:cs="Arial"/>
              </w:rPr>
            </w:pPr>
            <w:r w:rsidRPr="00211F03">
              <w:rPr>
                <w:rFonts w:ascii="Arial" w:hAnsi="Arial" w:cs="Arial"/>
              </w:rPr>
              <w:t xml:space="preserve">First Capital </w:t>
            </w:r>
            <w:r w:rsidR="00433AA7">
              <w:rPr>
                <w:rFonts w:ascii="Arial" w:hAnsi="Arial" w:cs="Arial"/>
              </w:rPr>
              <w:t>M</w:t>
            </w:r>
            <w:r w:rsidRPr="00211F03">
              <w:rPr>
                <w:rFonts w:ascii="Arial" w:hAnsi="Arial" w:cs="Arial"/>
              </w:rPr>
              <w:t>anagement</w:t>
            </w:r>
            <w:r w:rsidR="00433AA7">
              <w:rPr>
                <w:rFonts w:ascii="Arial" w:hAnsi="Arial" w:cs="Arial"/>
              </w:rPr>
              <w:t xml:space="preserve"> CP REIT</w:t>
            </w:r>
          </w:p>
          <w:p w14:paraId="421378B7" w14:textId="3999B3F8" w:rsidR="002E6D64" w:rsidRPr="00211F03" w:rsidRDefault="00211F03" w:rsidP="00270AAE">
            <w:pPr>
              <w:rPr>
                <w:rFonts w:ascii="Arial" w:hAnsi="Arial" w:cs="Arial"/>
              </w:rPr>
            </w:pPr>
            <w:r w:rsidRPr="00211F03">
              <w:rPr>
                <w:rFonts w:ascii="Arial" w:hAnsi="Arial" w:cs="Arial"/>
              </w:rPr>
              <w:t>Lobla</w:t>
            </w:r>
            <w:r w:rsidR="00433AA7">
              <w:rPr>
                <w:rFonts w:ascii="Arial" w:hAnsi="Arial" w:cs="Arial"/>
              </w:rPr>
              <w:t>ws</w:t>
            </w:r>
            <w:r w:rsidRPr="00211F03">
              <w:rPr>
                <w:rFonts w:ascii="Arial" w:hAnsi="Arial" w:cs="Arial"/>
              </w:rPr>
              <w:t xml:space="preserve">                                </w:t>
            </w:r>
          </w:p>
        </w:tc>
        <w:tc>
          <w:tcPr>
            <w:tcW w:w="5670" w:type="dxa"/>
          </w:tcPr>
          <w:p w14:paraId="000AE777" w14:textId="2126BC12" w:rsidR="002E6D64" w:rsidRDefault="00211F03" w:rsidP="00270AAE">
            <w:pPr>
              <w:rPr>
                <w:rFonts w:ascii="Arial" w:hAnsi="Arial" w:cs="Arial"/>
              </w:rPr>
            </w:pPr>
            <w:r>
              <w:rPr>
                <w:rFonts w:ascii="Arial" w:hAnsi="Arial" w:cs="Arial"/>
              </w:rPr>
              <w:t xml:space="preserve">D. </w:t>
            </w:r>
            <w:proofErr w:type="spellStart"/>
            <w:r>
              <w:rPr>
                <w:rFonts w:ascii="Arial" w:hAnsi="Arial" w:cs="Arial"/>
              </w:rPr>
              <w:t>Neligan</w:t>
            </w:r>
            <w:proofErr w:type="spellEnd"/>
          </w:p>
        </w:tc>
      </w:tr>
      <w:tr w:rsidR="00211F03" w:rsidRPr="001E764F" w14:paraId="794A680E" w14:textId="77777777" w:rsidTr="00E27193">
        <w:tc>
          <w:tcPr>
            <w:tcW w:w="3936" w:type="dxa"/>
          </w:tcPr>
          <w:p w14:paraId="52D11CAB" w14:textId="77777777" w:rsidR="00211F03" w:rsidRPr="00211F03" w:rsidRDefault="00211F03" w:rsidP="00270AAE">
            <w:pPr>
              <w:rPr>
                <w:rFonts w:ascii="Arial" w:hAnsi="Arial" w:cs="Arial"/>
              </w:rPr>
            </w:pPr>
          </w:p>
        </w:tc>
        <w:tc>
          <w:tcPr>
            <w:tcW w:w="5670" w:type="dxa"/>
          </w:tcPr>
          <w:p w14:paraId="3B45A151" w14:textId="77777777" w:rsidR="00211F03" w:rsidRDefault="00211F03" w:rsidP="00270AAE">
            <w:pPr>
              <w:rPr>
                <w:rFonts w:ascii="Arial" w:hAnsi="Arial" w:cs="Arial"/>
              </w:rPr>
            </w:pPr>
          </w:p>
        </w:tc>
      </w:tr>
      <w:tr w:rsidR="00211F03" w:rsidRPr="001E764F" w14:paraId="0191A3A4" w14:textId="77777777" w:rsidTr="00E27193">
        <w:tc>
          <w:tcPr>
            <w:tcW w:w="3936" w:type="dxa"/>
          </w:tcPr>
          <w:p w14:paraId="32D762AD" w14:textId="77777777" w:rsidR="00211F03" w:rsidRPr="00211F03" w:rsidRDefault="00211F03" w:rsidP="00211F03">
            <w:pPr>
              <w:rPr>
                <w:rFonts w:ascii="Arial" w:hAnsi="Arial" w:cs="Arial"/>
              </w:rPr>
            </w:pPr>
            <w:proofErr w:type="spellStart"/>
            <w:r w:rsidRPr="00211F03">
              <w:rPr>
                <w:rFonts w:ascii="Arial" w:hAnsi="Arial" w:cs="Arial"/>
              </w:rPr>
              <w:t>Morguard</w:t>
            </w:r>
            <w:proofErr w:type="spellEnd"/>
            <w:r w:rsidRPr="00211F03">
              <w:rPr>
                <w:rFonts w:ascii="Arial" w:hAnsi="Arial" w:cs="Arial"/>
              </w:rPr>
              <w:t xml:space="preserve"> Investments Limited                </w:t>
            </w:r>
          </w:p>
          <w:p w14:paraId="38C57D87" w14:textId="1954F000" w:rsidR="00211F03" w:rsidRPr="00211F03" w:rsidRDefault="00211F03" w:rsidP="00270AAE">
            <w:pPr>
              <w:rPr>
                <w:rFonts w:ascii="Arial" w:hAnsi="Arial" w:cs="Arial"/>
              </w:rPr>
            </w:pPr>
            <w:r w:rsidRPr="00211F03">
              <w:rPr>
                <w:rFonts w:ascii="Arial" w:hAnsi="Arial" w:cs="Arial"/>
              </w:rPr>
              <w:t>Revenue Properties Company Limited</w:t>
            </w:r>
            <w:r w:rsidRPr="00481D20">
              <w:t xml:space="preserve">   </w:t>
            </w:r>
          </w:p>
        </w:tc>
        <w:tc>
          <w:tcPr>
            <w:tcW w:w="5670" w:type="dxa"/>
          </w:tcPr>
          <w:p w14:paraId="0B6D7797" w14:textId="0E77B6D0" w:rsidR="00211F03" w:rsidRDefault="00211F03" w:rsidP="00270AAE">
            <w:pPr>
              <w:rPr>
                <w:rFonts w:ascii="Arial" w:hAnsi="Arial" w:cs="Arial"/>
              </w:rPr>
            </w:pPr>
            <w:r>
              <w:rPr>
                <w:rFonts w:ascii="Arial" w:hAnsi="Arial" w:cs="Arial"/>
              </w:rPr>
              <w:t xml:space="preserve">J. Shapira </w:t>
            </w:r>
          </w:p>
        </w:tc>
      </w:tr>
      <w:tr w:rsidR="00211F03" w:rsidRPr="001E764F" w14:paraId="3838DBE3" w14:textId="77777777" w:rsidTr="00E27193">
        <w:tc>
          <w:tcPr>
            <w:tcW w:w="3936" w:type="dxa"/>
          </w:tcPr>
          <w:p w14:paraId="47F232BE" w14:textId="77777777" w:rsidR="00211F03" w:rsidRPr="00211F03" w:rsidRDefault="00211F03" w:rsidP="00211F03">
            <w:pPr>
              <w:rPr>
                <w:rFonts w:ascii="Arial" w:hAnsi="Arial" w:cs="Arial"/>
              </w:rPr>
            </w:pPr>
          </w:p>
        </w:tc>
        <w:tc>
          <w:tcPr>
            <w:tcW w:w="5670" w:type="dxa"/>
          </w:tcPr>
          <w:p w14:paraId="31918F72" w14:textId="77777777" w:rsidR="00211F03" w:rsidRDefault="00211F03" w:rsidP="00270AAE">
            <w:pPr>
              <w:rPr>
                <w:rFonts w:ascii="Arial" w:hAnsi="Arial" w:cs="Arial"/>
              </w:rPr>
            </w:pPr>
          </w:p>
        </w:tc>
      </w:tr>
      <w:tr w:rsidR="00211F03" w:rsidRPr="001E764F" w14:paraId="6F69D000" w14:textId="77777777" w:rsidTr="00E27193">
        <w:tc>
          <w:tcPr>
            <w:tcW w:w="3936" w:type="dxa"/>
          </w:tcPr>
          <w:p w14:paraId="39761A5D" w14:textId="77777777" w:rsidR="00211F03" w:rsidRPr="009A689A" w:rsidRDefault="00211F03" w:rsidP="00211F03">
            <w:pPr>
              <w:rPr>
                <w:rFonts w:ascii="Arial" w:hAnsi="Arial" w:cs="Arial"/>
              </w:rPr>
            </w:pPr>
            <w:proofErr w:type="spellStart"/>
            <w:r w:rsidRPr="009A689A">
              <w:rPr>
                <w:rFonts w:ascii="Arial" w:hAnsi="Arial" w:cs="Arial"/>
              </w:rPr>
              <w:t>Amexon</w:t>
            </w:r>
            <w:proofErr w:type="spellEnd"/>
          </w:p>
          <w:p w14:paraId="4F48CDA2" w14:textId="416529CD" w:rsidR="00211F03" w:rsidRPr="00211F03" w:rsidRDefault="00211F03" w:rsidP="00211F03">
            <w:pPr>
              <w:rPr>
                <w:rFonts w:ascii="Arial" w:hAnsi="Arial" w:cs="Arial"/>
              </w:rPr>
            </w:pPr>
            <w:proofErr w:type="spellStart"/>
            <w:r w:rsidRPr="009A689A">
              <w:rPr>
                <w:rFonts w:ascii="Arial" w:hAnsi="Arial" w:cs="Arial"/>
              </w:rPr>
              <w:t>Humberview</w:t>
            </w:r>
            <w:proofErr w:type="spellEnd"/>
            <w:r w:rsidRPr="009A689A">
              <w:rPr>
                <w:rFonts w:ascii="Arial" w:hAnsi="Arial" w:cs="Arial"/>
              </w:rPr>
              <w:t xml:space="preserve"> Motors</w:t>
            </w:r>
          </w:p>
        </w:tc>
        <w:tc>
          <w:tcPr>
            <w:tcW w:w="5670" w:type="dxa"/>
          </w:tcPr>
          <w:p w14:paraId="3705AA7A" w14:textId="20C5CEC1" w:rsidR="009A689A" w:rsidRDefault="009A689A" w:rsidP="00270AAE">
            <w:pPr>
              <w:rPr>
                <w:rFonts w:ascii="Arial" w:hAnsi="Arial" w:cs="Arial"/>
              </w:rPr>
            </w:pPr>
            <w:r>
              <w:rPr>
                <w:rFonts w:ascii="Arial" w:hAnsi="Arial" w:cs="Arial"/>
              </w:rPr>
              <w:t>M. Flynn-Guglietti</w:t>
            </w:r>
          </w:p>
        </w:tc>
      </w:tr>
      <w:tr w:rsidR="009A689A" w:rsidRPr="001E764F" w14:paraId="790066CA" w14:textId="77777777" w:rsidTr="00E27193">
        <w:tc>
          <w:tcPr>
            <w:tcW w:w="3936" w:type="dxa"/>
          </w:tcPr>
          <w:p w14:paraId="180B02FC" w14:textId="77777777" w:rsidR="009A689A" w:rsidRPr="009A689A" w:rsidRDefault="009A689A" w:rsidP="00211F03">
            <w:pPr>
              <w:rPr>
                <w:rFonts w:ascii="Arial" w:hAnsi="Arial" w:cs="Arial"/>
              </w:rPr>
            </w:pPr>
          </w:p>
        </w:tc>
        <w:tc>
          <w:tcPr>
            <w:tcW w:w="5670" w:type="dxa"/>
          </w:tcPr>
          <w:p w14:paraId="797E2FE5" w14:textId="77777777" w:rsidR="009A689A" w:rsidRDefault="009A689A" w:rsidP="00270AAE">
            <w:pPr>
              <w:rPr>
                <w:rFonts w:ascii="Arial" w:hAnsi="Arial" w:cs="Arial"/>
              </w:rPr>
            </w:pPr>
          </w:p>
        </w:tc>
      </w:tr>
      <w:tr w:rsidR="00433AA7" w:rsidRPr="001E764F" w14:paraId="45255DD1" w14:textId="77777777" w:rsidTr="00E27193">
        <w:tc>
          <w:tcPr>
            <w:tcW w:w="3936" w:type="dxa"/>
          </w:tcPr>
          <w:p w14:paraId="71BDC08C" w14:textId="3643F521" w:rsidR="00433AA7" w:rsidRDefault="0053255B" w:rsidP="00211F03">
            <w:pPr>
              <w:rPr>
                <w:rFonts w:ascii="Arial" w:hAnsi="Arial" w:cs="Arial"/>
              </w:rPr>
            </w:pPr>
            <w:r>
              <w:rPr>
                <w:rFonts w:ascii="Arial" w:hAnsi="Arial" w:cs="Arial"/>
              </w:rPr>
              <w:t>multiple appellants</w:t>
            </w:r>
          </w:p>
          <w:p w14:paraId="792081CB" w14:textId="7AAD9F1B" w:rsidR="0053255B" w:rsidRPr="009A689A" w:rsidRDefault="0053255B" w:rsidP="00211F03">
            <w:pPr>
              <w:rPr>
                <w:rFonts w:ascii="Arial" w:hAnsi="Arial" w:cs="Arial"/>
              </w:rPr>
            </w:pPr>
          </w:p>
        </w:tc>
        <w:tc>
          <w:tcPr>
            <w:tcW w:w="5670" w:type="dxa"/>
          </w:tcPr>
          <w:p w14:paraId="6F204C8B" w14:textId="4DB61A75" w:rsidR="00433AA7" w:rsidRDefault="00433AA7" w:rsidP="00270AAE">
            <w:pPr>
              <w:rPr>
                <w:rFonts w:ascii="Arial" w:hAnsi="Arial" w:cs="Arial"/>
              </w:rPr>
            </w:pPr>
            <w:r>
              <w:rPr>
                <w:rFonts w:ascii="Arial" w:hAnsi="Arial" w:cs="Arial"/>
              </w:rPr>
              <w:lastRenderedPageBreak/>
              <w:t xml:space="preserve">B. </w:t>
            </w:r>
            <w:proofErr w:type="spellStart"/>
            <w:r>
              <w:rPr>
                <w:rFonts w:ascii="Arial" w:hAnsi="Arial" w:cs="Arial"/>
              </w:rPr>
              <w:t>Horosko</w:t>
            </w:r>
            <w:proofErr w:type="spellEnd"/>
          </w:p>
        </w:tc>
      </w:tr>
      <w:tr w:rsidR="00433AA7" w:rsidRPr="001E764F" w14:paraId="2E69B9AB" w14:textId="77777777" w:rsidTr="00E27193">
        <w:tc>
          <w:tcPr>
            <w:tcW w:w="3936" w:type="dxa"/>
          </w:tcPr>
          <w:p w14:paraId="66A4BDE3" w14:textId="77777777" w:rsidR="00433AA7" w:rsidRPr="009A689A" w:rsidRDefault="00433AA7" w:rsidP="00211F03">
            <w:pPr>
              <w:rPr>
                <w:rFonts w:ascii="Arial" w:hAnsi="Arial" w:cs="Arial"/>
              </w:rPr>
            </w:pPr>
          </w:p>
        </w:tc>
        <w:tc>
          <w:tcPr>
            <w:tcW w:w="5670" w:type="dxa"/>
          </w:tcPr>
          <w:p w14:paraId="5915A50D" w14:textId="77777777" w:rsidR="00433AA7" w:rsidRDefault="00433AA7" w:rsidP="00270AAE">
            <w:pPr>
              <w:rPr>
                <w:rFonts w:ascii="Arial" w:hAnsi="Arial" w:cs="Arial"/>
              </w:rPr>
            </w:pPr>
          </w:p>
        </w:tc>
      </w:tr>
      <w:tr w:rsidR="009A689A" w:rsidRPr="001E764F" w14:paraId="24CE9717" w14:textId="77777777" w:rsidTr="00E27193">
        <w:tc>
          <w:tcPr>
            <w:tcW w:w="3936" w:type="dxa"/>
          </w:tcPr>
          <w:p w14:paraId="2A072B9A" w14:textId="77777777" w:rsidR="009A689A" w:rsidRPr="009A689A" w:rsidRDefault="009A689A" w:rsidP="00211F03">
            <w:pPr>
              <w:rPr>
                <w:rFonts w:ascii="Arial" w:hAnsi="Arial" w:cs="Arial"/>
              </w:rPr>
            </w:pPr>
            <w:r w:rsidRPr="009A689A">
              <w:rPr>
                <w:rFonts w:ascii="Arial" w:hAnsi="Arial" w:cs="Arial"/>
              </w:rPr>
              <w:t>Costco Wholesale Canada Ltd.</w:t>
            </w:r>
          </w:p>
          <w:p w14:paraId="54B069D2" w14:textId="6868819E" w:rsidR="009A689A" w:rsidRPr="009A689A" w:rsidRDefault="009A689A" w:rsidP="00211F03">
            <w:r w:rsidRPr="009A689A">
              <w:rPr>
                <w:rFonts w:ascii="Arial" w:hAnsi="Arial" w:cs="Arial"/>
              </w:rPr>
              <w:t>Walmart Canada Corp.</w:t>
            </w:r>
          </w:p>
        </w:tc>
        <w:tc>
          <w:tcPr>
            <w:tcW w:w="5670" w:type="dxa"/>
          </w:tcPr>
          <w:p w14:paraId="44B81B56" w14:textId="77777777" w:rsidR="009A689A" w:rsidRPr="00481D20" w:rsidRDefault="009A689A" w:rsidP="009A689A">
            <w:r>
              <w:rPr>
                <w:rFonts w:ascii="Arial" w:hAnsi="Arial" w:cs="Arial"/>
              </w:rPr>
              <w:t xml:space="preserve">M. </w:t>
            </w:r>
            <w:proofErr w:type="spellStart"/>
            <w:r w:rsidRPr="009A689A">
              <w:rPr>
                <w:rFonts w:ascii="Arial" w:hAnsi="Arial" w:cs="Arial"/>
              </w:rPr>
              <w:t>Noskiewicz</w:t>
            </w:r>
            <w:proofErr w:type="spellEnd"/>
          </w:p>
          <w:p w14:paraId="0ED88E0F" w14:textId="67D434E6" w:rsidR="009A689A" w:rsidRDefault="00433AA7" w:rsidP="00270AAE">
            <w:pPr>
              <w:rPr>
                <w:rFonts w:ascii="Arial" w:hAnsi="Arial" w:cs="Arial"/>
              </w:rPr>
            </w:pPr>
            <w:r>
              <w:rPr>
                <w:rFonts w:ascii="Arial" w:hAnsi="Arial" w:cs="Arial"/>
              </w:rPr>
              <w:t>R. Houser</w:t>
            </w:r>
          </w:p>
        </w:tc>
      </w:tr>
      <w:tr w:rsidR="009A689A" w:rsidRPr="001E764F" w14:paraId="026B95DA" w14:textId="77777777" w:rsidTr="00E27193">
        <w:tc>
          <w:tcPr>
            <w:tcW w:w="3936" w:type="dxa"/>
          </w:tcPr>
          <w:p w14:paraId="5FABEC5B" w14:textId="77777777" w:rsidR="009A689A" w:rsidRPr="009A689A" w:rsidRDefault="009A689A" w:rsidP="00211F03">
            <w:pPr>
              <w:rPr>
                <w:rFonts w:ascii="Arial" w:hAnsi="Arial" w:cs="Arial"/>
              </w:rPr>
            </w:pPr>
          </w:p>
        </w:tc>
        <w:tc>
          <w:tcPr>
            <w:tcW w:w="5670" w:type="dxa"/>
          </w:tcPr>
          <w:p w14:paraId="61973F7D" w14:textId="77777777" w:rsidR="009A689A" w:rsidRDefault="009A689A" w:rsidP="009A689A">
            <w:pPr>
              <w:rPr>
                <w:rFonts w:ascii="Arial" w:hAnsi="Arial" w:cs="Arial"/>
              </w:rPr>
            </w:pPr>
          </w:p>
        </w:tc>
      </w:tr>
      <w:tr w:rsidR="009A689A" w:rsidRPr="001E764F" w14:paraId="6529EA9F" w14:textId="77777777" w:rsidTr="00E27193">
        <w:tc>
          <w:tcPr>
            <w:tcW w:w="3936" w:type="dxa"/>
          </w:tcPr>
          <w:p w14:paraId="0BB86C06" w14:textId="3E20FA41" w:rsidR="009A689A" w:rsidRPr="006745E1" w:rsidRDefault="006745E1" w:rsidP="00211F03">
            <w:pPr>
              <w:rPr>
                <w:rFonts w:ascii="Arial" w:hAnsi="Arial" w:cs="Arial"/>
              </w:rPr>
            </w:pPr>
            <w:proofErr w:type="spellStart"/>
            <w:r w:rsidRPr="006745E1">
              <w:rPr>
                <w:rFonts w:ascii="Arial" w:hAnsi="Arial" w:cs="Arial"/>
              </w:rPr>
              <w:t>Hiltin</w:t>
            </w:r>
            <w:proofErr w:type="spellEnd"/>
            <w:r w:rsidRPr="006745E1">
              <w:rPr>
                <w:rFonts w:ascii="Arial" w:hAnsi="Arial" w:cs="Arial"/>
              </w:rPr>
              <w:t xml:space="preserve"> Hills Development Inc.</w:t>
            </w:r>
          </w:p>
        </w:tc>
        <w:tc>
          <w:tcPr>
            <w:tcW w:w="5670" w:type="dxa"/>
          </w:tcPr>
          <w:p w14:paraId="3D14E1DF" w14:textId="641CB1DB" w:rsidR="009A689A" w:rsidRPr="00E770C9" w:rsidRDefault="006745E1" w:rsidP="009A689A">
            <w:pPr>
              <w:rPr>
                <w:rFonts w:ascii="Arial" w:hAnsi="Arial" w:cs="Arial"/>
              </w:rPr>
            </w:pPr>
            <w:r w:rsidRPr="00E770C9">
              <w:rPr>
                <w:rFonts w:ascii="Arial" w:hAnsi="Arial" w:cs="Arial"/>
              </w:rPr>
              <w:t>J.A.R. Dawson</w:t>
            </w:r>
          </w:p>
        </w:tc>
      </w:tr>
      <w:tr w:rsidR="00E770C9" w:rsidRPr="001E764F" w14:paraId="49A130F0" w14:textId="77777777" w:rsidTr="00E27193">
        <w:tc>
          <w:tcPr>
            <w:tcW w:w="3936" w:type="dxa"/>
          </w:tcPr>
          <w:p w14:paraId="057ACE24" w14:textId="77777777" w:rsidR="00E770C9" w:rsidRPr="006745E1" w:rsidRDefault="00E770C9" w:rsidP="00211F03">
            <w:pPr>
              <w:rPr>
                <w:rFonts w:ascii="Arial" w:hAnsi="Arial" w:cs="Arial"/>
              </w:rPr>
            </w:pPr>
          </w:p>
        </w:tc>
        <w:tc>
          <w:tcPr>
            <w:tcW w:w="5670" w:type="dxa"/>
          </w:tcPr>
          <w:p w14:paraId="5342ED94" w14:textId="77777777" w:rsidR="00E770C9" w:rsidRPr="00E770C9" w:rsidRDefault="00E770C9" w:rsidP="009A689A">
            <w:pPr>
              <w:rPr>
                <w:rFonts w:ascii="Arial" w:hAnsi="Arial" w:cs="Arial"/>
              </w:rPr>
            </w:pPr>
          </w:p>
        </w:tc>
      </w:tr>
      <w:tr w:rsidR="00E770C9" w:rsidRPr="001E764F" w14:paraId="06E7F21C" w14:textId="77777777" w:rsidTr="00E27193">
        <w:tc>
          <w:tcPr>
            <w:tcW w:w="3936" w:type="dxa"/>
          </w:tcPr>
          <w:p w14:paraId="1A8942D5" w14:textId="3A1ADD7E" w:rsidR="00E770C9" w:rsidRPr="00955E01" w:rsidRDefault="00955E01" w:rsidP="00211F03">
            <w:pPr>
              <w:rPr>
                <w:rFonts w:ascii="Arial" w:hAnsi="Arial" w:cs="Arial"/>
              </w:rPr>
            </w:pPr>
            <w:r w:rsidRPr="00955E01">
              <w:rPr>
                <w:rFonts w:ascii="Arial" w:hAnsi="Arial" w:cs="Arial"/>
              </w:rPr>
              <w:t>Leslie Lakeshore Developments Inc.</w:t>
            </w:r>
            <w:r w:rsidR="00433AA7">
              <w:rPr>
                <w:rFonts w:ascii="Arial" w:hAnsi="Arial" w:cs="Arial"/>
              </w:rPr>
              <w:t xml:space="preserve"> (CRAFT)</w:t>
            </w:r>
          </w:p>
        </w:tc>
        <w:tc>
          <w:tcPr>
            <w:tcW w:w="5670" w:type="dxa"/>
          </w:tcPr>
          <w:p w14:paraId="01D3568A" w14:textId="7220B3F2" w:rsidR="00E770C9" w:rsidRDefault="00955E01" w:rsidP="009A689A">
            <w:pPr>
              <w:rPr>
                <w:rFonts w:ascii="Arial" w:hAnsi="Arial" w:cs="Arial"/>
              </w:rPr>
            </w:pPr>
            <w:r>
              <w:rPr>
                <w:rFonts w:ascii="Arial" w:hAnsi="Arial" w:cs="Arial"/>
              </w:rPr>
              <w:t xml:space="preserve">P. </w:t>
            </w:r>
            <w:proofErr w:type="spellStart"/>
            <w:r>
              <w:rPr>
                <w:rFonts w:ascii="Arial" w:hAnsi="Arial" w:cs="Arial"/>
              </w:rPr>
              <w:t>DeMelo</w:t>
            </w:r>
            <w:proofErr w:type="spellEnd"/>
          </w:p>
          <w:p w14:paraId="1ED5B0AF" w14:textId="38B1355B" w:rsidR="00433AA7" w:rsidRPr="00E770C9" w:rsidRDefault="00433AA7" w:rsidP="009A689A">
            <w:pPr>
              <w:rPr>
                <w:rFonts w:ascii="Arial" w:hAnsi="Arial" w:cs="Arial"/>
              </w:rPr>
            </w:pPr>
            <w:r>
              <w:rPr>
                <w:rFonts w:ascii="Arial" w:hAnsi="Arial" w:cs="Arial"/>
              </w:rPr>
              <w:t>I. Kagan</w:t>
            </w:r>
          </w:p>
        </w:tc>
      </w:tr>
      <w:tr w:rsidR="00955E01" w:rsidRPr="001E764F" w14:paraId="6F08BA66" w14:textId="77777777" w:rsidTr="00E27193">
        <w:tc>
          <w:tcPr>
            <w:tcW w:w="3936" w:type="dxa"/>
          </w:tcPr>
          <w:p w14:paraId="581ECF4C" w14:textId="77777777" w:rsidR="00955E01" w:rsidRPr="00955E01" w:rsidRDefault="00955E01" w:rsidP="00211F03">
            <w:pPr>
              <w:rPr>
                <w:rFonts w:ascii="Arial" w:hAnsi="Arial" w:cs="Arial"/>
              </w:rPr>
            </w:pPr>
          </w:p>
        </w:tc>
        <w:tc>
          <w:tcPr>
            <w:tcW w:w="5670" w:type="dxa"/>
          </w:tcPr>
          <w:p w14:paraId="310384C1" w14:textId="77777777" w:rsidR="00955E01" w:rsidRDefault="00955E01" w:rsidP="009A689A">
            <w:pPr>
              <w:rPr>
                <w:rFonts w:ascii="Arial" w:hAnsi="Arial" w:cs="Arial"/>
              </w:rPr>
            </w:pPr>
          </w:p>
        </w:tc>
      </w:tr>
      <w:tr w:rsidR="00955E01" w:rsidRPr="001E764F" w14:paraId="1B3CDD56" w14:textId="77777777" w:rsidTr="00E27193">
        <w:tc>
          <w:tcPr>
            <w:tcW w:w="3936" w:type="dxa"/>
          </w:tcPr>
          <w:p w14:paraId="544FB746" w14:textId="77777777" w:rsidR="00955E01" w:rsidRDefault="00955E01" w:rsidP="00211F03">
            <w:pPr>
              <w:rPr>
                <w:rFonts w:ascii="Arial" w:hAnsi="Arial" w:cs="Arial"/>
              </w:rPr>
            </w:pPr>
            <w:proofErr w:type="spellStart"/>
            <w:r w:rsidRPr="00433AA7">
              <w:rPr>
                <w:rFonts w:ascii="Arial" w:hAnsi="Arial" w:cs="Arial"/>
              </w:rPr>
              <w:t>Riocan</w:t>
            </w:r>
            <w:proofErr w:type="spellEnd"/>
            <w:r w:rsidR="00433AA7" w:rsidRPr="00433AA7">
              <w:rPr>
                <w:rFonts w:ascii="Arial" w:hAnsi="Arial" w:cs="Arial"/>
              </w:rPr>
              <w:t xml:space="preserve"> Real Estate Investment Trust</w:t>
            </w:r>
          </w:p>
          <w:p w14:paraId="1A855E96" w14:textId="0E4B72B2" w:rsidR="002B11FD" w:rsidRPr="00433AA7" w:rsidRDefault="002B11FD" w:rsidP="00211F03">
            <w:pPr>
              <w:rPr>
                <w:rFonts w:ascii="Arial" w:hAnsi="Arial" w:cs="Arial"/>
              </w:rPr>
            </w:pPr>
            <w:proofErr w:type="spellStart"/>
            <w:r>
              <w:rPr>
                <w:rFonts w:ascii="Arial" w:hAnsi="Arial" w:cs="Arial"/>
              </w:rPr>
              <w:t>Talisker</w:t>
            </w:r>
            <w:proofErr w:type="spellEnd"/>
            <w:r>
              <w:rPr>
                <w:rFonts w:ascii="Arial" w:hAnsi="Arial" w:cs="Arial"/>
              </w:rPr>
              <w:t xml:space="preserve"> (Queensway) G.P. Inc.</w:t>
            </w:r>
          </w:p>
        </w:tc>
        <w:tc>
          <w:tcPr>
            <w:tcW w:w="5670" w:type="dxa"/>
          </w:tcPr>
          <w:p w14:paraId="098A571E" w14:textId="58F75EF7" w:rsidR="00955E01" w:rsidRDefault="00955E01" w:rsidP="009A689A">
            <w:pPr>
              <w:rPr>
                <w:rFonts w:ascii="Arial" w:hAnsi="Arial" w:cs="Arial"/>
              </w:rPr>
            </w:pPr>
            <w:r>
              <w:rPr>
                <w:rFonts w:ascii="Arial" w:hAnsi="Arial" w:cs="Arial"/>
              </w:rPr>
              <w:t>J. Farber</w:t>
            </w:r>
          </w:p>
        </w:tc>
      </w:tr>
      <w:tr w:rsidR="002B11FD" w:rsidRPr="001E764F" w14:paraId="4545C9E8" w14:textId="77777777" w:rsidTr="00E27193">
        <w:tc>
          <w:tcPr>
            <w:tcW w:w="3936" w:type="dxa"/>
          </w:tcPr>
          <w:p w14:paraId="638AE0B7" w14:textId="77777777" w:rsidR="002B11FD" w:rsidRPr="00433AA7" w:rsidRDefault="002B11FD" w:rsidP="00211F03">
            <w:pPr>
              <w:rPr>
                <w:rFonts w:ascii="Arial" w:hAnsi="Arial" w:cs="Arial"/>
              </w:rPr>
            </w:pPr>
          </w:p>
        </w:tc>
        <w:tc>
          <w:tcPr>
            <w:tcW w:w="5670" w:type="dxa"/>
          </w:tcPr>
          <w:p w14:paraId="61DBB89A" w14:textId="77777777" w:rsidR="002B11FD" w:rsidRDefault="002B11FD" w:rsidP="009A689A">
            <w:pPr>
              <w:rPr>
                <w:rFonts w:ascii="Arial" w:hAnsi="Arial" w:cs="Arial"/>
              </w:rPr>
            </w:pPr>
          </w:p>
        </w:tc>
      </w:tr>
      <w:tr w:rsidR="00955E01" w:rsidRPr="001E764F" w14:paraId="38132F79" w14:textId="77777777" w:rsidTr="00E27193">
        <w:tc>
          <w:tcPr>
            <w:tcW w:w="3936" w:type="dxa"/>
          </w:tcPr>
          <w:p w14:paraId="4BEAFCEB" w14:textId="4FC2462C" w:rsidR="00955E01" w:rsidRDefault="002B11FD" w:rsidP="00211F03">
            <w:pPr>
              <w:rPr>
                <w:rFonts w:ascii="Arial" w:hAnsi="Arial" w:cs="Arial"/>
              </w:rPr>
            </w:pPr>
            <w:r>
              <w:rPr>
                <w:rFonts w:ascii="Arial" w:hAnsi="Arial" w:cs="Arial"/>
              </w:rPr>
              <w:t>2634698 Ontario Inc. and multiple appellants</w:t>
            </w:r>
          </w:p>
        </w:tc>
        <w:tc>
          <w:tcPr>
            <w:tcW w:w="5670" w:type="dxa"/>
          </w:tcPr>
          <w:p w14:paraId="3F7555D3" w14:textId="77777777" w:rsidR="00955E01" w:rsidRDefault="002B11FD" w:rsidP="009A689A">
            <w:pPr>
              <w:rPr>
                <w:rFonts w:ascii="Arial" w:hAnsi="Arial" w:cs="Arial"/>
              </w:rPr>
            </w:pPr>
            <w:r>
              <w:rPr>
                <w:rFonts w:ascii="Arial" w:hAnsi="Arial" w:cs="Arial"/>
              </w:rPr>
              <w:t>I. Andres</w:t>
            </w:r>
          </w:p>
          <w:p w14:paraId="10F592F3" w14:textId="41A22315" w:rsidR="002B11FD" w:rsidRDefault="002B11FD" w:rsidP="009A689A">
            <w:pPr>
              <w:rPr>
                <w:rFonts w:ascii="Arial" w:hAnsi="Arial" w:cs="Arial"/>
              </w:rPr>
            </w:pPr>
            <w:r>
              <w:rPr>
                <w:rFonts w:ascii="Arial" w:hAnsi="Arial" w:cs="Arial"/>
              </w:rPr>
              <w:t xml:space="preserve">D. </w:t>
            </w:r>
            <w:proofErr w:type="spellStart"/>
            <w:r>
              <w:rPr>
                <w:rFonts w:ascii="Arial" w:hAnsi="Arial" w:cs="Arial"/>
              </w:rPr>
              <w:t>Bronskill</w:t>
            </w:r>
            <w:proofErr w:type="spellEnd"/>
          </w:p>
        </w:tc>
      </w:tr>
      <w:tr w:rsidR="002B11FD" w:rsidRPr="001E764F" w14:paraId="28691CA8" w14:textId="77777777" w:rsidTr="00E27193">
        <w:tc>
          <w:tcPr>
            <w:tcW w:w="3936" w:type="dxa"/>
          </w:tcPr>
          <w:p w14:paraId="6D15DFCE" w14:textId="77777777" w:rsidR="002B11FD" w:rsidRDefault="002B11FD" w:rsidP="00211F03">
            <w:pPr>
              <w:rPr>
                <w:rFonts w:ascii="Arial" w:hAnsi="Arial" w:cs="Arial"/>
              </w:rPr>
            </w:pPr>
          </w:p>
        </w:tc>
        <w:tc>
          <w:tcPr>
            <w:tcW w:w="5670" w:type="dxa"/>
          </w:tcPr>
          <w:p w14:paraId="7B37D812" w14:textId="77777777" w:rsidR="002B11FD" w:rsidRDefault="002B11FD" w:rsidP="009A689A">
            <w:pPr>
              <w:rPr>
                <w:rFonts w:ascii="Arial" w:hAnsi="Arial" w:cs="Arial"/>
              </w:rPr>
            </w:pPr>
          </w:p>
        </w:tc>
      </w:tr>
      <w:tr w:rsidR="002B11FD" w:rsidRPr="001E764F" w14:paraId="28C7C3DD" w14:textId="77777777" w:rsidTr="00E27193">
        <w:tc>
          <w:tcPr>
            <w:tcW w:w="3936" w:type="dxa"/>
          </w:tcPr>
          <w:p w14:paraId="60FE573E" w14:textId="77777777" w:rsidR="002B11FD" w:rsidRDefault="002B11FD" w:rsidP="00211F03">
            <w:pPr>
              <w:rPr>
                <w:rFonts w:ascii="Arial" w:hAnsi="Arial" w:cs="Arial"/>
              </w:rPr>
            </w:pPr>
            <w:r>
              <w:rPr>
                <w:rFonts w:ascii="Arial" w:hAnsi="Arial" w:cs="Arial"/>
              </w:rPr>
              <w:t>Northam Realty Advisors Ltd.</w:t>
            </w:r>
          </w:p>
          <w:p w14:paraId="6E750514" w14:textId="072765AD" w:rsidR="002B11FD" w:rsidRDefault="002B11FD" w:rsidP="00211F03">
            <w:pPr>
              <w:rPr>
                <w:rFonts w:ascii="Arial" w:hAnsi="Arial" w:cs="Arial"/>
              </w:rPr>
            </w:pPr>
            <w:r>
              <w:rPr>
                <w:rFonts w:ascii="Arial" w:hAnsi="Arial" w:cs="Arial"/>
              </w:rPr>
              <w:t>Menkes 225 Birmingham St. Inc.</w:t>
            </w:r>
          </w:p>
        </w:tc>
        <w:tc>
          <w:tcPr>
            <w:tcW w:w="5670" w:type="dxa"/>
          </w:tcPr>
          <w:p w14:paraId="27805EF0" w14:textId="77777777" w:rsidR="002B11FD" w:rsidRDefault="002B11FD" w:rsidP="009A689A">
            <w:pPr>
              <w:rPr>
                <w:rFonts w:ascii="Arial" w:hAnsi="Arial" w:cs="Arial"/>
              </w:rPr>
            </w:pPr>
            <w:r>
              <w:rPr>
                <w:rFonts w:ascii="Arial" w:hAnsi="Arial" w:cs="Arial"/>
              </w:rPr>
              <w:t>N. Mares</w:t>
            </w:r>
          </w:p>
          <w:p w14:paraId="1A50CCA6" w14:textId="47E86252" w:rsidR="002B11FD" w:rsidRDefault="002B11FD" w:rsidP="009A689A">
            <w:pPr>
              <w:rPr>
                <w:rFonts w:ascii="Arial" w:hAnsi="Arial" w:cs="Arial"/>
              </w:rPr>
            </w:pPr>
            <w:r>
              <w:rPr>
                <w:rFonts w:ascii="Arial" w:hAnsi="Arial" w:cs="Arial"/>
              </w:rPr>
              <w:t xml:space="preserve">J. </w:t>
            </w:r>
            <w:proofErr w:type="spellStart"/>
            <w:r>
              <w:rPr>
                <w:rFonts w:ascii="Arial" w:hAnsi="Arial" w:cs="Arial"/>
              </w:rPr>
              <w:t>Smuskowitz</w:t>
            </w:r>
            <w:proofErr w:type="spellEnd"/>
          </w:p>
        </w:tc>
      </w:tr>
      <w:tr w:rsidR="002B11FD" w:rsidRPr="001E764F" w14:paraId="76BC9A3F" w14:textId="77777777" w:rsidTr="00E27193">
        <w:tc>
          <w:tcPr>
            <w:tcW w:w="3936" w:type="dxa"/>
          </w:tcPr>
          <w:p w14:paraId="4B09F424" w14:textId="77777777" w:rsidR="002B11FD" w:rsidRDefault="002B11FD" w:rsidP="00211F03">
            <w:pPr>
              <w:rPr>
                <w:rFonts w:ascii="Arial" w:hAnsi="Arial" w:cs="Arial"/>
              </w:rPr>
            </w:pPr>
          </w:p>
        </w:tc>
        <w:tc>
          <w:tcPr>
            <w:tcW w:w="5670" w:type="dxa"/>
          </w:tcPr>
          <w:p w14:paraId="57E7E803" w14:textId="77777777" w:rsidR="002B11FD" w:rsidRDefault="002B11FD" w:rsidP="009A689A">
            <w:pPr>
              <w:rPr>
                <w:rFonts w:ascii="Arial" w:hAnsi="Arial" w:cs="Arial"/>
              </w:rPr>
            </w:pPr>
          </w:p>
        </w:tc>
      </w:tr>
      <w:tr w:rsidR="002B11FD" w:rsidRPr="001E764F" w14:paraId="160DDE3B" w14:textId="77777777" w:rsidTr="00E27193">
        <w:tc>
          <w:tcPr>
            <w:tcW w:w="3936" w:type="dxa"/>
          </w:tcPr>
          <w:p w14:paraId="1847BF90" w14:textId="15A1EE0E" w:rsidR="002B11FD" w:rsidRPr="00E27193" w:rsidRDefault="00E27193" w:rsidP="00211F03">
            <w:pPr>
              <w:rPr>
                <w:rFonts w:ascii="Arial" w:hAnsi="Arial" w:cs="Arial"/>
                <w:sz w:val="22"/>
                <w:szCs w:val="22"/>
                <w:lang w:val="en-CA"/>
              </w:rPr>
            </w:pPr>
            <w:r w:rsidRPr="00E27193">
              <w:rPr>
                <w:rFonts w:ascii="Arial" w:hAnsi="Arial" w:cs="Arial"/>
              </w:rPr>
              <w:t>Appellant 38 Winfield</w:t>
            </w:r>
          </w:p>
        </w:tc>
        <w:tc>
          <w:tcPr>
            <w:tcW w:w="5670" w:type="dxa"/>
          </w:tcPr>
          <w:p w14:paraId="138CA7CB" w14:textId="621D1C14" w:rsidR="002B11FD" w:rsidRDefault="002B11FD" w:rsidP="009A689A">
            <w:pPr>
              <w:rPr>
                <w:rFonts w:ascii="Arial" w:hAnsi="Arial" w:cs="Arial"/>
              </w:rPr>
            </w:pPr>
            <w:r>
              <w:rPr>
                <w:rFonts w:ascii="Arial" w:hAnsi="Arial" w:cs="Arial"/>
              </w:rPr>
              <w:t>P. Duffy</w:t>
            </w:r>
          </w:p>
        </w:tc>
      </w:tr>
      <w:tr w:rsidR="002B11FD" w:rsidRPr="001E764F" w14:paraId="2FE10F55" w14:textId="77777777" w:rsidTr="00E27193">
        <w:trPr>
          <w:trHeight w:val="302"/>
        </w:trPr>
        <w:tc>
          <w:tcPr>
            <w:tcW w:w="3936" w:type="dxa"/>
          </w:tcPr>
          <w:p w14:paraId="1AF2D52D" w14:textId="77777777" w:rsidR="002B11FD" w:rsidRDefault="002B11FD" w:rsidP="00211F03">
            <w:pPr>
              <w:rPr>
                <w:rFonts w:ascii="Arial" w:hAnsi="Arial" w:cs="Arial"/>
              </w:rPr>
            </w:pPr>
          </w:p>
        </w:tc>
        <w:tc>
          <w:tcPr>
            <w:tcW w:w="5670" w:type="dxa"/>
          </w:tcPr>
          <w:p w14:paraId="70E8D931" w14:textId="77777777" w:rsidR="002B11FD" w:rsidRDefault="002B11FD" w:rsidP="009A689A">
            <w:pPr>
              <w:rPr>
                <w:rFonts w:ascii="Arial" w:hAnsi="Arial" w:cs="Arial"/>
              </w:rPr>
            </w:pPr>
          </w:p>
        </w:tc>
      </w:tr>
      <w:tr w:rsidR="002B11FD" w:rsidRPr="001E764F" w14:paraId="6DFEB359" w14:textId="77777777" w:rsidTr="00E27193">
        <w:trPr>
          <w:trHeight w:val="302"/>
        </w:trPr>
        <w:tc>
          <w:tcPr>
            <w:tcW w:w="3936" w:type="dxa"/>
          </w:tcPr>
          <w:p w14:paraId="28C93E37" w14:textId="0EFAABEE" w:rsidR="002B11FD" w:rsidRDefault="002B11FD" w:rsidP="00211F03">
            <w:pPr>
              <w:rPr>
                <w:rFonts w:ascii="Arial" w:hAnsi="Arial" w:cs="Arial"/>
              </w:rPr>
            </w:pPr>
            <w:r>
              <w:rPr>
                <w:rFonts w:ascii="Arial" w:hAnsi="Arial" w:cs="Arial"/>
              </w:rPr>
              <w:t>87 Ethel Avenue Holdings Inc.</w:t>
            </w:r>
          </w:p>
        </w:tc>
        <w:tc>
          <w:tcPr>
            <w:tcW w:w="5670" w:type="dxa"/>
          </w:tcPr>
          <w:p w14:paraId="4B649D98" w14:textId="70248D80" w:rsidR="002B11FD" w:rsidRDefault="003026FC" w:rsidP="009A689A">
            <w:pPr>
              <w:rPr>
                <w:rFonts w:ascii="Arial" w:hAnsi="Arial" w:cs="Arial"/>
              </w:rPr>
            </w:pPr>
            <w:r>
              <w:rPr>
                <w:rFonts w:ascii="Arial" w:hAnsi="Arial" w:cs="Arial"/>
              </w:rPr>
              <w:t xml:space="preserve">J. </w:t>
            </w:r>
            <w:proofErr w:type="spellStart"/>
            <w:r>
              <w:rPr>
                <w:rFonts w:ascii="Arial" w:hAnsi="Arial" w:cs="Arial"/>
              </w:rPr>
              <w:t>Alati</w:t>
            </w:r>
            <w:proofErr w:type="spellEnd"/>
          </w:p>
        </w:tc>
      </w:tr>
      <w:tr w:rsidR="003026FC" w:rsidRPr="001E764F" w14:paraId="7723D360" w14:textId="77777777" w:rsidTr="00E27193">
        <w:trPr>
          <w:trHeight w:val="302"/>
        </w:trPr>
        <w:tc>
          <w:tcPr>
            <w:tcW w:w="3936" w:type="dxa"/>
          </w:tcPr>
          <w:p w14:paraId="369FC019" w14:textId="77777777" w:rsidR="003026FC" w:rsidRDefault="003026FC" w:rsidP="00211F03">
            <w:pPr>
              <w:rPr>
                <w:rFonts w:ascii="Arial" w:hAnsi="Arial" w:cs="Arial"/>
              </w:rPr>
            </w:pPr>
          </w:p>
        </w:tc>
        <w:tc>
          <w:tcPr>
            <w:tcW w:w="5670" w:type="dxa"/>
          </w:tcPr>
          <w:p w14:paraId="29993F72" w14:textId="77777777" w:rsidR="003026FC" w:rsidRDefault="003026FC" w:rsidP="009A689A">
            <w:pPr>
              <w:rPr>
                <w:rFonts w:ascii="Arial" w:hAnsi="Arial" w:cs="Arial"/>
              </w:rPr>
            </w:pPr>
          </w:p>
        </w:tc>
      </w:tr>
      <w:tr w:rsidR="00955E01" w:rsidRPr="001E764F" w14:paraId="7F9C6A0A" w14:textId="77777777" w:rsidTr="00E27193">
        <w:tc>
          <w:tcPr>
            <w:tcW w:w="3936" w:type="dxa"/>
          </w:tcPr>
          <w:p w14:paraId="09630F42" w14:textId="5A1B11FA" w:rsidR="00955E01" w:rsidRPr="00955E01" w:rsidRDefault="00955E01" w:rsidP="00211F03">
            <w:pPr>
              <w:rPr>
                <w:rFonts w:ascii="Arial" w:hAnsi="Arial" w:cs="Arial"/>
              </w:rPr>
            </w:pPr>
            <w:r w:rsidRPr="00955E01">
              <w:rPr>
                <w:rFonts w:ascii="Arial" w:hAnsi="Arial" w:cs="Arial"/>
              </w:rPr>
              <w:t>Champagne Centre Ltd.</w:t>
            </w:r>
          </w:p>
        </w:tc>
        <w:tc>
          <w:tcPr>
            <w:tcW w:w="5670" w:type="dxa"/>
          </w:tcPr>
          <w:p w14:paraId="12745984" w14:textId="77777777" w:rsidR="00955E01" w:rsidRDefault="00955E01" w:rsidP="009A689A">
            <w:pPr>
              <w:rPr>
                <w:rFonts w:ascii="Arial" w:hAnsi="Arial" w:cs="Arial"/>
              </w:rPr>
            </w:pPr>
            <w:r>
              <w:rPr>
                <w:rFonts w:ascii="Arial" w:hAnsi="Arial" w:cs="Arial"/>
              </w:rPr>
              <w:t>C. Lantz</w:t>
            </w:r>
          </w:p>
          <w:p w14:paraId="6CCDD357" w14:textId="77777777" w:rsidR="00955E01" w:rsidRDefault="00955E01" w:rsidP="009A689A">
            <w:pPr>
              <w:rPr>
                <w:rFonts w:ascii="Arial" w:hAnsi="Arial" w:cs="Arial"/>
              </w:rPr>
            </w:pPr>
            <w:r>
              <w:rPr>
                <w:rFonts w:ascii="Arial" w:hAnsi="Arial" w:cs="Arial"/>
              </w:rPr>
              <w:t>A. Brown</w:t>
            </w:r>
          </w:p>
          <w:p w14:paraId="384D1146" w14:textId="6CDF5789" w:rsidR="003026FC" w:rsidRDefault="003026FC" w:rsidP="009A689A">
            <w:pPr>
              <w:rPr>
                <w:rFonts w:ascii="Arial" w:hAnsi="Arial" w:cs="Arial"/>
              </w:rPr>
            </w:pPr>
            <w:r>
              <w:rPr>
                <w:rFonts w:ascii="Arial" w:hAnsi="Arial" w:cs="Arial"/>
              </w:rPr>
              <w:t>J. Cheng</w:t>
            </w:r>
          </w:p>
        </w:tc>
      </w:tr>
      <w:tr w:rsidR="00955E01" w:rsidRPr="001E764F" w14:paraId="7A0E92C5" w14:textId="77777777" w:rsidTr="00E27193">
        <w:tc>
          <w:tcPr>
            <w:tcW w:w="3936" w:type="dxa"/>
          </w:tcPr>
          <w:p w14:paraId="35A6137A" w14:textId="77777777" w:rsidR="00955E01" w:rsidRPr="00481D20" w:rsidRDefault="00955E01" w:rsidP="00211F03"/>
        </w:tc>
        <w:tc>
          <w:tcPr>
            <w:tcW w:w="5670" w:type="dxa"/>
          </w:tcPr>
          <w:p w14:paraId="3F45F681" w14:textId="77777777" w:rsidR="00955E01" w:rsidRDefault="00955E01" w:rsidP="009A689A">
            <w:pPr>
              <w:rPr>
                <w:rFonts w:ascii="Arial" w:hAnsi="Arial" w:cs="Arial"/>
              </w:rPr>
            </w:pPr>
          </w:p>
        </w:tc>
      </w:tr>
      <w:tr w:rsidR="003026FC" w:rsidRPr="001E764F" w14:paraId="558E2809" w14:textId="77777777" w:rsidTr="00E27193">
        <w:tc>
          <w:tcPr>
            <w:tcW w:w="3936" w:type="dxa"/>
          </w:tcPr>
          <w:p w14:paraId="5AFB31F7" w14:textId="1D4D51F2" w:rsidR="003026FC" w:rsidRPr="003026FC" w:rsidRDefault="00E27193" w:rsidP="00211F03">
            <w:pPr>
              <w:rPr>
                <w:rFonts w:ascii="Arial" w:hAnsi="Arial" w:cs="Arial"/>
              </w:rPr>
            </w:pPr>
            <w:r>
              <w:rPr>
                <w:rFonts w:ascii="Arial" w:hAnsi="Arial" w:cs="Arial"/>
              </w:rPr>
              <w:t>m</w:t>
            </w:r>
            <w:r w:rsidR="003026FC" w:rsidRPr="003026FC">
              <w:rPr>
                <w:rFonts w:ascii="Arial" w:hAnsi="Arial" w:cs="Arial"/>
              </w:rPr>
              <w:t xml:space="preserve">ultiple </w:t>
            </w:r>
            <w:r>
              <w:rPr>
                <w:rFonts w:ascii="Arial" w:hAnsi="Arial" w:cs="Arial"/>
              </w:rPr>
              <w:t xml:space="preserve">Scarborough </w:t>
            </w:r>
            <w:r w:rsidR="003026FC" w:rsidRPr="003026FC">
              <w:rPr>
                <w:rFonts w:ascii="Arial" w:hAnsi="Arial" w:cs="Arial"/>
              </w:rPr>
              <w:t>appellants</w:t>
            </w:r>
          </w:p>
        </w:tc>
        <w:tc>
          <w:tcPr>
            <w:tcW w:w="5670" w:type="dxa"/>
          </w:tcPr>
          <w:p w14:paraId="71B8B1E9" w14:textId="2D709538" w:rsidR="003026FC" w:rsidRDefault="003026FC" w:rsidP="009A689A">
            <w:pPr>
              <w:rPr>
                <w:rFonts w:ascii="Arial" w:hAnsi="Arial" w:cs="Arial"/>
              </w:rPr>
            </w:pPr>
            <w:r>
              <w:rPr>
                <w:rFonts w:ascii="Arial" w:hAnsi="Arial" w:cs="Arial"/>
              </w:rPr>
              <w:t>D. White</w:t>
            </w:r>
          </w:p>
        </w:tc>
      </w:tr>
      <w:tr w:rsidR="003026FC" w:rsidRPr="001E764F" w14:paraId="527E79EA" w14:textId="77777777" w:rsidTr="00E27193">
        <w:tc>
          <w:tcPr>
            <w:tcW w:w="3936" w:type="dxa"/>
          </w:tcPr>
          <w:p w14:paraId="4FBCED5C" w14:textId="77777777" w:rsidR="003026FC" w:rsidRPr="003026FC" w:rsidRDefault="003026FC" w:rsidP="00211F03">
            <w:pPr>
              <w:rPr>
                <w:rFonts w:ascii="Arial" w:hAnsi="Arial" w:cs="Arial"/>
              </w:rPr>
            </w:pPr>
          </w:p>
        </w:tc>
        <w:tc>
          <w:tcPr>
            <w:tcW w:w="5670" w:type="dxa"/>
          </w:tcPr>
          <w:p w14:paraId="1DEAC46E" w14:textId="77777777" w:rsidR="003026FC" w:rsidRDefault="003026FC" w:rsidP="009A689A">
            <w:pPr>
              <w:rPr>
                <w:rFonts w:ascii="Arial" w:hAnsi="Arial" w:cs="Arial"/>
              </w:rPr>
            </w:pPr>
          </w:p>
        </w:tc>
      </w:tr>
      <w:tr w:rsidR="00955E01" w:rsidRPr="001E764F" w14:paraId="4E27E345" w14:textId="77777777" w:rsidTr="00E27193">
        <w:tc>
          <w:tcPr>
            <w:tcW w:w="3936" w:type="dxa"/>
          </w:tcPr>
          <w:p w14:paraId="09E6DB6A" w14:textId="52514D17" w:rsidR="00955E01" w:rsidRPr="00955E01" w:rsidRDefault="00955E01" w:rsidP="00211F03">
            <w:pPr>
              <w:rPr>
                <w:rFonts w:ascii="Arial" w:hAnsi="Arial" w:cs="Arial"/>
              </w:rPr>
            </w:pPr>
            <w:proofErr w:type="spellStart"/>
            <w:r w:rsidRPr="00955E01">
              <w:rPr>
                <w:rFonts w:ascii="Arial" w:hAnsi="Arial" w:cs="Arial"/>
              </w:rPr>
              <w:t>Berkely</w:t>
            </w:r>
            <w:proofErr w:type="spellEnd"/>
            <w:r w:rsidRPr="00955E01">
              <w:rPr>
                <w:rFonts w:ascii="Arial" w:hAnsi="Arial" w:cs="Arial"/>
              </w:rPr>
              <w:t xml:space="preserve"> Carlyle</w:t>
            </w:r>
            <w:r w:rsidR="003026FC">
              <w:rPr>
                <w:rFonts w:ascii="Arial" w:hAnsi="Arial" w:cs="Arial"/>
              </w:rPr>
              <w:t xml:space="preserve"> (Junction) Inc.</w:t>
            </w:r>
          </w:p>
        </w:tc>
        <w:tc>
          <w:tcPr>
            <w:tcW w:w="5670" w:type="dxa"/>
          </w:tcPr>
          <w:p w14:paraId="15B7BB38" w14:textId="2EB3571F" w:rsidR="00955E01" w:rsidRDefault="00182F19" w:rsidP="009A689A">
            <w:pPr>
              <w:rPr>
                <w:rFonts w:ascii="Arial" w:hAnsi="Arial" w:cs="Arial"/>
              </w:rPr>
            </w:pPr>
            <w:r>
              <w:rPr>
                <w:rFonts w:ascii="Arial" w:hAnsi="Arial" w:cs="Arial"/>
              </w:rPr>
              <w:t>D</w:t>
            </w:r>
            <w:r w:rsidR="00955E01">
              <w:rPr>
                <w:rFonts w:ascii="Arial" w:hAnsi="Arial" w:cs="Arial"/>
              </w:rPr>
              <w:t xml:space="preserve">. </w:t>
            </w:r>
            <w:proofErr w:type="spellStart"/>
            <w:r w:rsidR="00955E01">
              <w:rPr>
                <w:rFonts w:ascii="Arial" w:hAnsi="Arial" w:cs="Arial"/>
              </w:rPr>
              <w:t>Artenosi</w:t>
            </w:r>
            <w:proofErr w:type="spellEnd"/>
          </w:p>
          <w:p w14:paraId="787C286D" w14:textId="2770DECE" w:rsidR="00955E01" w:rsidRDefault="00955E01" w:rsidP="009A689A">
            <w:pPr>
              <w:rPr>
                <w:rFonts w:ascii="Arial" w:hAnsi="Arial" w:cs="Arial"/>
              </w:rPr>
            </w:pPr>
            <w:r>
              <w:rPr>
                <w:rFonts w:ascii="Arial" w:hAnsi="Arial" w:cs="Arial"/>
              </w:rPr>
              <w:t>M. Cara</w:t>
            </w:r>
          </w:p>
        </w:tc>
      </w:tr>
      <w:tr w:rsidR="005274EB" w:rsidRPr="001E764F" w14:paraId="55C56D3C" w14:textId="77777777" w:rsidTr="00E27193">
        <w:trPr>
          <w:trHeight w:val="316"/>
        </w:trPr>
        <w:tc>
          <w:tcPr>
            <w:tcW w:w="3936" w:type="dxa"/>
          </w:tcPr>
          <w:p w14:paraId="7779A70C" w14:textId="77777777" w:rsidR="005274EB" w:rsidRPr="005274EB" w:rsidRDefault="005274EB" w:rsidP="00211F03">
            <w:pPr>
              <w:rPr>
                <w:rFonts w:ascii="Arial" w:hAnsi="Arial" w:cs="Arial"/>
              </w:rPr>
            </w:pPr>
          </w:p>
        </w:tc>
        <w:tc>
          <w:tcPr>
            <w:tcW w:w="5670" w:type="dxa"/>
          </w:tcPr>
          <w:p w14:paraId="110A5E04" w14:textId="77777777" w:rsidR="005274EB" w:rsidRDefault="005274EB" w:rsidP="009A689A">
            <w:pPr>
              <w:rPr>
                <w:rFonts w:ascii="Arial" w:hAnsi="Arial" w:cs="Arial"/>
              </w:rPr>
            </w:pPr>
          </w:p>
        </w:tc>
      </w:tr>
      <w:tr w:rsidR="005274EB" w:rsidRPr="001E764F" w14:paraId="52F64673" w14:textId="77777777" w:rsidTr="00E27193">
        <w:trPr>
          <w:trHeight w:val="280"/>
        </w:trPr>
        <w:tc>
          <w:tcPr>
            <w:tcW w:w="3936" w:type="dxa"/>
          </w:tcPr>
          <w:p w14:paraId="2C549AD7" w14:textId="174B82FB" w:rsidR="005274EB" w:rsidRPr="005274EB" w:rsidRDefault="005274EB" w:rsidP="00211F03">
            <w:pPr>
              <w:rPr>
                <w:rFonts w:ascii="Arial" w:hAnsi="Arial" w:cs="Arial"/>
              </w:rPr>
            </w:pPr>
            <w:r w:rsidRPr="005274EB">
              <w:rPr>
                <w:rFonts w:ascii="Arial" w:hAnsi="Arial" w:cs="Arial"/>
              </w:rPr>
              <w:t>Minto Properties</w:t>
            </w:r>
          </w:p>
        </w:tc>
        <w:tc>
          <w:tcPr>
            <w:tcW w:w="5670" w:type="dxa"/>
          </w:tcPr>
          <w:p w14:paraId="44C4F4F5" w14:textId="7509484B" w:rsidR="005274EB" w:rsidRPr="005274EB" w:rsidRDefault="005274EB" w:rsidP="009A689A">
            <w:pPr>
              <w:rPr>
                <w:rFonts w:ascii="Arial" w:hAnsi="Arial" w:cs="Arial"/>
              </w:rPr>
            </w:pPr>
            <w:r w:rsidRPr="005274EB">
              <w:rPr>
                <w:rFonts w:ascii="Arial" w:hAnsi="Arial" w:cs="Arial"/>
              </w:rPr>
              <w:t xml:space="preserve">M. </w:t>
            </w:r>
            <w:proofErr w:type="spellStart"/>
            <w:r w:rsidRPr="005274EB">
              <w:rPr>
                <w:rFonts w:ascii="Arial" w:hAnsi="Arial" w:cs="Arial"/>
              </w:rPr>
              <w:t>Foderick</w:t>
            </w:r>
            <w:proofErr w:type="spellEnd"/>
          </w:p>
        </w:tc>
      </w:tr>
    </w:tbl>
    <w:p w14:paraId="086C12E7" w14:textId="77777777" w:rsidR="00935095" w:rsidRDefault="00935095" w:rsidP="00270AAE">
      <w:pPr>
        <w:rPr>
          <w:rFonts w:ascii="Arial" w:hAnsi="Arial" w:cs="Arial"/>
        </w:rPr>
      </w:pPr>
    </w:p>
    <w:p w14:paraId="351DE117" w14:textId="77777777" w:rsidR="00FF6BB4" w:rsidRDefault="00FF6BB4" w:rsidP="00270AAE">
      <w:pPr>
        <w:rPr>
          <w:rFonts w:ascii="Arial" w:hAnsi="Arial" w:cs="Arial"/>
        </w:rPr>
      </w:pPr>
    </w:p>
    <w:p w14:paraId="5650F989" w14:textId="75210065" w:rsidR="00D265BD" w:rsidRPr="000F1CE9" w:rsidRDefault="005274EB" w:rsidP="000F1CE9">
      <w:pPr>
        <w:pStyle w:val="DecisionDeliveredby"/>
      </w:pPr>
      <w:r>
        <w:t xml:space="preserve">MEMORANDUM OF ORAL </w:t>
      </w:r>
      <w:r w:rsidR="00935095" w:rsidRPr="005A767F">
        <w:t xml:space="preserve">DECISION </w:t>
      </w:r>
      <w:r w:rsidR="00C321C9">
        <w:t xml:space="preserve">DELIVERED BY </w:t>
      </w:r>
      <w:r>
        <w:t xml:space="preserve">G. BURTON AND  </w:t>
      </w:r>
      <w:r w:rsidR="007941D3">
        <w:t xml:space="preserve">          </w:t>
      </w:r>
      <w:r>
        <w:t xml:space="preserve">       D.S. COLBOURNE ON MARCH 4, 2021</w:t>
      </w:r>
      <w:r w:rsidR="00C321C9">
        <w:t xml:space="preserve"> </w:t>
      </w:r>
      <w:r w:rsidR="008E10BC">
        <w:t>AND ORDER OF THE TRIBUNAL</w:t>
      </w:r>
      <w:r w:rsidR="000F1CE9">
        <w:t xml:space="preserve"> </w:t>
      </w:r>
    </w:p>
    <w:p w14:paraId="78251D98" w14:textId="77777777" w:rsidR="005274EB" w:rsidRPr="005274EB" w:rsidRDefault="005274EB" w:rsidP="00ED00FC">
      <w:pPr>
        <w:pStyle w:val="ListParagraph"/>
      </w:pPr>
      <w:r w:rsidRPr="005274EB">
        <w:t xml:space="preserve">On March 4, 2021 the Tribunal conducted a hearing consisting of three parts. </w:t>
      </w:r>
    </w:p>
    <w:p w14:paraId="42ED4183" w14:textId="77777777" w:rsidR="005274EB" w:rsidRPr="005274EB" w:rsidRDefault="005274EB" w:rsidP="00ED00FC">
      <w:pPr>
        <w:pStyle w:val="ListParagraph"/>
      </w:pPr>
      <w:r w:rsidRPr="005274EB">
        <w:t xml:space="preserve">The first was to consider six settlements of site-specific appeals. </w:t>
      </w:r>
    </w:p>
    <w:p w14:paraId="22F70AA5" w14:textId="190527A1" w:rsidR="005274EB" w:rsidRPr="005274EB" w:rsidRDefault="005274EB" w:rsidP="00ED00FC">
      <w:pPr>
        <w:pStyle w:val="ListParagraph"/>
      </w:pPr>
      <w:r w:rsidRPr="005274EB">
        <w:lastRenderedPageBreak/>
        <w:t xml:space="preserve">The second was to consider a Motion by the City of Toronto </w:t>
      </w:r>
      <w:r w:rsidR="000C00A2">
        <w:t xml:space="preserve">(“City”) </w:t>
      </w:r>
      <w:r w:rsidRPr="005274EB">
        <w:t xml:space="preserve">to establish the phasing of site-specific appeals on the issue of employment lands under Official Plan Amendment (“OPA”) 231.  These appeals </w:t>
      </w:r>
      <w:r w:rsidR="004403B2">
        <w:t>are</w:t>
      </w:r>
      <w:r w:rsidRPr="005274EB">
        <w:t xml:space="preserve"> outstanding since the OPA was enacted in 2013. </w:t>
      </w:r>
    </w:p>
    <w:p w14:paraId="7A601D6D" w14:textId="77777777" w:rsidR="005274EB" w:rsidRPr="005274EB" w:rsidRDefault="005274EB" w:rsidP="00ED00FC">
      <w:pPr>
        <w:pStyle w:val="ListParagraph"/>
      </w:pPr>
      <w:r w:rsidRPr="005274EB">
        <w:t xml:space="preserve">The third part was to deal with two reply motions to the City’s Motion to establish phasing. These parties requested separation from the proposed phasing in order to establish individual hearings for their appeals.   </w:t>
      </w:r>
    </w:p>
    <w:p w14:paraId="5455D55C" w14:textId="77777777" w:rsidR="005274EB" w:rsidRPr="005274EB" w:rsidRDefault="005274EB" w:rsidP="004403B2">
      <w:pPr>
        <w:pStyle w:val="AffidavitParagraphs"/>
        <w:numPr>
          <w:ilvl w:val="0"/>
          <w:numId w:val="0"/>
        </w:numPr>
        <w:tabs>
          <w:tab w:val="left" w:pos="720"/>
        </w:tabs>
        <w:spacing w:beforeLines="150" w:before="360" w:afterLines="150" w:after="360"/>
        <w:jc w:val="left"/>
        <w:rPr>
          <w:b/>
          <w:bCs/>
          <w:sz w:val="24"/>
          <w:szCs w:val="24"/>
        </w:rPr>
      </w:pPr>
      <w:r w:rsidRPr="005274EB">
        <w:rPr>
          <w:b/>
          <w:bCs/>
          <w:sz w:val="24"/>
          <w:szCs w:val="24"/>
        </w:rPr>
        <w:t xml:space="preserve">BACKGROUND OF OPA 231 </w:t>
      </w:r>
    </w:p>
    <w:p w14:paraId="7BE70083" w14:textId="34DB0542" w:rsidR="005274EB" w:rsidRPr="005274EB" w:rsidRDefault="005274EB" w:rsidP="003026FC">
      <w:pPr>
        <w:pStyle w:val="AffidavitParagraphs"/>
        <w:numPr>
          <w:ilvl w:val="0"/>
          <w:numId w:val="8"/>
        </w:numPr>
        <w:tabs>
          <w:tab w:val="left" w:pos="720"/>
        </w:tabs>
        <w:spacing w:beforeLines="150" w:before="360" w:afterLines="150" w:after="360"/>
        <w:ind w:left="0" w:firstLine="0"/>
        <w:jc w:val="left"/>
        <w:rPr>
          <w:rFonts w:eastAsia="Arial"/>
          <w:b/>
          <w:bCs/>
        </w:rPr>
      </w:pPr>
      <w:r w:rsidRPr="005274EB">
        <w:rPr>
          <w:lang w:val="en-US"/>
        </w:rPr>
        <w:t xml:space="preserve">By-law </w:t>
      </w:r>
      <w:r w:rsidR="004403B2">
        <w:rPr>
          <w:lang w:val="en-US"/>
        </w:rPr>
        <w:t xml:space="preserve">No. </w:t>
      </w:r>
      <w:r w:rsidRPr="005274EB">
        <w:t xml:space="preserve">1714-2013 was adopted by City Council in December 2013, the purpose and effect of which was to adopt OPA 231 to the OP regarding the economic health policies and the policies, designations and mapping for </w:t>
      </w:r>
      <w:r w:rsidRPr="005274EB">
        <w:rPr>
          <w:i/>
        </w:rPr>
        <w:t xml:space="preserve">Employment Areas. </w:t>
      </w:r>
    </w:p>
    <w:p w14:paraId="1F98ADF3" w14:textId="56F7D1F4" w:rsidR="005274EB" w:rsidRPr="000C00A2" w:rsidRDefault="005274EB" w:rsidP="003026FC">
      <w:pPr>
        <w:pStyle w:val="Body"/>
        <w:numPr>
          <w:ilvl w:val="0"/>
          <w:numId w:val="8"/>
        </w:numPr>
        <w:spacing w:beforeLines="150" w:before="360" w:afterLines="150" w:after="360" w:line="360" w:lineRule="auto"/>
        <w:ind w:left="0" w:firstLine="0"/>
        <w:outlineLvl w:val="0"/>
        <w:rPr>
          <w:rFonts w:ascii="Arial" w:eastAsia="Arial" w:hAnsi="Arial" w:cs="Arial"/>
          <w:b/>
          <w:bCs/>
        </w:rPr>
      </w:pPr>
      <w:r w:rsidRPr="005274EB">
        <w:rPr>
          <w:rFonts w:ascii="Arial" w:hAnsi="Arial" w:cs="Arial"/>
          <w:lang w:val="en-US"/>
        </w:rPr>
        <w:t xml:space="preserve">A total of </w:t>
      </w:r>
      <w:r w:rsidRPr="005274EB">
        <w:rPr>
          <w:rFonts w:ascii="Arial" w:hAnsi="Arial" w:cs="Arial"/>
        </w:rPr>
        <w:t xml:space="preserve">178 appeals were filed against the Minister’s approval in 2014, including appeals of the entirety of OPA 231 on a </w:t>
      </w:r>
      <w:r w:rsidR="000C00A2">
        <w:rPr>
          <w:rFonts w:ascii="Arial" w:hAnsi="Arial" w:cs="Arial"/>
        </w:rPr>
        <w:t>C</w:t>
      </w:r>
      <w:r w:rsidRPr="005274EB">
        <w:rPr>
          <w:rFonts w:ascii="Arial" w:hAnsi="Arial" w:cs="Arial"/>
        </w:rPr>
        <w:t>ity-wide basis, and site-specific appeals.</w:t>
      </w:r>
      <w:r w:rsidRPr="005274EB">
        <w:rPr>
          <w:rFonts w:ascii="Arial" w:hAnsi="Arial" w:cs="Arial"/>
          <w:lang w:val="en-US"/>
        </w:rPr>
        <w:t xml:space="preserve"> </w:t>
      </w:r>
    </w:p>
    <w:p w14:paraId="3F55FEC5" w14:textId="38DC7D15" w:rsidR="005274EB" w:rsidRPr="005274EB" w:rsidRDefault="005274EB" w:rsidP="003026FC">
      <w:pPr>
        <w:pStyle w:val="Body"/>
        <w:numPr>
          <w:ilvl w:val="0"/>
          <w:numId w:val="8"/>
        </w:numPr>
        <w:spacing w:beforeLines="150" w:before="360" w:afterLines="150" w:after="360" w:line="360" w:lineRule="auto"/>
        <w:ind w:left="0" w:firstLine="0"/>
        <w:outlineLvl w:val="0"/>
        <w:rPr>
          <w:rFonts w:ascii="Arial" w:hAnsi="Arial" w:cs="Arial"/>
          <w:b/>
        </w:rPr>
      </w:pPr>
      <w:r w:rsidRPr="005274EB">
        <w:rPr>
          <w:rFonts w:ascii="Arial" w:hAnsi="Arial" w:cs="Arial"/>
        </w:rPr>
        <w:t xml:space="preserve">On September 6, 2019, the Province filed </w:t>
      </w:r>
      <w:r w:rsidRPr="00A94CF0">
        <w:rPr>
          <w:rFonts w:ascii="Arial" w:hAnsi="Arial" w:cs="Arial"/>
          <w:i/>
          <w:iCs/>
        </w:rPr>
        <w:t>Ontario Regulation</w:t>
      </w:r>
      <w:r w:rsidRPr="005274EB">
        <w:rPr>
          <w:rFonts w:ascii="Arial" w:hAnsi="Arial" w:cs="Arial"/>
        </w:rPr>
        <w:t xml:space="preserve"> 305/19 </w:t>
      </w:r>
      <w:r w:rsidR="000C00A2" w:rsidRPr="000C00A2">
        <w:rPr>
          <w:rFonts w:ascii="Arial" w:hAnsi="Arial" w:cs="Arial"/>
        </w:rPr>
        <w:t>(</w:t>
      </w:r>
      <w:r w:rsidR="000C00A2" w:rsidRPr="00A94CF0">
        <w:rPr>
          <w:rFonts w:ascii="Arial" w:hAnsi="Arial" w:cs="Arial"/>
        </w:rPr>
        <w:t>“Regulation”)</w:t>
      </w:r>
      <w:r w:rsidR="000C00A2">
        <w:rPr>
          <w:rFonts w:cs="Arial"/>
        </w:rPr>
        <w:t xml:space="preserve"> </w:t>
      </w:r>
      <w:r w:rsidRPr="005274EB">
        <w:rPr>
          <w:rFonts w:ascii="Arial" w:hAnsi="Arial" w:cs="Arial"/>
        </w:rPr>
        <w:t xml:space="preserve">pertaining to transitional matters for growth plans under the </w:t>
      </w:r>
      <w:r w:rsidRPr="005274EB">
        <w:rPr>
          <w:rFonts w:ascii="Arial" w:hAnsi="Arial" w:cs="Arial"/>
          <w:i/>
          <w:iCs/>
        </w:rPr>
        <w:t>Places to Grow Act, 2005</w:t>
      </w:r>
      <w:r w:rsidRPr="005274EB">
        <w:rPr>
          <w:rFonts w:ascii="Arial" w:hAnsi="Arial" w:cs="Arial"/>
        </w:rPr>
        <w:t>. The Regulation came into force the day it was filed. This transitions OPA 231 under the Growth Plan</w:t>
      </w:r>
      <w:r w:rsidR="000C00A2">
        <w:rPr>
          <w:rFonts w:ascii="Arial" w:hAnsi="Arial" w:cs="Arial"/>
        </w:rPr>
        <w:t xml:space="preserve"> for the Greater Golden Horseshoe</w:t>
      </w:r>
      <w:r w:rsidRPr="005274EB">
        <w:rPr>
          <w:rFonts w:ascii="Arial" w:hAnsi="Arial" w:cs="Arial"/>
        </w:rPr>
        <w:t>, 2006</w:t>
      </w:r>
      <w:r w:rsidR="000C00A2">
        <w:rPr>
          <w:rFonts w:ascii="Arial" w:hAnsi="Arial" w:cs="Arial"/>
        </w:rPr>
        <w:t xml:space="preserve"> (</w:t>
      </w:r>
      <w:r w:rsidR="000C00A2" w:rsidRPr="00A94CF0">
        <w:rPr>
          <w:rFonts w:ascii="Arial" w:hAnsi="Arial" w:cs="Arial"/>
        </w:rPr>
        <w:t>“Growth Plan</w:t>
      </w:r>
      <w:r w:rsidR="00A94CF0">
        <w:rPr>
          <w:rFonts w:ascii="Arial" w:hAnsi="Arial" w:cs="Arial"/>
        </w:rPr>
        <w:t xml:space="preserve"> 2006</w:t>
      </w:r>
      <w:r w:rsidR="000C00A2" w:rsidRPr="00A94CF0">
        <w:rPr>
          <w:rFonts w:ascii="Arial" w:hAnsi="Arial" w:cs="Arial"/>
        </w:rPr>
        <w:t>”</w:t>
      </w:r>
      <w:r w:rsidR="000C00A2">
        <w:rPr>
          <w:rFonts w:cs="Arial"/>
        </w:rPr>
        <w:t>)</w:t>
      </w:r>
      <w:r w:rsidRPr="005274EB">
        <w:rPr>
          <w:rFonts w:ascii="Arial" w:hAnsi="Arial" w:cs="Arial"/>
        </w:rPr>
        <w:t xml:space="preserve">, by requiring that OPA 231 </w:t>
      </w:r>
      <w:r w:rsidR="000C00A2">
        <w:rPr>
          <w:rFonts w:ascii="Arial" w:hAnsi="Arial" w:cs="Arial"/>
        </w:rPr>
        <w:t>“</w:t>
      </w:r>
      <w:r w:rsidRPr="005274EB">
        <w:rPr>
          <w:rFonts w:ascii="Arial" w:hAnsi="Arial" w:cs="Arial"/>
        </w:rPr>
        <w:t xml:space="preserve">shall be </w:t>
      </w:r>
      <w:r w:rsidRPr="005274EB">
        <w:rPr>
          <w:rFonts w:ascii="Arial" w:hAnsi="Arial" w:cs="Arial"/>
          <w:shd w:val="clear" w:color="auto" w:fill="FFFFFF"/>
        </w:rPr>
        <w:t>continued and disposed of in accordance with the 2006 Growth Plan as it read on June 16, 2006</w:t>
      </w:r>
      <w:r w:rsidR="000C00A2" w:rsidRPr="00A94CF0">
        <w:rPr>
          <w:rFonts w:ascii="Arial" w:hAnsi="Arial" w:cs="Arial"/>
        </w:rPr>
        <w:t>”</w:t>
      </w:r>
      <w:r w:rsidR="000C00A2">
        <w:rPr>
          <w:rFonts w:ascii="Arial" w:hAnsi="Arial" w:cs="Arial"/>
        </w:rPr>
        <w:t>.</w:t>
      </w:r>
      <w:r w:rsidRPr="005274EB">
        <w:rPr>
          <w:rFonts w:ascii="Arial" w:hAnsi="Arial" w:cs="Arial"/>
        </w:rPr>
        <w:t xml:space="preserve">  The import of this is set out below.</w:t>
      </w:r>
    </w:p>
    <w:p w14:paraId="611BADF2" w14:textId="77777777" w:rsidR="005274EB" w:rsidRPr="00E27193" w:rsidRDefault="005274EB" w:rsidP="00E33D72">
      <w:pPr>
        <w:rPr>
          <w:rFonts w:ascii="Arial" w:hAnsi="Arial" w:cs="Arial"/>
          <w:b/>
          <w:bCs/>
        </w:rPr>
      </w:pPr>
      <w:r w:rsidRPr="00E27193">
        <w:rPr>
          <w:rFonts w:ascii="Arial" w:hAnsi="Arial" w:cs="Arial"/>
          <w:b/>
          <w:bCs/>
        </w:rPr>
        <w:t>MOTION FOR PHASED HEARING – BACKGROUND</w:t>
      </w:r>
    </w:p>
    <w:p w14:paraId="7DED09B5" w14:textId="77777777" w:rsidR="005274EB" w:rsidRPr="005274EB" w:rsidRDefault="005274EB" w:rsidP="00ED00FC">
      <w:pPr>
        <w:pStyle w:val="ListParagraph"/>
      </w:pPr>
      <w:r w:rsidRPr="005274EB">
        <w:t>The Board, now Tribunal (hereafter “Tribunal”), held the first Pre-Hearing Conference (“PHC”) regarding OPA 231 on March 12 and 13, 2015, wherein a number of parties sought and obtained party or participant status to the OPA 231 proceedings.</w:t>
      </w:r>
    </w:p>
    <w:p w14:paraId="01A46DD3" w14:textId="33281942" w:rsidR="005274EB" w:rsidRPr="000C00A2" w:rsidRDefault="005274EB" w:rsidP="003026FC">
      <w:pPr>
        <w:pStyle w:val="Body"/>
        <w:numPr>
          <w:ilvl w:val="0"/>
          <w:numId w:val="8"/>
        </w:numPr>
        <w:spacing w:beforeLines="150" w:before="360" w:afterLines="150" w:after="360" w:line="360" w:lineRule="auto"/>
        <w:ind w:left="0" w:firstLine="0"/>
        <w:outlineLvl w:val="0"/>
        <w:rPr>
          <w:rFonts w:ascii="Arial" w:hAnsi="Arial" w:cs="Arial"/>
        </w:rPr>
      </w:pPr>
      <w:r w:rsidRPr="005274EB">
        <w:rPr>
          <w:rFonts w:ascii="Arial" w:eastAsia="Arial" w:hAnsi="Arial" w:cs="Arial"/>
        </w:rPr>
        <w:lastRenderedPageBreak/>
        <w:t xml:space="preserve">At the </w:t>
      </w:r>
      <w:r w:rsidRPr="005274EB">
        <w:rPr>
          <w:rFonts w:ascii="Arial" w:hAnsi="Arial" w:cs="Arial"/>
        </w:rPr>
        <w:t>first PHC, the Tribunal ordered appellants who had filed City-wide appeals of the entirety of OPA 231 to scope their appeals by April 13, 2015, and to specifically identify which parts of OPA 231 they wished to maintain under appeal.</w:t>
      </w:r>
    </w:p>
    <w:p w14:paraId="1C15F88B" w14:textId="77777777" w:rsidR="005274EB" w:rsidRPr="005274EB" w:rsidRDefault="005274EB" w:rsidP="003026FC">
      <w:pPr>
        <w:pStyle w:val="Body"/>
        <w:numPr>
          <w:ilvl w:val="0"/>
          <w:numId w:val="8"/>
        </w:numPr>
        <w:spacing w:beforeLines="150" w:before="360" w:afterLines="150" w:after="360" w:line="360" w:lineRule="auto"/>
        <w:ind w:left="0" w:firstLine="0"/>
        <w:outlineLvl w:val="0"/>
        <w:rPr>
          <w:rFonts w:ascii="Arial" w:hAnsi="Arial" w:cs="Arial"/>
        </w:rPr>
      </w:pPr>
      <w:r w:rsidRPr="005274EB">
        <w:rPr>
          <w:rFonts w:ascii="Arial" w:eastAsia="Arial" w:hAnsi="Arial" w:cs="Arial"/>
        </w:rPr>
        <w:t xml:space="preserve">After the </w:t>
      </w:r>
      <w:r w:rsidRPr="005274EB">
        <w:rPr>
          <w:rFonts w:ascii="Arial" w:hAnsi="Arial" w:cs="Arial"/>
        </w:rPr>
        <w:t xml:space="preserve">City determined which parts of OPA 231 were no longer subject to a City-wide appeal, the City brought a Motion for partial approval at the second PHC, held on June 22, 2015, and obtained an Order approving and bringing into full force and effect those parts of OPA 231 that were not subject to a City-wide appeal (as permitted by the </w:t>
      </w:r>
      <w:r w:rsidRPr="005274EB">
        <w:rPr>
          <w:rFonts w:ascii="Arial" w:hAnsi="Arial" w:cs="Arial"/>
          <w:i/>
          <w:iCs/>
        </w:rPr>
        <w:t>Planning Act)</w:t>
      </w:r>
      <w:r w:rsidRPr="005274EB">
        <w:rPr>
          <w:rFonts w:ascii="Arial" w:hAnsi="Arial" w:cs="Arial"/>
        </w:rPr>
        <w:t>. This Order, dated June 22, 2015, brought into effect those parts of OPA 231 that were not subject to a City-wide appeal.</w:t>
      </w:r>
    </w:p>
    <w:p w14:paraId="3F7C9CB7" w14:textId="77777777" w:rsidR="005274EB" w:rsidRPr="005274EB" w:rsidRDefault="005274EB" w:rsidP="003026FC">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The </w:t>
      </w:r>
      <w:r w:rsidRPr="005274EB">
        <w:rPr>
          <w:rFonts w:ascii="Arial" w:hAnsi="Arial" w:cs="Arial"/>
        </w:rPr>
        <w:t>City now proposes a phased approach to the remaining site-specific appeals on a thematic or geographic basis. This is intended to provide an orderly and transparent process by which these appeals would be addressed over time.</w:t>
      </w:r>
    </w:p>
    <w:p w14:paraId="2E22A0F2" w14:textId="1A2C8F3E" w:rsidR="005274EB" w:rsidRPr="00815774" w:rsidRDefault="005274EB" w:rsidP="003026FC">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Set out </w:t>
      </w:r>
      <w:r w:rsidRPr="005274EB">
        <w:rPr>
          <w:rFonts w:ascii="Arial" w:hAnsi="Arial" w:cs="Arial"/>
        </w:rPr>
        <w:t xml:space="preserve">below in Table 1 is the phased approach applied to the hearing process since June 22, 2015.  Table 1 outlines the various phases and sub-phases, along with the key dates associated with each and a brief description of the general outcomes for each phase.  </w:t>
      </w:r>
      <w:r w:rsidRPr="00E33D72">
        <w:rPr>
          <w:rFonts w:ascii="Arial" w:hAnsi="Arial" w:cs="Arial"/>
        </w:rPr>
        <w:t xml:space="preserve">Table 1 does not include the site-specific settlements that were heard by the Tribunal at this Case Management Conference </w:t>
      </w:r>
      <w:r w:rsidR="00386BBE">
        <w:rPr>
          <w:rFonts w:ascii="Arial" w:hAnsi="Arial" w:cs="Arial"/>
        </w:rPr>
        <w:t>(</w:t>
      </w:r>
      <w:r w:rsidR="00386BBE" w:rsidRPr="00A94CF0">
        <w:rPr>
          <w:rFonts w:ascii="Arial" w:hAnsi="Arial" w:cs="Arial"/>
        </w:rPr>
        <w:t>“</w:t>
      </w:r>
      <w:r w:rsidR="00386BBE">
        <w:rPr>
          <w:rFonts w:ascii="Arial" w:hAnsi="Arial" w:cs="Arial"/>
        </w:rPr>
        <w:t>CMC</w:t>
      </w:r>
      <w:r w:rsidR="00386BBE" w:rsidRPr="00A94CF0">
        <w:rPr>
          <w:rFonts w:ascii="Arial" w:hAnsi="Arial" w:cs="Arial"/>
        </w:rPr>
        <w:t>”</w:t>
      </w:r>
      <w:r w:rsidR="00386BBE">
        <w:rPr>
          <w:rFonts w:ascii="Arial" w:hAnsi="Arial" w:cs="Arial"/>
        </w:rPr>
        <w:t xml:space="preserve">) </w:t>
      </w:r>
      <w:r w:rsidRPr="00E33D72">
        <w:rPr>
          <w:rFonts w:ascii="Arial" w:hAnsi="Arial" w:cs="Arial"/>
        </w:rPr>
        <w:t>of March 4, 2021.</w:t>
      </w:r>
    </w:p>
    <w:tbl>
      <w:tblPr>
        <w:tblStyle w:val="TableGrid"/>
        <w:tblW w:w="9356" w:type="dxa"/>
        <w:tblInd w:w="137" w:type="dxa"/>
        <w:tblLook w:val="04A0" w:firstRow="1" w:lastRow="0" w:firstColumn="1" w:lastColumn="0" w:noHBand="0" w:noVBand="1"/>
      </w:tblPr>
      <w:tblGrid>
        <w:gridCol w:w="1112"/>
        <w:gridCol w:w="2076"/>
        <w:gridCol w:w="2148"/>
        <w:gridCol w:w="4020"/>
      </w:tblGrid>
      <w:tr w:rsidR="00815774" w14:paraId="6261BDA5" w14:textId="77777777" w:rsidTr="00F3716B">
        <w:trPr>
          <w:trHeight w:val="49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14:paraId="1F503082" w14:textId="77777777" w:rsidR="00815774" w:rsidRDefault="00815774" w:rsidP="00F3716B">
            <w:pPr>
              <w:pStyle w:val="AffidavitParagraphs"/>
              <w:numPr>
                <w:ilvl w:val="0"/>
                <w:numId w:val="0"/>
              </w:numPr>
              <w:tabs>
                <w:tab w:val="left" w:pos="720"/>
              </w:tabs>
              <w:spacing w:before="0" w:after="0" w:line="240" w:lineRule="auto"/>
              <w:jc w:val="left"/>
              <w:rPr>
                <w:b/>
              </w:rPr>
            </w:pPr>
            <w:r>
              <w:rPr>
                <w:b/>
              </w:rPr>
              <w:t>Table 1: OPA 231 Hearing Phases</w:t>
            </w:r>
          </w:p>
        </w:tc>
      </w:tr>
      <w:tr w:rsidR="00815774" w14:paraId="019CE1E1" w14:textId="77777777" w:rsidTr="00F3716B">
        <w:trPr>
          <w:trHeight w:val="656"/>
        </w:trPr>
        <w:tc>
          <w:tcPr>
            <w:tcW w:w="1112" w:type="dxa"/>
            <w:tcBorders>
              <w:top w:val="single" w:sz="4" w:space="0" w:color="auto"/>
              <w:left w:val="single" w:sz="4" w:space="0" w:color="auto"/>
              <w:bottom w:val="single" w:sz="4" w:space="0" w:color="auto"/>
              <w:right w:val="single" w:sz="4" w:space="0" w:color="auto"/>
            </w:tcBorders>
            <w:vAlign w:val="center"/>
            <w:hideMark/>
          </w:tcPr>
          <w:p w14:paraId="5AB55BA6" w14:textId="77777777" w:rsidR="00815774" w:rsidRDefault="00815774" w:rsidP="00F3716B">
            <w:pPr>
              <w:pStyle w:val="AffidavitParagraphs"/>
              <w:numPr>
                <w:ilvl w:val="0"/>
                <w:numId w:val="0"/>
              </w:numPr>
              <w:tabs>
                <w:tab w:val="left" w:pos="720"/>
              </w:tabs>
              <w:spacing w:before="0" w:after="0" w:line="240" w:lineRule="auto"/>
              <w:jc w:val="left"/>
              <w:rPr>
                <w:b/>
              </w:rPr>
            </w:pPr>
            <w:r>
              <w:rPr>
                <w:b/>
              </w:rPr>
              <w:t>Phase</w:t>
            </w:r>
          </w:p>
        </w:tc>
        <w:tc>
          <w:tcPr>
            <w:tcW w:w="2076" w:type="dxa"/>
            <w:tcBorders>
              <w:top w:val="single" w:sz="4" w:space="0" w:color="auto"/>
              <w:left w:val="single" w:sz="4" w:space="0" w:color="auto"/>
              <w:bottom w:val="single" w:sz="4" w:space="0" w:color="auto"/>
              <w:right w:val="single" w:sz="4" w:space="0" w:color="auto"/>
            </w:tcBorders>
            <w:vAlign w:val="center"/>
            <w:hideMark/>
          </w:tcPr>
          <w:p w14:paraId="7A89E10B" w14:textId="77777777" w:rsidR="00815774" w:rsidRDefault="00815774" w:rsidP="00F3716B">
            <w:pPr>
              <w:pStyle w:val="AffidavitParagraphs"/>
              <w:numPr>
                <w:ilvl w:val="0"/>
                <w:numId w:val="0"/>
              </w:numPr>
              <w:tabs>
                <w:tab w:val="left" w:pos="720"/>
              </w:tabs>
              <w:spacing w:before="0" w:after="0" w:line="240" w:lineRule="auto"/>
              <w:jc w:val="left"/>
              <w:rPr>
                <w:b/>
              </w:rPr>
            </w:pPr>
            <w:r>
              <w:rPr>
                <w:b/>
              </w:rPr>
              <w:t>OPA 231 Policy Matter</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68B58DC" w14:textId="77777777" w:rsidR="00815774" w:rsidRDefault="00815774" w:rsidP="00F3716B">
            <w:pPr>
              <w:pStyle w:val="AffidavitParagraphs"/>
              <w:numPr>
                <w:ilvl w:val="0"/>
                <w:numId w:val="0"/>
              </w:numPr>
              <w:tabs>
                <w:tab w:val="left" w:pos="720"/>
              </w:tabs>
              <w:spacing w:before="0" w:after="0" w:line="240" w:lineRule="auto"/>
              <w:jc w:val="left"/>
              <w:rPr>
                <w:b/>
              </w:rPr>
            </w:pPr>
            <w:r>
              <w:rPr>
                <w:b/>
              </w:rPr>
              <w:t>Dates</w:t>
            </w:r>
          </w:p>
        </w:tc>
        <w:tc>
          <w:tcPr>
            <w:tcW w:w="4020" w:type="dxa"/>
            <w:tcBorders>
              <w:top w:val="single" w:sz="4" w:space="0" w:color="auto"/>
              <w:left w:val="single" w:sz="4" w:space="0" w:color="auto"/>
              <w:bottom w:val="single" w:sz="4" w:space="0" w:color="auto"/>
              <w:right w:val="single" w:sz="4" w:space="0" w:color="auto"/>
            </w:tcBorders>
            <w:vAlign w:val="center"/>
            <w:hideMark/>
          </w:tcPr>
          <w:p w14:paraId="7ADCBF1E" w14:textId="77777777" w:rsidR="00815774" w:rsidRDefault="00815774" w:rsidP="00F3716B">
            <w:pPr>
              <w:pStyle w:val="AffidavitParagraphs"/>
              <w:numPr>
                <w:ilvl w:val="0"/>
                <w:numId w:val="0"/>
              </w:numPr>
              <w:tabs>
                <w:tab w:val="left" w:pos="720"/>
              </w:tabs>
              <w:spacing w:before="0" w:after="0" w:line="240" w:lineRule="auto"/>
              <w:jc w:val="left"/>
              <w:rPr>
                <w:b/>
              </w:rPr>
            </w:pPr>
            <w:r>
              <w:rPr>
                <w:b/>
              </w:rPr>
              <w:t>General Result(s)</w:t>
            </w:r>
          </w:p>
        </w:tc>
      </w:tr>
      <w:tr w:rsidR="00815774" w14:paraId="08AB3675"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7A923180" w14:textId="77777777" w:rsidR="00815774" w:rsidRDefault="00815774" w:rsidP="00F3716B">
            <w:pPr>
              <w:pStyle w:val="AffidavitParagraphs"/>
              <w:numPr>
                <w:ilvl w:val="0"/>
                <w:numId w:val="0"/>
              </w:numPr>
              <w:tabs>
                <w:tab w:val="left" w:pos="720"/>
              </w:tabs>
              <w:spacing w:before="0" w:after="0" w:line="240" w:lineRule="auto"/>
              <w:jc w:val="left"/>
              <w:rPr>
                <w:b/>
              </w:rPr>
            </w:pPr>
            <w:r>
              <w:rPr>
                <w:b/>
              </w:rPr>
              <w:t>1A</w:t>
            </w:r>
          </w:p>
        </w:tc>
        <w:tc>
          <w:tcPr>
            <w:tcW w:w="2076" w:type="dxa"/>
            <w:tcBorders>
              <w:top w:val="single" w:sz="4" w:space="0" w:color="auto"/>
              <w:left w:val="single" w:sz="4" w:space="0" w:color="auto"/>
              <w:bottom w:val="single" w:sz="4" w:space="0" w:color="auto"/>
              <w:right w:val="single" w:sz="4" w:space="0" w:color="auto"/>
            </w:tcBorders>
            <w:vAlign w:val="center"/>
            <w:hideMark/>
          </w:tcPr>
          <w:p w14:paraId="5582079E" w14:textId="77777777" w:rsidR="00815774" w:rsidRDefault="00815774" w:rsidP="00F3716B">
            <w:pPr>
              <w:pStyle w:val="AffidavitParagraphs"/>
              <w:numPr>
                <w:ilvl w:val="0"/>
                <w:numId w:val="0"/>
              </w:numPr>
              <w:tabs>
                <w:tab w:val="left" w:pos="720"/>
              </w:tabs>
              <w:spacing w:before="0" w:after="0" w:line="240" w:lineRule="auto"/>
              <w:jc w:val="left"/>
              <w:rPr>
                <w:b/>
              </w:rPr>
            </w:pPr>
            <w:r>
              <w:rPr>
                <w:i/>
              </w:rPr>
              <w:t>Core Employment Areas</w:t>
            </w:r>
            <w:r>
              <w:t xml:space="preserve"> and </w:t>
            </w:r>
            <w:r>
              <w:rPr>
                <w:i/>
              </w:rPr>
              <w:t>General Employment Areas</w:t>
            </w:r>
            <w:r>
              <w:t xml:space="preserve"> land use designation mapping and certain related policies </w:t>
            </w:r>
          </w:p>
        </w:tc>
        <w:tc>
          <w:tcPr>
            <w:tcW w:w="2148" w:type="dxa"/>
            <w:tcBorders>
              <w:top w:val="single" w:sz="4" w:space="0" w:color="auto"/>
              <w:left w:val="single" w:sz="4" w:space="0" w:color="auto"/>
              <w:bottom w:val="single" w:sz="4" w:space="0" w:color="auto"/>
              <w:right w:val="single" w:sz="4" w:space="0" w:color="auto"/>
            </w:tcBorders>
            <w:vAlign w:val="center"/>
          </w:tcPr>
          <w:p w14:paraId="786B1109" w14:textId="77777777" w:rsidR="00815774" w:rsidRDefault="00815774" w:rsidP="00F3716B">
            <w:pPr>
              <w:pStyle w:val="AffidavitParagraphs"/>
              <w:numPr>
                <w:ilvl w:val="0"/>
                <w:numId w:val="0"/>
              </w:numPr>
              <w:tabs>
                <w:tab w:val="left" w:pos="720"/>
              </w:tabs>
              <w:spacing w:before="0" w:after="0" w:line="240" w:lineRule="auto"/>
              <w:jc w:val="left"/>
            </w:pPr>
            <w:r>
              <w:t xml:space="preserve">Hearing: </w:t>
            </w:r>
          </w:p>
          <w:p w14:paraId="3E7981E7" w14:textId="77777777" w:rsidR="00815774" w:rsidRDefault="00815774" w:rsidP="00F3716B">
            <w:pPr>
              <w:pStyle w:val="AffidavitParagraphs"/>
              <w:numPr>
                <w:ilvl w:val="0"/>
                <w:numId w:val="0"/>
              </w:numPr>
              <w:tabs>
                <w:tab w:val="left" w:pos="720"/>
              </w:tabs>
              <w:spacing w:before="0" w:after="0" w:line="240" w:lineRule="auto"/>
              <w:jc w:val="left"/>
            </w:pPr>
            <w:r>
              <w:t xml:space="preserve">June 20, 2016 </w:t>
            </w:r>
          </w:p>
          <w:p w14:paraId="567949AB" w14:textId="77777777" w:rsidR="00815774" w:rsidRDefault="00815774" w:rsidP="00F3716B">
            <w:pPr>
              <w:pStyle w:val="AffidavitParagraphs"/>
              <w:numPr>
                <w:ilvl w:val="0"/>
                <w:numId w:val="0"/>
              </w:numPr>
              <w:tabs>
                <w:tab w:val="left" w:pos="720"/>
              </w:tabs>
              <w:spacing w:before="0" w:after="0" w:line="240" w:lineRule="auto"/>
              <w:jc w:val="left"/>
            </w:pPr>
          </w:p>
          <w:p w14:paraId="060BFB4B"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p>
          <w:p w14:paraId="14B41B61" w14:textId="77777777" w:rsidR="00815774" w:rsidRDefault="00815774" w:rsidP="00F3716B">
            <w:pPr>
              <w:pStyle w:val="AffidavitParagraphs"/>
              <w:numPr>
                <w:ilvl w:val="0"/>
                <w:numId w:val="0"/>
              </w:numPr>
              <w:tabs>
                <w:tab w:val="left" w:pos="720"/>
              </w:tabs>
              <w:spacing w:before="0" w:after="0" w:line="240" w:lineRule="auto"/>
              <w:jc w:val="left"/>
              <w:rPr>
                <w:b/>
              </w:rPr>
            </w:pPr>
            <w:r>
              <w:t>December 20, 2016</w:t>
            </w:r>
          </w:p>
        </w:tc>
        <w:tc>
          <w:tcPr>
            <w:tcW w:w="4020" w:type="dxa"/>
            <w:tcBorders>
              <w:top w:val="single" w:sz="4" w:space="0" w:color="auto"/>
              <w:left w:val="single" w:sz="4" w:space="0" w:color="auto"/>
              <w:bottom w:val="single" w:sz="4" w:space="0" w:color="auto"/>
              <w:right w:val="single" w:sz="4" w:space="0" w:color="auto"/>
            </w:tcBorders>
            <w:vAlign w:val="center"/>
            <w:hideMark/>
          </w:tcPr>
          <w:p w14:paraId="5C8B1561" w14:textId="77777777" w:rsidR="00815774" w:rsidRDefault="00815774" w:rsidP="003026FC">
            <w:pPr>
              <w:pStyle w:val="AffidavitParagraphs"/>
              <w:widowControl w:val="0"/>
              <w:numPr>
                <w:ilvl w:val="0"/>
                <w:numId w:val="4"/>
              </w:numPr>
              <w:tabs>
                <w:tab w:val="left" w:pos="720"/>
              </w:tabs>
              <w:spacing w:before="0" w:after="0" w:line="240" w:lineRule="auto"/>
              <w:ind w:left="168" w:hanging="180"/>
              <w:jc w:val="left"/>
              <w:rPr>
                <w:b/>
              </w:rPr>
            </w:pPr>
            <w:r>
              <w:t xml:space="preserve">Order brought into effect the </w:t>
            </w:r>
            <w:r>
              <w:rPr>
                <w:i/>
              </w:rPr>
              <w:t>Core Employment Areas</w:t>
            </w:r>
            <w:r>
              <w:t xml:space="preserve"> and </w:t>
            </w:r>
            <w:r>
              <w:rPr>
                <w:i/>
              </w:rPr>
              <w:t>General Employment Areas</w:t>
            </w:r>
            <w:r>
              <w:t xml:space="preserve"> land use designations, policy language associated with the designations, save and except the phrase “all types of” retail </w:t>
            </w:r>
          </w:p>
          <w:p w14:paraId="5EC00C78" w14:textId="428FF4EA" w:rsidR="00815774" w:rsidRDefault="00815774" w:rsidP="003026FC">
            <w:pPr>
              <w:pStyle w:val="AffidavitParagraphs"/>
              <w:widowControl w:val="0"/>
              <w:numPr>
                <w:ilvl w:val="0"/>
                <w:numId w:val="4"/>
              </w:numPr>
              <w:tabs>
                <w:tab w:val="left" w:pos="720"/>
              </w:tabs>
              <w:spacing w:before="0" w:after="0" w:line="240" w:lineRule="auto"/>
              <w:ind w:left="168" w:hanging="180"/>
              <w:jc w:val="left"/>
              <w:rPr>
                <w:b/>
              </w:rPr>
            </w:pPr>
            <w:r>
              <w:t>Order did not bring the designations into effect on lands which were subject to a site-specific appeal</w:t>
            </w:r>
          </w:p>
        </w:tc>
      </w:tr>
      <w:tr w:rsidR="00815774" w14:paraId="240126A3"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2B54D855" w14:textId="77777777" w:rsidR="00815774" w:rsidRDefault="00815774" w:rsidP="00F3716B">
            <w:pPr>
              <w:pStyle w:val="AffidavitParagraphs"/>
              <w:numPr>
                <w:ilvl w:val="0"/>
                <w:numId w:val="0"/>
              </w:numPr>
              <w:tabs>
                <w:tab w:val="left" w:pos="720"/>
              </w:tabs>
              <w:spacing w:before="0" w:after="0" w:line="240" w:lineRule="auto"/>
              <w:jc w:val="left"/>
              <w:rPr>
                <w:b/>
              </w:rPr>
            </w:pPr>
            <w:r>
              <w:rPr>
                <w:b/>
              </w:rPr>
              <w:lastRenderedPageBreak/>
              <w:t>1B</w:t>
            </w:r>
          </w:p>
        </w:tc>
        <w:tc>
          <w:tcPr>
            <w:tcW w:w="2076" w:type="dxa"/>
            <w:tcBorders>
              <w:top w:val="single" w:sz="4" w:space="0" w:color="auto"/>
              <w:left w:val="single" w:sz="4" w:space="0" w:color="auto"/>
              <w:bottom w:val="single" w:sz="4" w:space="0" w:color="auto"/>
              <w:right w:val="single" w:sz="4" w:space="0" w:color="auto"/>
            </w:tcBorders>
            <w:vAlign w:val="center"/>
            <w:hideMark/>
          </w:tcPr>
          <w:p w14:paraId="70FC06B3" w14:textId="77777777" w:rsidR="00815774" w:rsidRDefault="00815774" w:rsidP="00F3716B">
            <w:pPr>
              <w:pStyle w:val="AffidavitParagraphs"/>
              <w:numPr>
                <w:ilvl w:val="0"/>
                <w:numId w:val="0"/>
              </w:numPr>
              <w:tabs>
                <w:tab w:val="left" w:pos="720"/>
              </w:tabs>
              <w:spacing w:before="0" w:after="0" w:line="240" w:lineRule="auto"/>
              <w:jc w:val="left"/>
            </w:pPr>
            <w:r>
              <w:t>Compatibility and Mitigation</w:t>
            </w:r>
          </w:p>
        </w:tc>
        <w:tc>
          <w:tcPr>
            <w:tcW w:w="2148" w:type="dxa"/>
            <w:tcBorders>
              <w:top w:val="single" w:sz="4" w:space="0" w:color="auto"/>
              <w:left w:val="single" w:sz="4" w:space="0" w:color="auto"/>
              <w:bottom w:val="single" w:sz="4" w:space="0" w:color="auto"/>
              <w:right w:val="single" w:sz="4" w:space="0" w:color="auto"/>
            </w:tcBorders>
            <w:vAlign w:val="center"/>
          </w:tcPr>
          <w:p w14:paraId="0F99E85B" w14:textId="77777777" w:rsidR="00815774" w:rsidRDefault="00815774" w:rsidP="00F3716B">
            <w:pPr>
              <w:pStyle w:val="AffidavitParagraphs"/>
              <w:numPr>
                <w:ilvl w:val="0"/>
                <w:numId w:val="0"/>
              </w:numPr>
              <w:tabs>
                <w:tab w:val="left" w:pos="720"/>
              </w:tabs>
              <w:spacing w:before="0" w:after="0" w:line="240" w:lineRule="auto"/>
              <w:jc w:val="left"/>
            </w:pPr>
            <w:r>
              <w:t xml:space="preserve">Hearing: </w:t>
            </w:r>
          </w:p>
          <w:p w14:paraId="1E73B11E" w14:textId="77777777" w:rsidR="00815774" w:rsidRDefault="00815774" w:rsidP="00F3716B">
            <w:pPr>
              <w:pStyle w:val="AffidavitParagraphs"/>
              <w:numPr>
                <w:ilvl w:val="0"/>
                <w:numId w:val="0"/>
              </w:numPr>
              <w:tabs>
                <w:tab w:val="left" w:pos="720"/>
              </w:tabs>
              <w:spacing w:before="0" w:after="0" w:line="240" w:lineRule="auto"/>
              <w:jc w:val="left"/>
            </w:pPr>
            <w:r>
              <w:t>June 14, 2018</w:t>
            </w:r>
          </w:p>
          <w:p w14:paraId="575E9F5E" w14:textId="77777777" w:rsidR="00815774" w:rsidRDefault="00815774" w:rsidP="00F3716B">
            <w:pPr>
              <w:pStyle w:val="AffidavitParagraphs"/>
              <w:numPr>
                <w:ilvl w:val="0"/>
                <w:numId w:val="0"/>
              </w:numPr>
              <w:tabs>
                <w:tab w:val="left" w:pos="720"/>
              </w:tabs>
              <w:spacing w:before="0" w:after="0" w:line="240" w:lineRule="auto"/>
              <w:jc w:val="left"/>
            </w:pPr>
          </w:p>
          <w:p w14:paraId="6414C053"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p>
          <w:p w14:paraId="0B230E91" w14:textId="77777777" w:rsidR="00815774" w:rsidRDefault="00815774" w:rsidP="00F3716B">
            <w:pPr>
              <w:pStyle w:val="AffidavitParagraphs"/>
              <w:numPr>
                <w:ilvl w:val="0"/>
                <w:numId w:val="0"/>
              </w:numPr>
              <w:tabs>
                <w:tab w:val="left" w:pos="720"/>
              </w:tabs>
              <w:spacing w:before="0" w:after="0" w:line="240" w:lineRule="auto"/>
              <w:jc w:val="left"/>
            </w:pPr>
            <w:r>
              <w:t>July 10, 2018</w:t>
            </w:r>
          </w:p>
        </w:tc>
        <w:tc>
          <w:tcPr>
            <w:tcW w:w="4020" w:type="dxa"/>
            <w:tcBorders>
              <w:top w:val="single" w:sz="4" w:space="0" w:color="auto"/>
              <w:left w:val="single" w:sz="4" w:space="0" w:color="auto"/>
              <w:bottom w:val="single" w:sz="4" w:space="0" w:color="auto"/>
              <w:right w:val="single" w:sz="4" w:space="0" w:color="auto"/>
            </w:tcBorders>
            <w:vAlign w:val="center"/>
            <w:hideMark/>
          </w:tcPr>
          <w:p w14:paraId="5AF27F0E" w14:textId="77777777" w:rsidR="00815774" w:rsidRDefault="00815774" w:rsidP="003026FC">
            <w:pPr>
              <w:pStyle w:val="AffidavitParagraphs"/>
              <w:widowControl w:val="0"/>
              <w:numPr>
                <w:ilvl w:val="0"/>
                <w:numId w:val="5"/>
              </w:numPr>
              <w:tabs>
                <w:tab w:val="left" w:pos="720"/>
              </w:tabs>
              <w:spacing w:before="0" w:after="0" w:line="240" w:lineRule="auto"/>
              <w:ind w:left="168" w:hanging="180"/>
              <w:jc w:val="left"/>
              <w:rPr>
                <w:b/>
              </w:rPr>
            </w:pPr>
            <w:r>
              <w:t xml:space="preserve">Order brought into effect Compatibility/Mitigation policies regarding the development and use of lands outside of </w:t>
            </w:r>
            <w:r>
              <w:rPr>
                <w:i/>
              </w:rPr>
              <w:t>Employment Areas</w:t>
            </w:r>
          </w:p>
        </w:tc>
      </w:tr>
      <w:tr w:rsidR="00815774" w14:paraId="1B1AD990"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5B33F9EE" w14:textId="77777777" w:rsidR="00815774" w:rsidRDefault="00815774" w:rsidP="00F3716B">
            <w:pPr>
              <w:pStyle w:val="AffidavitParagraphs"/>
              <w:numPr>
                <w:ilvl w:val="0"/>
                <w:numId w:val="0"/>
              </w:numPr>
              <w:tabs>
                <w:tab w:val="left" w:pos="720"/>
              </w:tabs>
              <w:spacing w:before="0" w:after="0" w:line="240" w:lineRule="auto"/>
              <w:jc w:val="left"/>
              <w:rPr>
                <w:b/>
              </w:rPr>
            </w:pPr>
            <w:r>
              <w:rPr>
                <w:b/>
              </w:rPr>
              <w:t>1C</w:t>
            </w:r>
          </w:p>
        </w:tc>
        <w:tc>
          <w:tcPr>
            <w:tcW w:w="2076" w:type="dxa"/>
            <w:tcBorders>
              <w:top w:val="single" w:sz="4" w:space="0" w:color="auto"/>
              <w:left w:val="single" w:sz="4" w:space="0" w:color="auto"/>
              <w:bottom w:val="single" w:sz="4" w:space="0" w:color="auto"/>
              <w:right w:val="single" w:sz="4" w:space="0" w:color="auto"/>
            </w:tcBorders>
            <w:vAlign w:val="center"/>
            <w:hideMark/>
          </w:tcPr>
          <w:p w14:paraId="7407FA92" w14:textId="77777777" w:rsidR="00815774" w:rsidRDefault="00815774" w:rsidP="00F3716B">
            <w:pPr>
              <w:pStyle w:val="AffidavitParagraphs"/>
              <w:numPr>
                <w:ilvl w:val="0"/>
                <w:numId w:val="0"/>
              </w:numPr>
              <w:tabs>
                <w:tab w:val="left" w:pos="720"/>
              </w:tabs>
              <w:spacing w:before="0" w:after="0" w:line="240" w:lineRule="auto"/>
              <w:jc w:val="left"/>
            </w:pPr>
            <w:r>
              <w:t xml:space="preserve">Sensitive Land Uses within </w:t>
            </w:r>
            <w:r>
              <w:rPr>
                <w:i/>
              </w:rPr>
              <w:t xml:space="preserve">Employment Areas </w:t>
            </w:r>
          </w:p>
        </w:tc>
        <w:tc>
          <w:tcPr>
            <w:tcW w:w="2148" w:type="dxa"/>
            <w:tcBorders>
              <w:top w:val="single" w:sz="4" w:space="0" w:color="auto"/>
              <w:left w:val="single" w:sz="4" w:space="0" w:color="auto"/>
              <w:bottom w:val="single" w:sz="4" w:space="0" w:color="auto"/>
              <w:right w:val="single" w:sz="4" w:space="0" w:color="auto"/>
            </w:tcBorders>
            <w:vAlign w:val="center"/>
          </w:tcPr>
          <w:p w14:paraId="7124AE71" w14:textId="77777777" w:rsidR="00815774" w:rsidRDefault="00815774" w:rsidP="00F3716B">
            <w:pPr>
              <w:pStyle w:val="AffidavitParagraphs"/>
              <w:numPr>
                <w:ilvl w:val="0"/>
                <w:numId w:val="0"/>
              </w:numPr>
              <w:tabs>
                <w:tab w:val="left" w:pos="720"/>
              </w:tabs>
              <w:spacing w:before="0" w:after="0" w:line="240" w:lineRule="auto"/>
              <w:jc w:val="left"/>
            </w:pPr>
            <w:r>
              <w:t>Hearing:</w:t>
            </w:r>
          </w:p>
          <w:p w14:paraId="27452B8D" w14:textId="77777777" w:rsidR="00815774" w:rsidRDefault="00815774" w:rsidP="00F3716B">
            <w:pPr>
              <w:pStyle w:val="AffidavitParagraphs"/>
              <w:numPr>
                <w:ilvl w:val="0"/>
                <w:numId w:val="0"/>
              </w:numPr>
              <w:tabs>
                <w:tab w:val="left" w:pos="720"/>
              </w:tabs>
              <w:spacing w:before="0" w:after="0" w:line="240" w:lineRule="auto"/>
              <w:jc w:val="left"/>
            </w:pPr>
            <w:r>
              <w:t xml:space="preserve">July 26, 2018 </w:t>
            </w:r>
          </w:p>
          <w:p w14:paraId="23A47580" w14:textId="77777777" w:rsidR="00815774" w:rsidRDefault="00815774" w:rsidP="00F3716B">
            <w:pPr>
              <w:pStyle w:val="AffidavitParagraphs"/>
              <w:numPr>
                <w:ilvl w:val="0"/>
                <w:numId w:val="0"/>
              </w:numPr>
              <w:tabs>
                <w:tab w:val="left" w:pos="720"/>
              </w:tabs>
              <w:spacing w:before="0" w:after="0" w:line="240" w:lineRule="auto"/>
              <w:jc w:val="left"/>
            </w:pPr>
          </w:p>
          <w:p w14:paraId="773C6898"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p>
          <w:p w14:paraId="638578CA" w14:textId="77777777" w:rsidR="00815774" w:rsidRDefault="00815774" w:rsidP="00F3716B">
            <w:pPr>
              <w:pStyle w:val="AffidavitParagraphs"/>
              <w:numPr>
                <w:ilvl w:val="0"/>
                <w:numId w:val="0"/>
              </w:numPr>
              <w:tabs>
                <w:tab w:val="left" w:pos="720"/>
              </w:tabs>
              <w:spacing w:before="0" w:after="0" w:line="240" w:lineRule="auto"/>
              <w:jc w:val="left"/>
            </w:pPr>
            <w:r>
              <w:t>August 16, 2018</w:t>
            </w:r>
          </w:p>
        </w:tc>
        <w:tc>
          <w:tcPr>
            <w:tcW w:w="4020" w:type="dxa"/>
            <w:tcBorders>
              <w:top w:val="single" w:sz="4" w:space="0" w:color="auto"/>
              <w:left w:val="single" w:sz="4" w:space="0" w:color="auto"/>
              <w:bottom w:val="single" w:sz="4" w:space="0" w:color="auto"/>
              <w:right w:val="single" w:sz="4" w:space="0" w:color="auto"/>
            </w:tcBorders>
            <w:vAlign w:val="center"/>
            <w:hideMark/>
          </w:tcPr>
          <w:p w14:paraId="1277DB0A" w14:textId="77777777" w:rsidR="00815774" w:rsidRDefault="00815774" w:rsidP="003026FC">
            <w:pPr>
              <w:pStyle w:val="AffidavitParagraphs"/>
              <w:widowControl w:val="0"/>
              <w:numPr>
                <w:ilvl w:val="0"/>
                <w:numId w:val="5"/>
              </w:numPr>
              <w:tabs>
                <w:tab w:val="left" w:pos="720"/>
              </w:tabs>
              <w:spacing w:before="0" w:after="0" w:line="240" w:lineRule="auto"/>
              <w:ind w:left="168" w:hanging="192"/>
              <w:jc w:val="left"/>
              <w:rPr>
                <w:b/>
              </w:rPr>
            </w:pPr>
            <w:r>
              <w:t xml:space="preserve">Order brought into effect the permitted land uses within </w:t>
            </w:r>
            <w:r>
              <w:rPr>
                <w:i/>
              </w:rPr>
              <w:t>Core Employment Areas</w:t>
            </w:r>
            <w:r>
              <w:t xml:space="preserve"> and </w:t>
            </w:r>
            <w:r>
              <w:rPr>
                <w:i/>
              </w:rPr>
              <w:t>General Employment Areas</w:t>
            </w:r>
          </w:p>
        </w:tc>
      </w:tr>
      <w:tr w:rsidR="00815774" w14:paraId="3274D960"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7019355D" w14:textId="77777777" w:rsidR="00815774" w:rsidRDefault="00815774" w:rsidP="00F3716B">
            <w:pPr>
              <w:pStyle w:val="AffidavitParagraphs"/>
              <w:numPr>
                <w:ilvl w:val="0"/>
                <w:numId w:val="0"/>
              </w:numPr>
              <w:tabs>
                <w:tab w:val="left" w:pos="720"/>
              </w:tabs>
              <w:spacing w:before="0" w:after="0" w:line="240" w:lineRule="auto"/>
              <w:jc w:val="left"/>
              <w:rPr>
                <w:b/>
              </w:rPr>
            </w:pPr>
            <w:r>
              <w:rPr>
                <w:b/>
              </w:rPr>
              <w:t>2</w:t>
            </w:r>
          </w:p>
        </w:tc>
        <w:tc>
          <w:tcPr>
            <w:tcW w:w="2076" w:type="dxa"/>
            <w:tcBorders>
              <w:top w:val="single" w:sz="4" w:space="0" w:color="auto"/>
              <w:left w:val="single" w:sz="4" w:space="0" w:color="auto"/>
              <w:bottom w:val="single" w:sz="4" w:space="0" w:color="auto"/>
              <w:right w:val="single" w:sz="4" w:space="0" w:color="auto"/>
            </w:tcBorders>
            <w:vAlign w:val="center"/>
            <w:hideMark/>
          </w:tcPr>
          <w:p w14:paraId="122118A4" w14:textId="77777777" w:rsidR="00815774" w:rsidRDefault="00815774" w:rsidP="00F3716B">
            <w:pPr>
              <w:pStyle w:val="AffidavitParagraphs"/>
              <w:numPr>
                <w:ilvl w:val="0"/>
                <w:numId w:val="0"/>
              </w:numPr>
              <w:tabs>
                <w:tab w:val="left" w:pos="720"/>
              </w:tabs>
              <w:spacing w:before="0" w:after="0" w:line="240" w:lineRule="auto"/>
              <w:jc w:val="left"/>
            </w:pPr>
            <w:r>
              <w:t>Office Replacement</w:t>
            </w:r>
          </w:p>
        </w:tc>
        <w:tc>
          <w:tcPr>
            <w:tcW w:w="2148" w:type="dxa"/>
            <w:tcBorders>
              <w:top w:val="single" w:sz="4" w:space="0" w:color="auto"/>
              <w:left w:val="single" w:sz="4" w:space="0" w:color="auto"/>
              <w:bottom w:val="single" w:sz="4" w:space="0" w:color="auto"/>
              <w:right w:val="single" w:sz="4" w:space="0" w:color="auto"/>
            </w:tcBorders>
            <w:vAlign w:val="center"/>
            <w:hideMark/>
          </w:tcPr>
          <w:p w14:paraId="1ABAF5C4" w14:textId="77777777" w:rsidR="00815774" w:rsidRDefault="00815774" w:rsidP="00F3716B">
            <w:pPr>
              <w:pStyle w:val="AffidavitParagraphs"/>
              <w:numPr>
                <w:ilvl w:val="0"/>
                <w:numId w:val="0"/>
              </w:numPr>
              <w:tabs>
                <w:tab w:val="left" w:pos="720"/>
              </w:tabs>
              <w:spacing w:before="0" w:after="0" w:line="240" w:lineRule="auto"/>
              <w:jc w:val="left"/>
            </w:pPr>
            <w:r>
              <w:t xml:space="preserve">Mediation: </w:t>
            </w:r>
          </w:p>
          <w:p w14:paraId="11731DCC" w14:textId="77777777" w:rsidR="00815774" w:rsidRDefault="00815774" w:rsidP="00F3716B">
            <w:pPr>
              <w:pStyle w:val="AffidavitParagraphs"/>
              <w:numPr>
                <w:ilvl w:val="0"/>
                <w:numId w:val="0"/>
              </w:numPr>
              <w:tabs>
                <w:tab w:val="left" w:pos="720"/>
              </w:tabs>
              <w:spacing w:before="0" w:after="0" w:line="240" w:lineRule="auto"/>
              <w:jc w:val="left"/>
            </w:pPr>
            <w:r>
              <w:t>2018 and 2019</w:t>
            </w:r>
          </w:p>
        </w:tc>
        <w:tc>
          <w:tcPr>
            <w:tcW w:w="4020" w:type="dxa"/>
            <w:tcBorders>
              <w:top w:val="single" w:sz="4" w:space="0" w:color="auto"/>
              <w:left w:val="single" w:sz="4" w:space="0" w:color="auto"/>
              <w:bottom w:val="single" w:sz="4" w:space="0" w:color="auto"/>
              <w:right w:val="single" w:sz="4" w:space="0" w:color="auto"/>
            </w:tcBorders>
            <w:vAlign w:val="center"/>
            <w:hideMark/>
          </w:tcPr>
          <w:p w14:paraId="084ADA6D" w14:textId="77777777" w:rsidR="00815774" w:rsidRDefault="00815774" w:rsidP="003026FC">
            <w:pPr>
              <w:pStyle w:val="AffidavitParagraphs"/>
              <w:widowControl w:val="0"/>
              <w:numPr>
                <w:ilvl w:val="0"/>
                <w:numId w:val="5"/>
              </w:numPr>
              <w:tabs>
                <w:tab w:val="left" w:pos="720"/>
              </w:tabs>
              <w:spacing w:before="0" w:after="0" w:line="240" w:lineRule="auto"/>
              <w:ind w:left="168" w:hanging="180"/>
              <w:jc w:val="left"/>
              <w:rPr>
                <w:b/>
              </w:rPr>
            </w:pPr>
            <w:proofErr w:type="gramStart"/>
            <w:r>
              <w:t>A number of</w:t>
            </w:r>
            <w:proofErr w:type="gramEnd"/>
            <w:r>
              <w:t xml:space="preserve"> LPAT-led mediation days have been held</w:t>
            </w:r>
          </w:p>
          <w:p w14:paraId="3AAA4DBB" w14:textId="77777777" w:rsidR="00815774" w:rsidRDefault="00815774" w:rsidP="003026FC">
            <w:pPr>
              <w:pStyle w:val="AffidavitParagraphs"/>
              <w:widowControl w:val="0"/>
              <w:numPr>
                <w:ilvl w:val="0"/>
                <w:numId w:val="5"/>
              </w:numPr>
              <w:tabs>
                <w:tab w:val="left" w:pos="720"/>
              </w:tabs>
              <w:spacing w:before="0" w:after="0" w:line="240" w:lineRule="auto"/>
              <w:ind w:left="168" w:hanging="180"/>
              <w:jc w:val="left"/>
              <w:rPr>
                <w:b/>
              </w:rPr>
            </w:pPr>
            <w:r>
              <w:t>Mediation is ongoing</w:t>
            </w:r>
          </w:p>
        </w:tc>
      </w:tr>
      <w:tr w:rsidR="00815774" w14:paraId="5A2B5754"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47C3F491" w14:textId="77777777" w:rsidR="00815774" w:rsidRDefault="00815774" w:rsidP="00F3716B">
            <w:pPr>
              <w:pStyle w:val="AffidavitParagraphs"/>
              <w:numPr>
                <w:ilvl w:val="0"/>
                <w:numId w:val="0"/>
              </w:numPr>
              <w:tabs>
                <w:tab w:val="left" w:pos="720"/>
              </w:tabs>
              <w:spacing w:before="0" w:after="0" w:line="240" w:lineRule="auto"/>
              <w:jc w:val="left"/>
              <w:rPr>
                <w:b/>
              </w:rPr>
            </w:pPr>
            <w:r>
              <w:rPr>
                <w:b/>
              </w:rPr>
              <w:t>3</w:t>
            </w:r>
          </w:p>
        </w:tc>
        <w:tc>
          <w:tcPr>
            <w:tcW w:w="2076" w:type="dxa"/>
            <w:tcBorders>
              <w:top w:val="single" w:sz="4" w:space="0" w:color="auto"/>
              <w:left w:val="single" w:sz="4" w:space="0" w:color="auto"/>
              <w:bottom w:val="single" w:sz="4" w:space="0" w:color="auto"/>
              <w:right w:val="single" w:sz="4" w:space="0" w:color="auto"/>
            </w:tcBorders>
            <w:vAlign w:val="center"/>
            <w:hideMark/>
          </w:tcPr>
          <w:p w14:paraId="438A3D76" w14:textId="77777777" w:rsidR="00815774" w:rsidRDefault="00815774" w:rsidP="00F3716B">
            <w:pPr>
              <w:pStyle w:val="AffidavitParagraphs"/>
              <w:numPr>
                <w:ilvl w:val="0"/>
                <w:numId w:val="0"/>
              </w:numPr>
              <w:tabs>
                <w:tab w:val="left" w:pos="720"/>
              </w:tabs>
              <w:spacing w:before="0" w:after="0" w:line="240" w:lineRule="auto"/>
              <w:jc w:val="left"/>
            </w:pPr>
            <w:r>
              <w:t>Conversion and Forecasting</w:t>
            </w:r>
          </w:p>
        </w:tc>
        <w:tc>
          <w:tcPr>
            <w:tcW w:w="2148" w:type="dxa"/>
            <w:tcBorders>
              <w:top w:val="single" w:sz="4" w:space="0" w:color="auto"/>
              <w:left w:val="single" w:sz="4" w:space="0" w:color="auto"/>
              <w:bottom w:val="single" w:sz="4" w:space="0" w:color="auto"/>
              <w:right w:val="single" w:sz="4" w:space="0" w:color="auto"/>
            </w:tcBorders>
            <w:vAlign w:val="center"/>
          </w:tcPr>
          <w:p w14:paraId="2964A917" w14:textId="77777777" w:rsidR="00815774" w:rsidRDefault="00815774" w:rsidP="00F3716B">
            <w:pPr>
              <w:pStyle w:val="AffidavitParagraphs"/>
              <w:numPr>
                <w:ilvl w:val="0"/>
                <w:numId w:val="0"/>
              </w:numPr>
              <w:tabs>
                <w:tab w:val="left" w:pos="720"/>
              </w:tabs>
              <w:spacing w:before="0" w:after="0" w:line="240" w:lineRule="auto"/>
              <w:jc w:val="left"/>
            </w:pPr>
            <w:r>
              <w:t>Hearing: September 16, 2019</w:t>
            </w:r>
          </w:p>
          <w:p w14:paraId="15B7AD4D" w14:textId="77777777" w:rsidR="00815774" w:rsidRDefault="00815774" w:rsidP="00F3716B">
            <w:pPr>
              <w:pStyle w:val="AffidavitParagraphs"/>
              <w:numPr>
                <w:ilvl w:val="0"/>
                <w:numId w:val="0"/>
              </w:numPr>
              <w:tabs>
                <w:tab w:val="left" w:pos="720"/>
              </w:tabs>
              <w:spacing w:before="0" w:after="0" w:line="240" w:lineRule="auto"/>
              <w:jc w:val="left"/>
            </w:pPr>
          </w:p>
          <w:p w14:paraId="42802390"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p>
          <w:p w14:paraId="48E114D1" w14:textId="77777777" w:rsidR="00815774" w:rsidRDefault="00815774" w:rsidP="00F3716B">
            <w:pPr>
              <w:pStyle w:val="AffidavitParagraphs"/>
              <w:numPr>
                <w:ilvl w:val="0"/>
                <w:numId w:val="0"/>
              </w:numPr>
              <w:tabs>
                <w:tab w:val="left" w:pos="720"/>
              </w:tabs>
              <w:spacing w:before="0" w:after="0" w:line="240" w:lineRule="auto"/>
              <w:jc w:val="left"/>
            </w:pPr>
            <w:r>
              <w:t>May 8, 2020</w:t>
            </w:r>
          </w:p>
        </w:tc>
        <w:tc>
          <w:tcPr>
            <w:tcW w:w="4020" w:type="dxa"/>
            <w:tcBorders>
              <w:top w:val="single" w:sz="4" w:space="0" w:color="auto"/>
              <w:left w:val="single" w:sz="4" w:space="0" w:color="auto"/>
              <w:bottom w:val="single" w:sz="4" w:space="0" w:color="auto"/>
              <w:right w:val="single" w:sz="4" w:space="0" w:color="auto"/>
            </w:tcBorders>
            <w:vAlign w:val="center"/>
            <w:hideMark/>
          </w:tcPr>
          <w:p w14:paraId="7DE87708" w14:textId="77777777" w:rsidR="00815774" w:rsidRDefault="00815774" w:rsidP="003026FC">
            <w:pPr>
              <w:pStyle w:val="AffidavitParagraphs"/>
              <w:widowControl w:val="0"/>
              <w:numPr>
                <w:ilvl w:val="0"/>
                <w:numId w:val="6"/>
              </w:numPr>
              <w:tabs>
                <w:tab w:val="left" w:pos="720"/>
              </w:tabs>
              <w:spacing w:before="0" w:after="0" w:line="240" w:lineRule="auto"/>
              <w:ind w:left="168" w:hanging="180"/>
              <w:jc w:val="left"/>
            </w:pPr>
            <w:r>
              <w:t xml:space="preserve">Order brought into effect the </w:t>
            </w:r>
            <w:r>
              <w:rPr>
                <w:i/>
              </w:rPr>
              <w:t xml:space="preserve">Employment Areas </w:t>
            </w:r>
            <w:r>
              <w:t>conversion and removal policies, as well as the forecasting of employment in the City</w:t>
            </w:r>
          </w:p>
        </w:tc>
      </w:tr>
      <w:tr w:rsidR="00815774" w14:paraId="575E45C9"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4BC2213C" w14:textId="77777777" w:rsidR="00815774" w:rsidRDefault="00815774" w:rsidP="00F3716B">
            <w:pPr>
              <w:pStyle w:val="AffidavitParagraphs"/>
              <w:numPr>
                <w:ilvl w:val="0"/>
                <w:numId w:val="0"/>
              </w:numPr>
              <w:tabs>
                <w:tab w:val="left" w:pos="720"/>
              </w:tabs>
              <w:spacing w:before="0" w:after="0" w:line="240" w:lineRule="auto"/>
              <w:jc w:val="left"/>
              <w:rPr>
                <w:b/>
              </w:rPr>
            </w:pPr>
            <w:r>
              <w:rPr>
                <w:b/>
              </w:rPr>
              <w:t>4</w:t>
            </w:r>
          </w:p>
        </w:tc>
        <w:tc>
          <w:tcPr>
            <w:tcW w:w="2076" w:type="dxa"/>
            <w:tcBorders>
              <w:top w:val="single" w:sz="4" w:space="0" w:color="auto"/>
              <w:left w:val="single" w:sz="4" w:space="0" w:color="auto"/>
              <w:bottom w:val="single" w:sz="4" w:space="0" w:color="auto"/>
              <w:right w:val="single" w:sz="4" w:space="0" w:color="auto"/>
            </w:tcBorders>
            <w:vAlign w:val="center"/>
            <w:hideMark/>
          </w:tcPr>
          <w:p w14:paraId="7181CDF7" w14:textId="77777777" w:rsidR="00815774" w:rsidRDefault="00815774" w:rsidP="00F3716B">
            <w:pPr>
              <w:pStyle w:val="AffidavitParagraphs"/>
              <w:numPr>
                <w:ilvl w:val="0"/>
                <w:numId w:val="0"/>
              </w:numPr>
              <w:tabs>
                <w:tab w:val="left" w:pos="720"/>
              </w:tabs>
              <w:spacing w:before="0" w:after="0" w:line="240" w:lineRule="auto"/>
              <w:jc w:val="left"/>
              <w:rPr>
                <w:i/>
              </w:rPr>
            </w:pPr>
            <w:r>
              <w:t xml:space="preserve">Retail in </w:t>
            </w:r>
            <w:r>
              <w:rPr>
                <w:i/>
              </w:rPr>
              <w:t>Employment Areas</w:t>
            </w:r>
          </w:p>
        </w:tc>
        <w:tc>
          <w:tcPr>
            <w:tcW w:w="2148" w:type="dxa"/>
            <w:tcBorders>
              <w:top w:val="single" w:sz="4" w:space="0" w:color="auto"/>
              <w:left w:val="single" w:sz="4" w:space="0" w:color="auto"/>
              <w:bottom w:val="single" w:sz="4" w:space="0" w:color="auto"/>
              <w:right w:val="single" w:sz="4" w:space="0" w:color="auto"/>
            </w:tcBorders>
            <w:vAlign w:val="center"/>
          </w:tcPr>
          <w:p w14:paraId="1BC76E66" w14:textId="77777777" w:rsidR="00815774" w:rsidRDefault="00815774" w:rsidP="00F3716B">
            <w:pPr>
              <w:pStyle w:val="AffidavitParagraphs"/>
              <w:numPr>
                <w:ilvl w:val="0"/>
                <w:numId w:val="0"/>
              </w:numPr>
              <w:tabs>
                <w:tab w:val="left" w:pos="720"/>
              </w:tabs>
              <w:spacing w:before="0" w:after="0" w:line="240" w:lineRule="auto"/>
              <w:jc w:val="left"/>
            </w:pPr>
            <w:r>
              <w:t xml:space="preserve">Hearing: </w:t>
            </w:r>
          </w:p>
          <w:p w14:paraId="4CE307A9" w14:textId="77777777" w:rsidR="00815774" w:rsidRDefault="00815774" w:rsidP="00F3716B">
            <w:pPr>
              <w:pStyle w:val="AffidavitParagraphs"/>
              <w:numPr>
                <w:ilvl w:val="0"/>
                <w:numId w:val="0"/>
              </w:numPr>
              <w:tabs>
                <w:tab w:val="left" w:pos="720"/>
              </w:tabs>
              <w:spacing w:before="0" w:after="0" w:line="240" w:lineRule="auto"/>
              <w:jc w:val="left"/>
            </w:pPr>
            <w:r>
              <w:t>March 4, 2021</w:t>
            </w:r>
          </w:p>
          <w:p w14:paraId="3CA9B89C" w14:textId="77777777" w:rsidR="00815774" w:rsidRDefault="00815774" w:rsidP="00F3716B">
            <w:pPr>
              <w:pStyle w:val="AffidavitParagraphs"/>
              <w:numPr>
                <w:ilvl w:val="0"/>
                <w:numId w:val="0"/>
              </w:numPr>
              <w:tabs>
                <w:tab w:val="left" w:pos="720"/>
              </w:tabs>
              <w:spacing w:before="0" w:after="0" w:line="240" w:lineRule="auto"/>
              <w:jc w:val="left"/>
            </w:pPr>
          </w:p>
          <w:p w14:paraId="561C06D2"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r>
              <w:rPr>
                <w:b/>
                <w:i/>
              </w:rPr>
              <w:t>pending</w:t>
            </w:r>
          </w:p>
        </w:tc>
        <w:tc>
          <w:tcPr>
            <w:tcW w:w="4020" w:type="dxa"/>
            <w:tcBorders>
              <w:top w:val="single" w:sz="4" w:space="0" w:color="auto"/>
              <w:left w:val="single" w:sz="4" w:space="0" w:color="auto"/>
              <w:bottom w:val="single" w:sz="4" w:space="0" w:color="auto"/>
              <w:right w:val="single" w:sz="4" w:space="0" w:color="auto"/>
            </w:tcBorders>
            <w:vAlign w:val="center"/>
            <w:hideMark/>
          </w:tcPr>
          <w:p w14:paraId="0C3E9171" w14:textId="77777777" w:rsidR="00815774" w:rsidRDefault="00815774" w:rsidP="003026FC">
            <w:pPr>
              <w:pStyle w:val="AffidavitParagraphs"/>
              <w:widowControl w:val="0"/>
              <w:numPr>
                <w:ilvl w:val="0"/>
                <w:numId w:val="6"/>
              </w:numPr>
              <w:tabs>
                <w:tab w:val="left" w:pos="3180"/>
              </w:tabs>
              <w:spacing w:before="0" w:after="0" w:line="240" w:lineRule="auto"/>
              <w:ind w:left="168" w:hanging="168"/>
              <w:jc w:val="left"/>
            </w:pPr>
            <w:r>
              <w:t xml:space="preserve">City Motion (dated: </w:t>
            </w:r>
            <w:r>
              <w:rPr>
                <w:bCs/>
                <w:iCs/>
              </w:rPr>
              <w:t>February 17, 2021</w:t>
            </w:r>
            <w:r>
              <w:t xml:space="preserve">) seeks Order approving policies related to large format retail in </w:t>
            </w:r>
            <w:r>
              <w:rPr>
                <w:i/>
              </w:rPr>
              <w:t>Employment Areas</w:t>
            </w:r>
          </w:p>
        </w:tc>
      </w:tr>
      <w:tr w:rsidR="00815774" w14:paraId="16834ED1"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56A81087" w14:textId="77777777" w:rsidR="00815774" w:rsidRDefault="00815774" w:rsidP="00F3716B">
            <w:pPr>
              <w:pStyle w:val="AffidavitParagraphs"/>
              <w:numPr>
                <w:ilvl w:val="0"/>
                <w:numId w:val="0"/>
              </w:numPr>
              <w:tabs>
                <w:tab w:val="left" w:pos="720"/>
              </w:tabs>
              <w:spacing w:before="0" w:after="0" w:line="240" w:lineRule="auto"/>
              <w:jc w:val="left"/>
              <w:rPr>
                <w:b/>
              </w:rPr>
            </w:pPr>
            <w:r>
              <w:rPr>
                <w:b/>
              </w:rPr>
              <w:t>5</w:t>
            </w:r>
          </w:p>
        </w:tc>
        <w:tc>
          <w:tcPr>
            <w:tcW w:w="2076" w:type="dxa"/>
            <w:tcBorders>
              <w:top w:val="single" w:sz="4" w:space="0" w:color="auto"/>
              <w:left w:val="single" w:sz="4" w:space="0" w:color="auto"/>
              <w:bottom w:val="single" w:sz="4" w:space="0" w:color="auto"/>
              <w:right w:val="single" w:sz="4" w:space="0" w:color="auto"/>
            </w:tcBorders>
            <w:vAlign w:val="center"/>
            <w:hideMark/>
          </w:tcPr>
          <w:p w14:paraId="088EE316" w14:textId="77777777" w:rsidR="00815774" w:rsidRDefault="00815774" w:rsidP="00F3716B">
            <w:pPr>
              <w:pStyle w:val="AffidavitParagraphs"/>
              <w:numPr>
                <w:ilvl w:val="0"/>
                <w:numId w:val="0"/>
              </w:numPr>
              <w:tabs>
                <w:tab w:val="left" w:pos="720"/>
              </w:tabs>
              <w:spacing w:before="0" w:after="0" w:line="240" w:lineRule="auto"/>
              <w:jc w:val="left"/>
            </w:pPr>
            <w:r>
              <w:t>Cultural policies</w:t>
            </w:r>
          </w:p>
        </w:tc>
        <w:tc>
          <w:tcPr>
            <w:tcW w:w="2148" w:type="dxa"/>
            <w:tcBorders>
              <w:top w:val="single" w:sz="4" w:space="0" w:color="auto"/>
              <w:left w:val="single" w:sz="4" w:space="0" w:color="auto"/>
              <w:bottom w:val="single" w:sz="4" w:space="0" w:color="auto"/>
              <w:right w:val="single" w:sz="4" w:space="0" w:color="auto"/>
            </w:tcBorders>
            <w:vAlign w:val="center"/>
          </w:tcPr>
          <w:p w14:paraId="6CAA86E0" w14:textId="77777777" w:rsidR="00815774" w:rsidRDefault="00815774" w:rsidP="00F3716B">
            <w:pPr>
              <w:pStyle w:val="AffidavitParagraphs"/>
              <w:numPr>
                <w:ilvl w:val="0"/>
                <w:numId w:val="0"/>
              </w:numPr>
              <w:tabs>
                <w:tab w:val="left" w:pos="720"/>
              </w:tabs>
              <w:spacing w:before="0" w:after="0" w:line="240" w:lineRule="auto"/>
              <w:jc w:val="left"/>
            </w:pPr>
            <w:r>
              <w:t>Hearing:</w:t>
            </w:r>
          </w:p>
          <w:p w14:paraId="65052EF1" w14:textId="77777777" w:rsidR="00815774" w:rsidRDefault="00815774" w:rsidP="00F3716B">
            <w:pPr>
              <w:pStyle w:val="AffidavitParagraphs"/>
              <w:numPr>
                <w:ilvl w:val="0"/>
                <w:numId w:val="0"/>
              </w:numPr>
              <w:tabs>
                <w:tab w:val="left" w:pos="720"/>
              </w:tabs>
              <w:spacing w:before="0" w:after="0" w:line="240" w:lineRule="auto"/>
              <w:jc w:val="left"/>
            </w:pPr>
            <w:r>
              <w:t>March 4, 2021</w:t>
            </w:r>
          </w:p>
          <w:p w14:paraId="12E6BF3A" w14:textId="77777777" w:rsidR="00815774" w:rsidRDefault="00815774" w:rsidP="00F3716B">
            <w:pPr>
              <w:pStyle w:val="AffidavitParagraphs"/>
              <w:numPr>
                <w:ilvl w:val="0"/>
                <w:numId w:val="0"/>
              </w:numPr>
              <w:tabs>
                <w:tab w:val="left" w:pos="720"/>
              </w:tabs>
              <w:spacing w:before="0" w:after="0" w:line="240" w:lineRule="auto"/>
              <w:jc w:val="left"/>
            </w:pPr>
          </w:p>
          <w:p w14:paraId="3942C839"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r>
              <w:rPr>
                <w:b/>
                <w:i/>
              </w:rPr>
              <w:t>pending</w:t>
            </w:r>
          </w:p>
        </w:tc>
        <w:tc>
          <w:tcPr>
            <w:tcW w:w="4020" w:type="dxa"/>
            <w:tcBorders>
              <w:top w:val="single" w:sz="4" w:space="0" w:color="auto"/>
              <w:left w:val="single" w:sz="4" w:space="0" w:color="auto"/>
              <w:bottom w:val="single" w:sz="4" w:space="0" w:color="auto"/>
              <w:right w:val="single" w:sz="4" w:space="0" w:color="auto"/>
            </w:tcBorders>
            <w:vAlign w:val="center"/>
            <w:hideMark/>
          </w:tcPr>
          <w:p w14:paraId="5207F65E" w14:textId="77777777" w:rsidR="00815774" w:rsidRDefault="00815774" w:rsidP="003026FC">
            <w:pPr>
              <w:pStyle w:val="AffidavitParagraphs"/>
              <w:widowControl w:val="0"/>
              <w:numPr>
                <w:ilvl w:val="0"/>
                <w:numId w:val="6"/>
              </w:numPr>
              <w:tabs>
                <w:tab w:val="left" w:pos="720"/>
              </w:tabs>
              <w:spacing w:before="0" w:after="0" w:line="240" w:lineRule="auto"/>
              <w:ind w:left="168" w:hanging="180"/>
              <w:jc w:val="left"/>
            </w:pPr>
            <w:r>
              <w:t>City Motion (dated: February 17, 2021) seeks Order approving policies related to the replacement of cultural uses</w:t>
            </w:r>
          </w:p>
        </w:tc>
      </w:tr>
      <w:tr w:rsidR="00815774" w14:paraId="2C5F2864" w14:textId="77777777" w:rsidTr="00F3716B">
        <w:tc>
          <w:tcPr>
            <w:tcW w:w="1112" w:type="dxa"/>
            <w:tcBorders>
              <w:top w:val="single" w:sz="4" w:space="0" w:color="auto"/>
              <w:left w:val="single" w:sz="4" w:space="0" w:color="auto"/>
              <w:bottom w:val="single" w:sz="4" w:space="0" w:color="auto"/>
              <w:right w:val="single" w:sz="4" w:space="0" w:color="auto"/>
            </w:tcBorders>
            <w:vAlign w:val="center"/>
            <w:hideMark/>
          </w:tcPr>
          <w:p w14:paraId="46735329" w14:textId="77777777" w:rsidR="00815774" w:rsidRDefault="00815774" w:rsidP="00F3716B">
            <w:pPr>
              <w:pStyle w:val="AffidavitParagraphs"/>
              <w:numPr>
                <w:ilvl w:val="0"/>
                <w:numId w:val="0"/>
              </w:numPr>
              <w:tabs>
                <w:tab w:val="left" w:pos="720"/>
              </w:tabs>
              <w:spacing w:before="0" w:after="0" w:line="240" w:lineRule="auto"/>
              <w:jc w:val="left"/>
              <w:rPr>
                <w:b/>
              </w:rPr>
            </w:pPr>
            <w:r>
              <w:rPr>
                <w:b/>
              </w:rPr>
              <w:t>6</w:t>
            </w:r>
          </w:p>
        </w:tc>
        <w:tc>
          <w:tcPr>
            <w:tcW w:w="2076" w:type="dxa"/>
            <w:tcBorders>
              <w:top w:val="single" w:sz="4" w:space="0" w:color="auto"/>
              <w:left w:val="single" w:sz="4" w:space="0" w:color="auto"/>
              <w:bottom w:val="single" w:sz="4" w:space="0" w:color="auto"/>
              <w:right w:val="single" w:sz="4" w:space="0" w:color="auto"/>
            </w:tcBorders>
            <w:vAlign w:val="center"/>
            <w:hideMark/>
          </w:tcPr>
          <w:p w14:paraId="514A1E51" w14:textId="77777777" w:rsidR="00815774" w:rsidRDefault="00815774" w:rsidP="00F3716B">
            <w:pPr>
              <w:pStyle w:val="AffidavitParagraphs"/>
              <w:numPr>
                <w:ilvl w:val="0"/>
                <w:numId w:val="0"/>
              </w:numPr>
              <w:tabs>
                <w:tab w:val="left" w:pos="720"/>
              </w:tabs>
              <w:spacing w:before="0" w:after="0" w:line="240" w:lineRule="auto"/>
              <w:jc w:val="left"/>
            </w:pPr>
            <w:r>
              <w:t>Site specific appeals</w:t>
            </w:r>
          </w:p>
        </w:tc>
        <w:tc>
          <w:tcPr>
            <w:tcW w:w="2148" w:type="dxa"/>
            <w:tcBorders>
              <w:top w:val="single" w:sz="4" w:space="0" w:color="auto"/>
              <w:left w:val="single" w:sz="4" w:space="0" w:color="auto"/>
              <w:bottom w:val="single" w:sz="4" w:space="0" w:color="auto"/>
              <w:right w:val="single" w:sz="4" w:space="0" w:color="auto"/>
            </w:tcBorders>
            <w:vAlign w:val="center"/>
          </w:tcPr>
          <w:p w14:paraId="2379DBC6" w14:textId="77777777" w:rsidR="00815774" w:rsidRDefault="00815774" w:rsidP="00F3716B">
            <w:pPr>
              <w:pStyle w:val="AffidavitParagraphs"/>
              <w:numPr>
                <w:ilvl w:val="0"/>
                <w:numId w:val="0"/>
              </w:numPr>
              <w:tabs>
                <w:tab w:val="left" w:pos="720"/>
              </w:tabs>
              <w:spacing w:before="0" w:after="0" w:line="240" w:lineRule="auto"/>
              <w:jc w:val="left"/>
            </w:pPr>
            <w:r>
              <w:t xml:space="preserve">Hearing: </w:t>
            </w:r>
          </w:p>
          <w:p w14:paraId="14F1064F" w14:textId="77777777" w:rsidR="00815774" w:rsidRDefault="00815774" w:rsidP="00F3716B">
            <w:pPr>
              <w:pStyle w:val="AffidavitParagraphs"/>
              <w:numPr>
                <w:ilvl w:val="0"/>
                <w:numId w:val="0"/>
              </w:numPr>
              <w:tabs>
                <w:tab w:val="left" w:pos="720"/>
              </w:tabs>
              <w:spacing w:before="0" w:after="0" w:line="240" w:lineRule="auto"/>
              <w:jc w:val="left"/>
            </w:pPr>
            <w:r>
              <w:t>March 4, 2021</w:t>
            </w:r>
          </w:p>
          <w:p w14:paraId="7D8BD432" w14:textId="77777777" w:rsidR="00815774" w:rsidRDefault="00815774" w:rsidP="00F3716B">
            <w:pPr>
              <w:pStyle w:val="AffidavitParagraphs"/>
              <w:numPr>
                <w:ilvl w:val="0"/>
                <w:numId w:val="0"/>
              </w:numPr>
              <w:tabs>
                <w:tab w:val="left" w:pos="720"/>
              </w:tabs>
              <w:spacing w:before="0" w:after="0" w:line="240" w:lineRule="auto"/>
              <w:jc w:val="left"/>
            </w:pPr>
          </w:p>
          <w:p w14:paraId="785877A6" w14:textId="77777777" w:rsidR="00815774" w:rsidRDefault="00815774" w:rsidP="00F3716B">
            <w:pPr>
              <w:pStyle w:val="AffidavitParagraphs"/>
              <w:numPr>
                <w:ilvl w:val="0"/>
                <w:numId w:val="0"/>
              </w:numPr>
              <w:tabs>
                <w:tab w:val="left" w:pos="720"/>
              </w:tabs>
              <w:spacing w:before="0" w:after="0" w:line="240" w:lineRule="auto"/>
              <w:jc w:val="left"/>
            </w:pPr>
            <w:r>
              <w:t xml:space="preserve">Order </w:t>
            </w:r>
            <w:r>
              <w:rPr>
                <w:b/>
                <w:i/>
              </w:rPr>
              <w:t>pending</w:t>
            </w:r>
          </w:p>
        </w:tc>
        <w:tc>
          <w:tcPr>
            <w:tcW w:w="4020" w:type="dxa"/>
            <w:tcBorders>
              <w:top w:val="single" w:sz="4" w:space="0" w:color="auto"/>
              <w:left w:val="single" w:sz="4" w:space="0" w:color="auto"/>
              <w:bottom w:val="single" w:sz="4" w:space="0" w:color="auto"/>
              <w:right w:val="single" w:sz="4" w:space="0" w:color="auto"/>
            </w:tcBorders>
            <w:vAlign w:val="center"/>
            <w:hideMark/>
          </w:tcPr>
          <w:p w14:paraId="74F31450" w14:textId="77777777" w:rsidR="00815774" w:rsidRDefault="00815774" w:rsidP="003026FC">
            <w:pPr>
              <w:pStyle w:val="AffidavitParagraphs"/>
              <w:widowControl w:val="0"/>
              <w:numPr>
                <w:ilvl w:val="0"/>
                <w:numId w:val="6"/>
              </w:numPr>
              <w:tabs>
                <w:tab w:val="left" w:pos="720"/>
              </w:tabs>
              <w:spacing w:before="0" w:after="0" w:line="240" w:lineRule="auto"/>
              <w:ind w:left="168" w:hanging="180"/>
              <w:jc w:val="left"/>
            </w:pPr>
            <w:r>
              <w:t>City Motion (dated: February 16, 2021) seeks Order approving proposed Procedural Order for site specific appeals</w:t>
            </w:r>
          </w:p>
        </w:tc>
      </w:tr>
    </w:tbl>
    <w:p w14:paraId="00996693" w14:textId="77777777" w:rsidR="008C35AA" w:rsidRDefault="008C35AA" w:rsidP="00843C6A"/>
    <w:p w14:paraId="704CBB3D" w14:textId="77777777" w:rsidR="008C35AA" w:rsidRDefault="008C35AA" w:rsidP="00843C6A"/>
    <w:p w14:paraId="7D3ABA10" w14:textId="1800C330" w:rsidR="005274EB" w:rsidRPr="008C35AA" w:rsidRDefault="005274EB" w:rsidP="00843C6A">
      <w:pPr>
        <w:rPr>
          <w:rFonts w:ascii="Arial" w:hAnsi="Arial" w:cs="Arial"/>
          <w:b/>
          <w:bCs/>
        </w:rPr>
      </w:pPr>
      <w:r w:rsidRPr="008C35AA">
        <w:rPr>
          <w:rFonts w:ascii="Arial" w:hAnsi="Arial" w:cs="Arial"/>
          <w:b/>
          <w:bCs/>
        </w:rPr>
        <w:t>SITE SPECIFIC APPEAL NO. 157 RELATED TO 8 OAK STREET</w:t>
      </w:r>
    </w:p>
    <w:p w14:paraId="5100FEFB" w14:textId="3F9159DE" w:rsidR="005274EB" w:rsidRPr="005274EB" w:rsidRDefault="005274EB" w:rsidP="003026FC">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In its </w:t>
      </w:r>
      <w:r w:rsidRPr="005274EB">
        <w:rPr>
          <w:rFonts w:ascii="Arial" w:hAnsi="Arial" w:cs="Arial"/>
        </w:rPr>
        <w:t>Order dated April 19, 2018, the</w:t>
      </w:r>
      <w:r w:rsidR="002F12B6">
        <w:rPr>
          <w:rFonts w:ascii="Arial" w:hAnsi="Arial" w:cs="Arial"/>
        </w:rPr>
        <w:t xml:space="preserve"> Tribunal</w:t>
      </w:r>
      <w:r w:rsidRPr="005274EB">
        <w:rPr>
          <w:rFonts w:ascii="Arial" w:hAnsi="Arial" w:cs="Arial"/>
        </w:rPr>
        <w:t xml:space="preserve"> consolidated </w:t>
      </w:r>
      <w:r w:rsidR="002F12B6">
        <w:rPr>
          <w:rFonts w:ascii="Arial" w:hAnsi="Arial" w:cs="Arial"/>
        </w:rPr>
        <w:t>A</w:t>
      </w:r>
      <w:r w:rsidRPr="005274EB">
        <w:rPr>
          <w:rFonts w:ascii="Arial" w:hAnsi="Arial" w:cs="Arial"/>
        </w:rPr>
        <w:t xml:space="preserve">ppeal </w:t>
      </w:r>
      <w:r w:rsidR="002F12B6">
        <w:rPr>
          <w:rFonts w:ascii="Arial" w:hAnsi="Arial" w:cs="Arial"/>
        </w:rPr>
        <w:t>N</w:t>
      </w:r>
      <w:r w:rsidRPr="005274EB">
        <w:rPr>
          <w:rFonts w:ascii="Arial" w:hAnsi="Arial" w:cs="Arial"/>
        </w:rPr>
        <w:t xml:space="preserve">o. 157 with the owner's site-specific application appeals. </w:t>
      </w:r>
      <w:r w:rsidRPr="005274EB">
        <w:rPr>
          <w:rFonts w:ascii="Arial" w:eastAsia="Arial" w:hAnsi="Arial" w:cs="Arial"/>
        </w:rPr>
        <w:t xml:space="preserve">In its </w:t>
      </w:r>
      <w:r w:rsidRPr="005274EB">
        <w:rPr>
          <w:rFonts w:ascii="Arial" w:hAnsi="Arial" w:cs="Arial"/>
        </w:rPr>
        <w:t xml:space="preserve">findings, the </w:t>
      </w:r>
      <w:r w:rsidR="002F12B6">
        <w:rPr>
          <w:rFonts w:ascii="Arial" w:hAnsi="Arial" w:cs="Arial"/>
        </w:rPr>
        <w:t xml:space="preserve"> Tribunal</w:t>
      </w:r>
      <w:r w:rsidRPr="005274EB">
        <w:rPr>
          <w:rFonts w:ascii="Arial" w:hAnsi="Arial" w:cs="Arial"/>
        </w:rPr>
        <w:t xml:space="preserve"> stated</w:t>
      </w:r>
      <w:r w:rsidR="002F12B6">
        <w:rPr>
          <w:rFonts w:ascii="Arial" w:hAnsi="Arial" w:cs="Arial"/>
        </w:rPr>
        <w:t>:</w:t>
      </w:r>
      <w:r w:rsidRPr="005274EB">
        <w:rPr>
          <w:rFonts w:ascii="Arial" w:hAnsi="Arial" w:cs="Arial"/>
        </w:rPr>
        <w:t xml:space="preserve"> </w:t>
      </w:r>
    </w:p>
    <w:p w14:paraId="2F32E3B7" w14:textId="100D23C7" w:rsidR="002F12B6" w:rsidRPr="008C35AA" w:rsidRDefault="005274EB" w:rsidP="008C35AA">
      <w:pPr>
        <w:ind w:left="1418" w:right="1418"/>
        <w:rPr>
          <w:rFonts w:ascii="Arial" w:hAnsi="Arial" w:cs="Arial"/>
          <w:sz w:val="20"/>
          <w:szCs w:val="20"/>
        </w:rPr>
      </w:pPr>
      <w:r w:rsidRPr="008C35AA">
        <w:rPr>
          <w:rFonts w:ascii="Arial" w:hAnsi="Arial" w:cs="Arial"/>
          <w:b/>
          <w:sz w:val="20"/>
          <w:szCs w:val="20"/>
        </w:rPr>
        <w:t>[69]</w:t>
      </w:r>
      <w:r w:rsidRPr="008C35AA">
        <w:rPr>
          <w:rFonts w:ascii="Arial" w:hAnsi="Arial" w:cs="Arial"/>
          <w:sz w:val="20"/>
          <w:szCs w:val="20"/>
        </w:rPr>
        <w:t xml:space="preserve"> The site-specific appeals of OPA 231 should not be determined before the City-wide policy appeals have been adjudicated.</w:t>
      </w:r>
    </w:p>
    <w:p w14:paraId="63223CC4" w14:textId="77777777" w:rsidR="00843C6A" w:rsidRPr="008C35AA" w:rsidRDefault="00843C6A" w:rsidP="008C35AA">
      <w:pPr>
        <w:ind w:left="1418" w:right="1418"/>
        <w:rPr>
          <w:rFonts w:ascii="Arial" w:hAnsi="Arial" w:cs="Arial"/>
          <w:sz w:val="20"/>
          <w:szCs w:val="20"/>
        </w:rPr>
      </w:pPr>
    </w:p>
    <w:p w14:paraId="7AFA5688" w14:textId="77777777" w:rsidR="005274EB" w:rsidRPr="005274EB" w:rsidRDefault="005274EB" w:rsidP="008C35AA">
      <w:pPr>
        <w:ind w:left="1418" w:right="1418"/>
      </w:pPr>
      <w:r w:rsidRPr="008C35AA">
        <w:rPr>
          <w:rFonts w:ascii="Arial" w:hAnsi="Arial" w:cs="Arial"/>
          <w:b/>
          <w:sz w:val="20"/>
          <w:szCs w:val="20"/>
        </w:rPr>
        <w:t>[70]</w:t>
      </w:r>
      <w:r w:rsidRPr="008C35AA">
        <w:rPr>
          <w:rFonts w:ascii="Arial" w:hAnsi="Arial" w:cs="Arial"/>
          <w:sz w:val="20"/>
          <w:szCs w:val="20"/>
        </w:rPr>
        <w:t xml:space="preserve"> The City-wide policy appeals of OPA 231 have the greatest impact across the City and involve numerous parties and should be resolved before any of the site-specific appeals are heard and it is quite possible that some site-specific appeals will be resolved following the resolution of the City-wide policy appeals.</w:t>
      </w:r>
      <w:r w:rsidRPr="008C35AA">
        <w:rPr>
          <w:rFonts w:ascii="Arial" w:hAnsi="Arial" w:cs="Arial"/>
          <w:sz w:val="20"/>
          <w:szCs w:val="20"/>
        </w:rPr>
        <w:br/>
      </w:r>
    </w:p>
    <w:p w14:paraId="7542CF01" w14:textId="71EB801E" w:rsidR="005274EB" w:rsidRPr="002F12B6" w:rsidRDefault="005274EB" w:rsidP="00F46708">
      <w:pPr>
        <w:pStyle w:val="Body"/>
        <w:numPr>
          <w:ilvl w:val="0"/>
          <w:numId w:val="8"/>
        </w:numPr>
        <w:spacing w:beforeLines="150" w:before="360" w:afterLines="150" w:after="360" w:line="360" w:lineRule="auto"/>
        <w:ind w:left="0" w:firstLine="0"/>
        <w:outlineLvl w:val="0"/>
        <w:rPr>
          <w:rFonts w:ascii="Arial" w:hAnsi="Arial" w:cs="Arial"/>
        </w:rPr>
      </w:pPr>
      <w:r w:rsidRPr="005274EB">
        <w:rPr>
          <w:rFonts w:ascii="Arial" w:eastAsia="Arial" w:hAnsi="Arial" w:cs="Arial"/>
        </w:rPr>
        <w:lastRenderedPageBreak/>
        <w:t xml:space="preserve">Given that </w:t>
      </w:r>
      <w:r w:rsidRPr="005274EB">
        <w:rPr>
          <w:rFonts w:ascii="Arial" w:hAnsi="Arial" w:cs="Arial"/>
        </w:rPr>
        <w:t xml:space="preserve">the majority of the City-wide policy appeals of OPA 231 have been resolved, the </w:t>
      </w:r>
      <w:r w:rsidR="002F12B6">
        <w:rPr>
          <w:rFonts w:ascii="Arial" w:hAnsi="Arial" w:cs="Arial"/>
        </w:rPr>
        <w:t xml:space="preserve"> Tribunal</w:t>
      </w:r>
      <w:r w:rsidRPr="005274EB">
        <w:rPr>
          <w:rFonts w:ascii="Arial" w:hAnsi="Arial" w:cs="Arial"/>
        </w:rPr>
        <w:t xml:space="preserve"> has scheduled a site-specific hearing related to the lands at 8 Oak Street, scheduled to commence on March 29, 2021.</w:t>
      </w:r>
    </w:p>
    <w:p w14:paraId="1F0C4F14" w14:textId="747BA13F" w:rsidR="005274EB" w:rsidRPr="008C35AA" w:rsidRDefault="005274EB" w:rsidP="00843C6A">
      <w:pPr>
        <w:rPr>
          <w:rFonts w:ascii="Arial" w:hAnsi="Arial" w:cs="Arial"/>
          <w:lang w:eastAsia="en-CA"/>
        </w:rPr>
      </w:pPr>
      <w:r w:rsidRPr="008C35AA">
        <w:rPr>
          <w:rFonts w:ascii="Arial" w:hAnsi="Arial" w:cs="Arial"/>
          <w:b/>
          <w:bCs/>
          <w:lang w:eastAsia="en-CA"/>
        </w:rPr>
        <w:t>Motion for P</w:t>
      </w:r>
      <w:r w:rsidR="008C35AA" w:rsidRPr="008C35AA">
        <w:rPr>
          <w:rFonts w:ascii="Arial" w:hAnsi="Arial" w:cs="Arial"/>
          <w:b/>
          <w:bCs/>
          <w:lang w:eastAsia="en-CA"/>
        </w:rPr>
        <w:t>hasing</w:t>
      </w:r>
      <w:r w:rsidRPr="008C35AA">
        <w:rPr>
          <w:rFonts w:ascii="Arial" w:hAnsi="Arial" w:cs="Arial"/>
          <w:lang w:eastAsia="en-CA"/>
        </w:rPr>
        <w:t xml:space="preserve"> </w:t>
      </w:r>
    </w:p>
    <w:p w14:paraId="36427387" w14:textId="77777777" w:rsidR="005274EB" w:rsidRPr="005274EB" w:rsidRDefault="005274EB" w:rsidP="00ED00FC">
      <w:pPr>
        <w:pStyle w:val="ListParagraph"/>
        <w:rPr>
          <w:b/>
          <w:lang w:eastAsia="en-CA"/>
        </w:rPr>
      </w:pPr>
      <w:r w:rsidRPr="005274EB">
        <w:rPr>
          <w:bCs/>
          <w:lang w:eastAsia="en-CA"/>
        </w:rPr>
        <w:t>The Motion by the City is for a</w:t>
      </w:r>
      <w:r w:rsidRPr="005274EB">
        <w:rPr>
          <w:lang w:eastAsia="en-CA"/>
        </w:rPr>
        <w:t xml:space="preserve">n Order that authorizes site-specific appeals be heard in phases, with the identified site-specific appeals being heard together in the different phases. </w:t>
      </w:r>
    </w:p>
    <w:p w14:paraId="2E56E3E7" w14:textId="0F17DAD0" w:rsidR="005274EB" w:rsidRPr="005274EB" w:rsidRDefault="005274EB" w:rsidP="003026FC">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Table 2</w:t>
      </w:r>
      <w:r w:rsidRPr="005274EB">
        <w:rPr>
          <w:rFonts w:ascii="Arial" w:hAnsi="Arial" w:cs="Arial"/>
        </w:rPr>
        <w:t xml:space="preserve">, set out below, illustrates </w:t>
      </w:r>
      <w:r w:rsidR="002F12B6">
        <w:rPr>
          <w:rFonts w:ascii="Arial" w:hAnsi="Arial" w:cs="Arial"/>
        </w:rPr>
        <w:t xml:space="preserve">Phase </w:t>
      </w:r>
      <w:r w:rsidRPr="00E33D72">
        <w:rPr>
          <w:rFonts w:ascii="Arial" w:hAnsi="Arial" w:cs="Arial"/>
        </w:rPr>
        <w:t>No. 6</w:t>
      </w:r>
      <w:r w:rsidRPr="005274EB">
        <w:rPr>
          <w:rFonts w:ascii="Arial" w:hAnsi="Arial" w:cs="Arial"/>
        </w:rPr>
        <w:t xml:space="preserve"> in the above Table, the City's proposed site-specific appeal phase for the remainder of the 2021 calendar year and into 2022, including the following sub-phases:</w:t>
      </w:r>
    </w:p>
    <w:p w14:paraId="1BDBE5F6" w14:textId="77777777" w:rsidR="002F12B6" w:rsidRDefault="005274EB" w:rsidP="003026FC">
      <w:pPr>
        <w:pStyle w:val="AffidavitParagraphs"/>
        <w:numPr>
          <w:ilvl w:val="1"/>
          <w:numId w:val="8"/>
        </w:numPr>
        <w:tabs>
          <w:tab w:val="left" w:pos="1080"/>
        </w:tabs>
        <w:spacing w:beforeLines="150" w:before="360" w:afterLines="150" w:after="360"/>
        <w:jc w:val="left"/>
        <w:rPr>
          <w:sz w:val="24"/>
          <w:szCs w:val="24"/>
        </w:rPr>
      </w:pPr>
      <w:r w:rsidRPr="005274EB">
        <w:rPr>
          <w:b/>
          <w:sz w:val="24"/>
          <w:szCs w:val="24"/>
        </w:rPr>
        <w:t>Sub-phase 6A</w:t>
      </w:r>
      <w:r w:rsidRPr="005274EB">
        <w:rPr>
          <w:sz w:val="24"/>
          <w:szCs w:val="24"/>
        </w:rPr>
        <w:t xml:space="preserve"> is the hearing regarding 8 Oak Street (Appeal No. 57) described above.</w:t>
      </w:r>
    </w:p>
    <w:p w14:paraId="0BBD9D58" w14:textId="77777777" w:rsidR="002F12B6" w:rsidRDefault="005274EB" w:rsidP="003026FC">
      <w:pPr>
        <w:pStyle w:val="AffidavitParagraphs"/>
        <w:numPr>
          <w:ilvl w:val="1"/>
          <w:numId w:val="8"/>
        </w:numPr>
        <w:tabs>
          <w:tab w:val="left" w:pos="1080"/>
        </w:tabs>
        <w:spacing w:beforeLines="150" w:before="360" w:afterLines="150" w:after="360"/>
        <w:jc w:val="left"/>
        <w:rPr>
          <w:sz w:val="24"/>
          <w:szCs w:val="24"/>
        </w:rPr>
      </w:pPr>
      <w:r w:rsidRPr="002F12B6">
        <w:rPr>
          <w:b/>
          <w:sz w:val="24"/>
          <w:szCs w:val="24"/>
        </w:rPr>
        <w:t>Sub-phases 6B, 6C and 6D</w:t>
      </w:r>
      <w:r w:rsidRPr="002F12B6">
        <w:rPr>
          <w:sz w:val="24"/>
          <w:szCs w:val="24"/>
        </w:rPr>
        <w:t xml:space="preserve"> are geography-based, and each involves site-specific appeals that are clustered in a geographic area:  northeast Scarborough, southwest Etobicoke and Liberty Village respectively.  </w:t>
      </w:r>
    </w:p>
    <w:p w14:paraId="05F30DB1" w14:textId="77777777" w:rsidR="002F12B6" w:rsidRDefault="005274EB" w:rsidP="003026FC">
      <w:pPr>
        <w:pStyle w:val="AffidavitParagraphs"/>
        <w:numPr>
          <w:ilvl w:val="1"/>
          <w:numId w:val="8"/>
        </w:numPr>
        <w:tabs>
          <w:tab w:val="left" w:pos="1080"/>
        </w:tabs>
        <w:spacing w:beforeLines="150" w:before="360" w:afterLines="150" w:after="360"/>
        <w:jc w:val="left"/>
        <w:rPr>
          <w:sz w:val="24"/>
          <w:szCs w:val="24"/>
        </w:rPr>
      </w:pPr>
      <w:r w:rsidRPr="002F12B6">
        <w:rPr>
          <w:b/>
          <w:sz w:val="24"/>
          <w:szCs w:val="24"/>
        </w:rPr>
        <w:t>Sub-phases 6E and 6F</w:t>
      </w:r>
      <w:r w:rsidRPr="002F12B6">
        <w:rPr>
          <w:sz w:val="24"/>
          <w:szCs w:val="24"/>
        </w:rPr>
        <w:t xml:space="preserve"> are policy-based. Each involves site-specific appeals that have raised issues with the same policy, irrespective of geography. The two policy matters are the conversion of </w:t>
      </w:r>
      <w:r w:rsidRPr="002F12B6">
        <w:rPr>
          <w:i/>
          <w:sz w:val="24"/>
          <w:szCs w:val="24"/>
        </w:rPr>
        <w:t>Core Employment Areas</w:t>
      </w:r>
      <w:r w:rsidRPr="002F12B6">
        <w:rPr>
          <w:sz w:val="24"/>
          <w:szCs w:val="24"/>
        </w:rPr>
        <w:t xml:space="preserve"> to </w:t>
      </w:r>
      <w:r w:rsidRPr="002F12B6">
        <w:rPr>
          <w:i/>
          <w:sz w:val="24"/>
          <w:szCs w:val="24"/>
        </w:rPr>
        <w:t>General Employment Areas,</w:t>
      </w:r>
      <w:r w:rsidRPr="002F12B6">
        <w:rPr>
          <w:sz w:val="24"/>
          <w:szCs w:val="24"/>
        </w:rPr>
        <w:t xml:space="preserve"> and the criteria for Large Format Retail.  </w:t>
      </w:r>
    </w:p>
    <w:p w14:paraId="4A2FC4B0" w14:textId="37982296" w:rsidR="005274EB" w:rsidRDefault="005274EB" w:rsidP="003026FC">
      <w:pPr>
        <w:pStyle w:val="AffidavitParagraphs"/>
        <w:numPr>
          <w:ilvl w:val="1"/>
          <w:numId w:val="8"/>
        </w:numPr>
        <w:tabs>
          <w:tab w:val="left" w:pos="1080"/>
        </w:tabs>
        <w:spacing w:beforeLines="150" w:before="360" w:afterLines="150" w:after="360"/>
        <w:jc w:val="left"/>
        <w:rPr>
          <w:sz w:val="24"/>
          <w:szCs w:val="24"/>
        </w:rPr>
      </w:pPr>
      <w:r w:rsidRPr="002F12B6">
        <w:rPr>
          <w:sz w:val="24"/>
          <w:szCs w:val="24"/>
        </w:rPr>
        <w:t xml:space="preserve">It should be noted that Appeals No. 8, 9, 16, 27, and 123 are found in both sub-phases 6B and 6E, while Appeal No. 27 is found in sub-phases 6C and 6D. Appeal No. 119 is found in both sub-phase 6B and 6F.  These appeals have been highlighted below to bring attention to these. </w:t>
      </w:r>
    </w:p>
    <w:p w14:paraId="6273A018" w14:textId="77777777" w:rsidR="003026FC" w:rsidRDefault="003026FC" w:rsidP="003026FC">
      <w:pPr>
        <w:pStyle w:val="AffidavitParagraphs"/>
        <w:numPr>
          <w:ilvl w:val="0"/>
          <w:numId w:val="0"/>
        </w:numPr>
        <w:tabs>
          <w:tab w:val="left" w:pos="1080"/>
        </w:tabs>
        <w:spacing w:beforeLines="150" w:before="360" w:afterLines="150" w:after="360"/>
        <w:ind w:left="1440"/>
        <w:jc w:val="left"/>
        <w:rPr>
          <w:sz w:val="24"/>
          <w:szCs w:val="24"/>
        </w:rPr>
      </w:pPr>
    </w:p>
    <w:tbl>
      <w:tblPr>
        <w:tblStyle w:val="TableGrid"/>
        <w:tblW w:w="10080" w:type="dxa"/>
        <w:tblInd w:w="-5" w:type="dxa"/>
        <w:tblLook w:val="04A0" w:firstRow="1" w:lastRow="0" w:firstColumn="1" w:lastColumn="0" w:noHBand="0" w:noVBand="1"/>
      </w:tblPr>
      <w:tblGrid>
        <w:gridCol w:w="894"/>
        <w:gridCol w:w="3086"/>
        <w:gridCol w:w="3140"/>
        <w:gridCol w:w="2960"/>
      </w:tblGrid>
      <w:tr w:rsidR="002F12B6" w14:paraId="6AC6DF1F" w14:textId="77777777" w:rsidTr="00F3716B">
        <w:trPr>
          <w:trHeight w:val="512"/>
        </w:trPr>
        <w:tc>
          <w:tcPr>
            <w:tcW w:w="10080" w:type="dxa"/>
            <w:gridSpan w:val="4"/>
            <w:tcBorders>
              <w:top w:val="single" w:sz="4" w:space="0" w:color="auto"/>
              <w:left w:val="single" w:sz="4" w:space="0" w:color="auto"/>
              <w:bottom w:val="single" w:sz="4" w:space="0" w:color="auto"/>
              <w:right w:val="single" w:sz="4" w:space="0" w:color="auto"/>
            </w:tcBorders>
            <w:vAlign w:val="center"/>
            <w:hideMark/>
          </w:tcPr>
          <w:p w14:paraId="32365E27" w14:textId="77777777" w:rsidR="002F12B6" w:rsidRDefault="002F12B6" w:rsidP="00F3716B">
            <w:pPr>
              <w:pStyle w:val="AffidavitParagraphs"/>
              <w:numPr>
                <w:ilvl w:val="0"/>
                <w:numId w:val="0"/>
              </w:numPr>
              <w:tabs>
                <w:tab w:val="left" w:pos="720"/>
              </w:tabs>
              <w:spacing w:before="0" w:after="0" w:line="240" w:lineRule="auto"/>
              <w:jc w:val="left"/>
              <w:rPr>
                <w:b/>
              </w:rPr>
            </w:pPr>
            <w:r>
              <w:rPr>
                <w:b/>
              </w:rPr>
              <w:lastRenderedPageBreak/>
              <w:t>Table 2: Proposed Site-Specific Appeals Phase [Phase 6]</w:t>
            </w:r>
          </w:p>
        </w:tc>
      </w:tr>
      <w:tr w:rsidR="002F12B6" w14:paraId="72AE8B2B" w14:textId="77777777" w:rsidTr="00F3716B">
        <w:trPr>
          <w:trHeight w:val="737"/>
        </w:trPr>
        <w:tc>
          <w:tcPr>
            <w:tcW w:w="865" w:type="dxa"/>
            <w:tcBorders>
              <w:top w:val="single" w:sz="4" w:space="0" w:color="auto"/>
              <w:left w:val="single" w:sz="4" w:space="0" w:color="auto"/>
              <w:bottom w:val="single" w:sz="4" w:space="0" w:color="auto"/>
              <w:right w:val="single" w:sz="4" w:space="0" w:color="auto"/>
            </w:tcBorders>
            <w:vAlign w:val="center"/>
            <w:hideMark/>
          </w:tcPr>
          <w:p w14:paraId="6A6AAA1C" w14:textId="77777777" w:rsidR="002F12B6" w:rsidRDefault="002F12B6" w:rsidP="00F3716B">
            <w:pPr>
              <w:pStyle w:val="AffidavitParagraphs"/>
              <w:numPr>
                <w:ilvl w:val="0"/>
                <w:numId w:val="0"/>
              </w:numPr>
              <w:tabs>
                <w:tab w:val="left" w:pos="720"/>
              </w:tabs>
              <w:spacing w:before="0" w:after="0" w:line="240" w:lineRule="auto"/>
              <w:jc w:val="left"/>
            </w:pPr>
            <w:r>
              <w:rPr>
                <w:b/>
              </w:rPr>
              <w:t>Sub-Phase</w:t>
            </w:r>
          </w:p>
        </w:tc>
        <w:tc>
          <w:tcPr>
            <w:tcW w:w="3095" w:type="dxa"/>
            <w:tcBorders>
              <w:top w:val="single" w:sz="4" w:space="0" w:color="auto"/>
              <w:left w:val="single" w:sz="4" w:space="0" w:color="auto"/>
              <w:bottom w:val="single" w:sz="4" w:space="0" w:color="auto"/>
              <w:right w:val="single" w:sz="4" w:space="0" w:color="auto"/>
            </w:tcBorders>
            <w:vAlign w:val="center"/>
            <w:hideMark/>
          </w:tcPr>
          <w:p w14:paraId="190CEC23" w14:textId="77777777" w:rsidR="002F12B6" w:rsidRDefault="002F12B6" w:rsidP="00F3716B">
            <w:pPr>
              <w:pStyle w:val="AffidavitParagraphs"/>
              <w:numPr>
                <w:ilvl w:val="0"/>
                <w:numId w:val="0"/>
              </w:numPr>
              <w:tabs>
                <w:tab w:val="left" w:pos="720"/>
              </w:tabs>
              <w:spacing w:before="0" w:after="0" w:line="240" w:lineRule="auto"/>
              <w:jc w:val="left"/>
            </w:pPr>
            <w:r>
              <w:rPr>
                <w:b/>
              </w:rPr>
              <w:t>Address(es) or General Geography or Policy Matter</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FCBA6C6" w14:textId="77777777" w:rsidR="002F12B6" w:rsidRDefault="002F12B6" w:rsidP="00F3716B">
            <w:pPr>
              <w:pStyle w:val="AffidavitParagraphs"/>
              <w:numPr>
                <w:ilvl w:val="0"/>
                <w:numId w:val="0"/>
              </w:numPr>
              <w:tabs>
                <w:tab w:val="left" w:pos="720"/>
              </w:tabs>
              <w:spacing w:before="0" w:after="0" w:line="240" w:lineRule="auto"/>
              <w:jc w:val="left"/>
            </w:pPr>
            <w:r>
              <w:rPr>
                <w:b/>
              </w:rPr>
              <w:t>Hearing Dates (duration)</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2C9CC46" w14:textId="77777777" w:rsidR="002F12B6" w:rsidRDefault="002F12B6" w:rsidP="00F3716B">
            <w:pPr>
              <w:pStyle w:val="AffidavitParagraphs"/>
              <w:numPr>
                <w:ilvl w:val="0"/>
                <w:numId w:val="0"/>
              </w:numPr>
              <w:tabs>
                <w:tab w:val="left" w:pos="720"/>
              </w:tabs>
              <w:spacing w:before="0" w:after="0" w:line="240" w:lineRule="auto"/>
              <w:jc w:val="left"/>
              <w:rPr>
                <w:b/>
              </w:rPr>
            </w:pPr>
            <w:r>
              <w:rPr>
                <w:b/>
              </w:rPr>
              <w:t>Appeal Number</w:t>
            </w:r>
          </w:p>
        </w:tc>
      </w:tr>
      <w:tr w:rsidR="002F12B6" w14:paraId="3E23073E"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2D1DE67C" w14:textId="77777777" w:rsidR="002F12B6" w:rsidRDefault="002F12B6" w:rsidP="00F3716B">
            <w:pPr>
              <w:pStyle w:val="AffidavitParagraphs"/>
              <w:numPr>
                <w:ilvl w:val="0"/>
                <w:numId w:val="0"/>
              </w:numPr>
              <w:tabs>
                <w:tab w:val="left" w:pos="720"/>
              </w:tabs>
              <w:spacing w:before="0" w:after="0" w:line="240" w:lineRule="auto"/>
              <w:jc w:val="left"/>
              <w:rPr>
                <w:b/>
              </w:rPr>
            </w:pPr>
            <w:r>
              <w:rPr>
                <w:b/>
              </w:rPr>
              <w:t>6A</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F1FF23E" w14:textId="77777777" w:rsidR="002F12B6" w:rsidRDefault="002F12B6" w:rsidP="00F3716B">
            <w:pPr>
              <w:pStyle w:val="AffidavitParagraphs"/>
              <w:numPr>
                <w:ilvl w:val="0"/>
                <w:numId w:val="0"/>
              </w:numPr>
              <w:tabs>
                <w:tab w:val="left" w:pos="720"/>
              </w:tabs>
              <w:spacing w:before="0" w:after="0" w:line="240" w:lineRule="auto"/>
              <w:jc w:val="left"/>
            </w:pPr>
            <w:r>
              <w:t>8 Oak Street</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79D3480" w14:textId="77777777" w:rsidR="002F12B6" w:rsidRDefault="002F12B6" w:rsidP="00F3716B">
            <w:pPr>
              <w:pStyle w:val="AffidavitParagraphs"/>
              <w:numPr>
                <w:ilvl w:val="0"/>
                <w:numId w:val="0"/>
              </w:numPr>
              <w:tabs>
                <w:tab w:val="left" w:pos="720"/>
              </w:tabs>
              <w:spacing w:before="0" w:after="0" w:line="240" w:lineRule="auto"/>
              <w:jc w:val="left"/>
            </w:pPr>
            <w:r>
              <w:t>March 29, 2021 (8-days)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4F3F5A2" w14:textId="77777777" w:rsidR="002F12B6" w:rsidRDefault="002F12B6" w:rsidP="00F3716B">
            <w:pPr>
              <w:pStyle w:val="AffidavitParagraphs"/>
              <w:numPr>
                <w:ilvl w:val="0"/>
                <w:numId w:val="0"/>
              </w:numPr>
              <w:tabs>
                <w:tab w:val="left" w:pos="720"/>
              </w:tabs>
              <w:spacing w:before="0" w:after="0" w:line="240" w:lineRule="auto"/>
              <w:jc w:val="left"/>
            </w:pPr>
            <w:r>
              <w:t>157</w:t>
            </w:r>
          </w:p>
        </w:tc>
      </w:tr>
      <w:tr w:rsidR="002F12B6" w14:paraId="1DF92C03"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60D9A29F" w14:textId="77777777" w:rsidR="002F12B6" w:rsidRDefault="002F12B6" w:rsidP="00F3716B">
            <w:pPr>
              <w:pStyle w:val="AffidavitParagraphs"/>
              <w:numPr>
                <w:ilvl w:val="0"/>
                <w:numId w:val="0"/>
              </w:numPr>
              <w:tabs>
                <w:tab w:val="left" w:pos="720"/>
              </w:tabs>
              <w:spacing w:before="0" w:after="0" w:line="240" w:lineRule="auto"/>
              <w:jc w:val="left"/>
              <w:rPr>
                <w:b/>
              </w:rPr>
            </w:pPr>
            <w:r>
              <w:rPr>
                <w:b/>
              </w:rPr>
              <w:t>6B</w:t>
            </w:r>
          </w:p>
        </w:tc>
        <w:tc>
          <w:tcPr>
            <w:tcW w:w="3095" w:type="dxa"/>
            <w:tcBorders>
              <w:top w:val="single" w:sz="4" w:space="0" w:color="auto"/>
              <w:left w:val="single" w:sz="4" w:space="0" w:color="auto"/>
              <w:bottom w:val="single" w:sz="4" w:space="0" w:color="auto"/>
              <w:right w:val="single" w:sz="4" w:space="0" w:color="auto"/>
            </w:tcBorders>
            <w:vAlign w:val="center"/>
            <w:hideMark/>
          </w:tcPr>
          <w:p w14:paraId="1840AA72" w14:textId="77777777" w:rsidR="002F12B6" w:rsidRDefault="002F12B6" w:rsidP="00F3716B">
            <w:pPr>
              <w:pStyle w:val="AffidavitParagraphs"/>
              <w:numPr>
                <w:ilvl w:val="0"/>
                <w:numId w:val="0"/>
              </w:numPr>
              <w:tabs>
                <w:tab w:val="left" w:pos="720"/>
              </w:tabs>
              <w:spacing w:before="0" w:after="0" w:line="240" w:lineRule="auto"/>
              <w:jc w:val="left"/>
            </w:pPr>
            <w:r>
              <w:t>North East Scarborough</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3D7947C" w14:textId="77777777" w:rsidR="002F12B6" w:rsidRDefault="002F12B6" w:rsidP="00F3716B">
            <w:pPr>
              <w:pStyle w:val="AffidavitParagraphs"/>
              <w:numPr>
                <w:ilvl w:val="0"/>
                <w:numId w:val="0"/>
              </w:numPr>
              <w:tabs>
                <w:tab w:val="left" w:pos="720"/>
              </w:tabs>
              <w:spacing w:before="0" w:after="0" w:line="240" w:lineRule="auto"/>
              <w:jc w:val="left"/>
            </w:pPr>
            <w:r>
              <w:t xml:space="preserve">(Estimate: 5-hearing days </w:t>
            </w:r>
          </w:p>
          <w:p w14:paraId="00680DF3" w14:textId="77777777" w:rsidR="002F12B6" w:rsidRDefault="002F12B6" w:rsidP="00F3716B">
            <w:pPr>
              <w:pStyle w:val="AffidavitParagraphs"/>
              <w:numPr>
                <w:ilvl w:val="0"/>
                <w:numId w:val="0"/>
              </w:numPr>
              <w:tabs>
                <w:tab w:val="left" w:pos="720"/>
              </w:tabs>
              <w:spacing w:before="0" w:after="0" w:line="240" w:lineRule="auto"/>
              <w:jc w:val="left"/>
            </w:pPr>
            <w:r>
              <w:t>in 2021)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2EBDFE5" w14:textId="77777777" w:rsidR="002F12B6" w:rsidRDefault="002F12B6" w:rsidP="00F3716B">
            <w:pPr>
              <w:pStyle w:val="AffidavitParagraphs"/>
              <w:numPr>
                <w:ilvl w:val="0"/>
                <w:numId w:val="0"/>
              </w:numPr>
              <w:tabs>
                <w:tab w:val="left" w:pos="720"/>
              </w:tabs>
              <w:spacing w:before="0" w:after="0" w:line="240" w:lineRule="auto"/>
              <w:jc w:val="left"/>
            </w:pPr>
            <w:r>
              <w:rPr>
                <w:b/>
                <w:u w:val="single"/>
              </w:rPr>
              <w:t>8</w:t>
            </w:r>
            <w:r>
              <w:t xml:space="preserve">, </w:t>
            </w:r>
            <w:r>
              <w:rPr>
                <w:b/>
                <w:u w:val="single"/>
              </w:rPr>
              <w:t>9</w:t>
            </w:r>
            <w:r>
              <w:t xml:space="preserve">, </w:t>
            </w:r>
            <w:r>
              <w:rPr>
                <w:b/>
                <w:u w:val="single"/>
              </w:rPr>
              <w:t>16</w:t>
            </w:r>
            <w:r>
              <w:t xml:space="preserve">, 54, </w:t>
            </w:r>
            <w:r>
              <w:rPr>
                <w:b/>
                <w:u w:val="single"/>
              </w:rPr>
              <w:t>119</w:t>
            </w:r>
            <w:r>
              <w:t xml:space="preserve">, </w:t>
            </w:r>
            <w:r>
              <w:rPr>
                <w:b/>
                <w:u w:val="single"/>
              </w:rPr>
              <w:t>123</w:t>
            </w:r>
            <w:r>
              <w:t>, 193</w:t>
            </w:r>
          </w:p>
        </w:tc>
      </w:tr>
      <w:tr w:rsidR="002F12B6" w14:paraId="30D1914D"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7B1A2C74" w14:textId="77777777" w:rsidR="002F12B6" w:rsidRDefault="002F12B6" w:rsidP="00F3716B">
            <w:pPr>
              <w:pStyle w:val="AffidavitParagraphs"/>
              <w:numPr>
                <w:ilvl w:val="0"/>
                <w:numId w:val="0"/>
              </w:numPr>
              <w:tabs>
                <w:tab w:val="left" w:pos="720"/>
              </w:tabs>
              <w:spacing w:before="0" w:after="0" w:line="240" w:lineRule="auto"/>
              <w:jc w:val="left"/>
              <w:rPr>
                <w:b/>
              </w:rPr>
            </w:pPr>
            <w:r>
              <w:rPr>
                <w:b/>
              </w:rPr>
              <w:t>6C</w:t>
            </w:r>
          </w:p>
        </w:tc>
        <w:tc>
          <w:tcPr>
            <w:tcW w:w="3095" w:type="dxa"/>
            <w:tcBorders>
              <w:top w:val="single" w:sz="4" w:space="0" w:color="auto"/>
              <w:left w:val="single" w:sz="4" w:space="0" w:color="auto"/>
              <w:bottom w:val="single" w:sz="4" w:space="0" w:color="auto"/>
              <w:right w:val="single" w:sz="4" w:space="0" w:color="auto"/>
            </w:tcBorders>
            <w:vAlign w:val="center"/>
            <w:hideMark/>
          </w:tcPr>
          <w:p w14:paraId="36285547" w14:textId="77777777" w:rsidR="002F12B6" w:rsidRDefault="002F12B6" w:rsidP="00F3716B">
            <w:pPr>
              <w:pStyle w:val="AffidavitParagraphs"/>
              <w:numPr>
                <w:ilvl w:val="0"/>
                <w:numId w:val="0"/>
              </w:numPr>
              <w:tabs>
                <w:tab w:val="left" w:pos="720"/>
              </w:tabs>
              <w:spacing w:before="0" w:after="0" w:line="240" w:lineRule="auto"/>
              <w:jc w:val="left"/>
            </w:pPr>
            <w:r>
              <w:t>South West Etobicoke</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45C5770" w14:textId="77777777" w:rsidR="002F12B6" w:rsidRDefault="002F12B6" w:rsidP="00F3716B">
            <w:pPr>
              <w:pStyle w:val="AffidavitParagraphs"/>
              <w:numPr>
                <w:ilvl w:val="0"/>
                <w:numId w:val="0"/>
              </w:numPr>
              <w:tabs>
                <w:tab w:val="left" w:pos="720"/>
              </w:tabs>
              <w:spacing w:before="0" w:after="0" w:line="240" w:lineRule="auto"/>
              <w:jc w:val="left"/>
            </w:pPr>
            <w:r>
              <w:t xml:space="preserve">(Estimate: 10-hearing days </w:t>
            </w:r>
          </w:p>
          <w:p w14:paraId="25934AF1" w14:textId="77777777" w:rsidR="002F12B6" w:rsidRDefault="002F12B6" w:rsidP="00F3716B">
            <w:pPr>
              <w:pStyle w:val="AffidavitParagraphs"/>
              <w:numPr>
                <w:ilvl w:val="0"/>
                <w:numId w:val="0"/>
              </w:numPr>
              <w:tabs>
                <w:tab w:val="left" w:pos="720"/>
              </w:tabs>
              <w:spacing w:before="0" w:after="0" w:line="240" w:lineRule="auto"/>
              <w:jc w:val="left"/>
            </w:pPr>
            <w:r>
              <w:t>in 2021)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EAEBE91" w14:textId="77777777" w:rsidR="002F12B6" w:rsidRDefault="002F12B6" w:rsidP="00F3716B">
            <w:pPr>
              <w:pStyle w:val="AffidavitParagraphs"/>
              <w:numPr>
                <w:ilvl w:val="0"/>
                <w:numId w:val="0"/>
              </w:numPr>
              <w:tabs>
                <w:tab w:val="left" w:pos="720"/>
              </w:tabs>
              <w:spacing w:before="0" w:after="0" w:line="240" w:lineRule="auto"/>
              <w:jc w:val="left"/>
            </w:pPr>
            <w:r>
              <w:t xml:space="preserve">1, </w:t>
            </w:r>
            <w:r>
              <w:rPr>
                <w:b/>
                <w:u w:val="single"/>
              </w:rPr>
              <w:t>27</w:t>
            </w:r>
            <w:r>
              <w:t>, 44, 57, 64, 85, 100, 133, 147, 197, 198, 202</w:t>
            </w:r>
          </w:p>
        </w:tc>
      </w:tr>
      <w:tr w:rsidR="002F12B6" w14:paraId="1A039F80"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72BFFB87" w14:textId="77777777" w:rsidR="002F12B6" w:rsidRDefault="002F12B6" w:rsidP="00F3716B">
            <w:pPr>
              <w:pStyle w:val="AffidavitParagraphs"/>
              <w:numPr>
                <w:ilvl w:val="0"/>
                <w:numId w:val="0"/>
              </w:numPr>
              <w:tabs>
                <w:tab w:val="left" w:pos="720"/>
              </w:tabs>
              <w:spacing w:before="0" w:after="0" w:line="240" w:lineRule="auto"/>
              <w:jc w:val="left"/>
              <w:rPr>
                <w:b/>
              </w:rPr>
            </w:pPr>
            <w:r>
              <w:rPr>
                <w:b/>
              </w:rPr>
              <w:t>6D</w:t>
            </w:r>
          </w:p>
        </w:tc>
        <w:tc>
          <w:tcPr>
            <w:tcW w:w="3095" w:type="dxa"/>
            <w:tcBorders>
              <w:top w:val="single" w:sz="4" w:space="0" w:color="auto"/>
              <w:left w:val="single" w:sz="4" w:space="0" w:color="auto"/>
              <w:bottom w:val="single" w:sz="4" w:space="0" w:color="auto"/>
              <w:right w:val="single" w:sz="4" w:space="0" w:color="auto"/>
            </w:tcBorders>
            <w:vAlign w:val="center"/>
            <w:hideMark/>
          </w:tcPr>
          <w:p w14:paraId="4A2171F6" w14:textId="77777777" w:rsidR="002F12B6" w:rsidRDefault="002F12B6" w:rsidP="00F3716B">
            <w:pPr>
              <w:pStyle w:val="AffidavitParagraphs"/>
              <w:numPr>
                <w:ilvl w:val="0"/>
                <w:numId w:val="0"/>
              </w:numPr>
              <w:tabs>
                <w:tab w:val="left" w:pos="720"/>
              </w:tabs>
              <w:spacing w:before="0" w:after="0" w:line="240" w:lineRule="auto"/>
              <w:jc w:val="left"/>
            </w:pPr>
            <w:r>
              <w:t xml:space="preserve">Liberty Village </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01DD764" w14:textId="77777777" w:rsidR="002F12B6" w:rsidRDefault="002F12B6" w:rsidP="00F3716B">
            <w:pPr>
              <w:pStyle w:val="AffidavitParagraphs"/>
              <w:numPr>
                <w:ilvl w:val="0"/>
                <w:numId w:val="0"/>
              </w:numPr>
              <w:tabs>
                <w:tab w:val="left" w:pos="720"/>
              </w:tabs>
              <w:spacing w:before="0" w:after="0" w:line="240" w:lineRule="auto"/>
              <w:jc w:val="left"/>
            </w:pPr>
            <w:r>
              <w:t>(Estimate: 5-days in 2021)</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3DCD5D2" w14:textId="77777777" w:rsidR="002F12B6" w:rsidRDefault="002F12B6" w:rsidP="00F3716B">
            <w:pPr>
              <w:pStyle w:val="AffidavitParagraphs"/>
              <w:numPr>
                <w:ilvl w:val="0"/>
                <w:numId w:val="0"/>
              </w:numPr>
              <w:tabs>
                <w:tab w:val="left" w:pos="720"/>
              </w:tabs>
              <w:spacing w:before="0" w:after="0" w:line="240" w:lineRule="auto"/>
              <w:jc w:val="left"/>
            </w:pPr>
            <w:r>
              <w:t>13, 32, 49, 204</w:t>
            </w:r>
          </w:p>
        </w:tc>
      </w:tr>
      <w:tr w:rsidR="002F12B6" w14:paraId="21134FAD"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180ABAEA" w14:textId="77777777" w:rsidR="002F12B6" w:rsidRDefault="002F12B6" w:rsidP="00F3716B">
            <w:pPr>
              <w:pStyle w:val="AffidavitParagraphs"/>
              <w:numPr>
                <w:ilvl w:val="0"/>
                <w:numId w:val="0"/>
              </w:numPr>
              <w:tabs>
                <w:tab w:val="left" w:pos="720"/>
              </w:tabs>
              <w:spacing w:before="0" w:after="0" w:line="240" w:lineRule="auto"/>
              <w:jc w:val="left"/>
              <w:rPr>
                <w:b/>
              </w:rPr>
            </w:pPr>
            <w:r>
              <w:rPr>
                <w:b/>
              </w:rPr>
              <w:t xml:space="preserve">6E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EB15EA1" w14:textId="77777777" w:rsidR="002F12B6" w:rsidRDefault="002F12B6" w:rsidP="00F3716B">
            <w:pPr>
              <w:pStyle w:val="AffidavitParagraphs"/>
              <w:numPr>
                <w:ilvl w:val="0"/>
                <w:numId w:val="0"/>
              </w:numPr>
              <w:tabs>
                <w:tab w:val="left" w:pos="720"/>
              </w:tabs>
              <w:spacing w:before="0" w:after="0" w:line="240" w:lineRule="auto"/>
              <w:jc w:val="left"/>
            </w:pPr>
            <w:r>
              <w:rPr>
                <w:i/>
              </w:rPr>
              <w:t>Core Employment Area</w:t>
            </w:r>
            <w:r>
              <w:t xml:space="preserve"> to </w:t>
            </w:r>
            <w:r>
              <w:rPr>
                <w:i/>
              </w:rPr>
              <w:t>General Employment Area</w:t>
            </w:r>
            <w:r>
              <w:t xml:space="preserve"> conversions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5883EA8" w14:textId="77777777" w:rsidR="002F12B6" w:rsidRDefault="002F12B6" w:rsidP="00F3716B">
            <w:pPr>
              <w:pStyle w:val="AffidavitParagraphs"/>
              <w:numPr>
                <w:ilvl w:val="0"/>
                <w:numId w:val="0"/>
              </w:numPr>
              <w:tabs>
                <w:tab w:val="left" w:pos="720"/>
              </w:tabs>
              <w:spacing w:before="0" w:after="0" w:line="240" w:lineRule="auto"/>
              <w:jc w:val="left"/>
            </w:pPr>
            <w:r>
              <w:t xml:space="preserve">(Estimate: 3-days in 2021 </w:t>
            </w:r>
          </w:p>
          <w:p w14:paraId="76D87BEF" w14:textId="77777777" w:rsidR="002F12B6" w:rsidRDefault="002F12B6" w:rsidP="00F3716B">
            <w:pPr>
              <w:pStyle w:val="AffidavitParagraphs"/>
              <w:numPr>
                <w:ilvl w:val="0"/>
                <w:numId w:val="0"/>
              </w:numPr>
              <w:tabs>
                <w:tab w:val="left" w:pos="720"/>
              </w:tabs>
              <w:spacing w:before="0" w:after="0" w:line="240" w:lineRule="auto"/>
              <w:jc w:val="left"/>
            </w:pPr>
            <w:r>
              <w:t>or 2022)</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A1775E9" w14:textId="77777777" w:rsidR="002F12B6" w:rsidRDefault="002F12B6" w:rsidP="00F3716B">
            <w:pPr>
              <w:pStyle w:val="AffidavitParagraphs"/>
              <w:numPr>
                <w:ilvl w:val="0"/>
                <w:numId w:val="0"/>
              </w:numPr>
              <w:tabs>
                <w:tab w:val="left" w:pos="720"/>
              </w:tabs>
              <w:spacing w:before="0" w:after="0" w:line="240" w:lineRule="auto"/>
              <w:jc w:val="left"/>
            </w:pPr>
            <w:r>
              <w:rPr>
                <w:b/>
                <w:u w:val="single"/>
              </w:rPr>
              <w:t>8</w:t>
            </w:r>
            <w:r>
              <w:t xml:space="preserve">, </w:t>
            </w:r>
            <w:r>
              <w:rPr>
                <w:b/>
                <w:u w:val="single"/>
              </w:rPr>
              <w:t>9</w:t>
            </w:r>
            <w:r>
              <w:t xml:space="preserve">, 11, 12, </w:t>
            </w:r>
            <w:r>
              <w:rPr>
                <w:b/>
                <w:u w:val="single"/>
              </w:rPr>
              <w:t>16</w:t>
            </w:r>
            <w:r>
              <w:t xml:space="preserve">, </w:t>
            </w:r>
            <w:r>
              <w:rPr>
                <w:b/>
                <w:u w:val="single"/>
              </w:rPr>
              <w:t>27</w:t>
            </w:r>
            <w:r>
              <w:t xml:space="preserve">, 34, 36, 68, 81, </w:t>
            </w:r>
            <w:r>
              <w:rPr>
                <w:b/>
                <w:u w:val="single"/>
              </w:rPr>
              <w:t>123</w:t>
            </w:r>
            <w:r>
              <w:t>, 129, 142, 161</w:t>
            </w:r>
          </w:p>
        </w:tc>
      </w:tr>
      <w:tr w:rsidR="002F12B6" w14:paraId="5EE7F6A3"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7CE46621" w14:textId="77777777" w:rsidR="002F12B6" w:rsidRDefault="002F12B6" w:rsidP="00F3716B">
            <w:pPr>
              <w:pStyle w:val="AffidavitParagraphs"/>
              <w:numPr>
                <w:ilvl w:val="0"/>
                <w:numId w:val="0"/>
              </w:numPr>
              <w:tabs>
                <w:tab w:val="left" w:pos="720"/>
              </w:tabs>
              <w:spacing w:before="0" w:after="0" w:line="240" w:lineRule="auto"/>
              <w:jc w:val="left"/>
              <w:rPr>
                <w:b/>
              </w:rPr>
            </w:pPr>
            <w:r>
              <w:rPr>
                <w:b/>
              </w:rPr>
              <w:t>6F</w:t>
            </w:r>
          </w:p>
        </w:tc>
        <w:tc>
          <w:tcPr>
            <w:tcW w:w="3095" w:type="dxa"/>
            <w:tcBorders>
              <w:top w:val="single" w:sz="4" w:space="0" w:color="auto"/>
              <w:left w:val="single" w:sz="4" w:space="0" w:color="auto"/>
              <w:bottom w:val="single" w:sz="4" w:space="0" w:color="auto"/>
              <w:right w:val="single" w:sz="4" w:space="0" w:color="auto"/>
            </w:tcBorders>
            <w:vAlign w:val="center"/>
            <w:hideMark/>
          </w:tcPr>
          <w:p w14:paraId="612EE85D" w14:textId="77777777" w:rsidR="002F12B6" w:rsidRDefault="002F12B6" w:rsidP="00F3716B">
            <w:pPr>
              <w:pStyle w:val="AffidavitParagraphs"/>
              <w:numPr>
                <w:ilvl w:val="0"/>
                <w:numId w:val="0"/>
              </w:numPr>
              <w:tabs>
                <w:tab w:val="left" w:pos="720"/>
              </w:tabs>
              <w:spacing w:before="0" w:after="0" w:line="240" w:lineRule="auto"/>
              <w:jc w:val="left"/>
            </w:pPr>
            <w:r>
              <w:t xml:space="preserve">Large format retail criteria </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F9512AC" w14:textId="77777777" w:rsidR="002F12B6" w:rsidRDefault="002F12B6" w:rsidP="00F3716B">
            <w:pPr>
              <w:pStyle w:val="AffidavitParagraphs"/>
              <w:numPr>
                <w:ilvl w:val="0"/>
                <w:numId w:val="0"/>
              </w:numPr>
              <w:tabs>
                <w:tab w:val="left" w:pos="720"/>
              </w:tabs>
              <w:spacing w:before="0" w:after="0" w:line="240" w:lineRule="auto"/>
              <w:jc w:val="left"/>
            </w:pPr>
            <w:r>
              <w:t xml:space="preserve">(Estimate: 3-days in 2021 </w:t>
            </w:r>
          </w:p>
          <w:p w14:paraId="74FA36FC" w14:textId="77777777" w:rsidR="002F12B6" w:rsidRDefault="002F12B6" w:rsidP="00F3716B">
            <w:pPr>
              <w:pStyle w:val="AffidavitParagraphs"/>
              <w:numPr>
                <w:ilvl w:val="0"/>
                <w:numId w:val="0"/>
              </w:numPr>
              <w:tabs>
                <w:tab w:val="left" w:pos="720"/>
              </w:tabs>
              <w:spacing w:before="0" w:after="0" w:line="240" w:lineRule="auto"/>
              <w:jc w:val="left"/>
            </w:pPr>
            <w:r>
              <w:t>or 2022)</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E1C4DF8" w14:textId="77777777" w:rsidR="002F12B6" w:rsidRDefault="002F12B6" w:rsidP="00F3716B">
            <w:pPr>
              <w:pStyle w:val="AffidavitParagraphs"/>
              <w:numPr>
                <w:ilvl w:val="0"/>
                <w:numId w:val="0"/>
              </w:numPr>
              <w:tabs>
                <w:tab w:val="left" w:pos="720"/>
              </w:tabs>
              <w:spacing w:before="0" w:after="0" w:line="240" w:lineRule="auto"/>
              <w:jc w:val="left"/>
            </w:pPr>
            <w:r>
              <w:t xml:space="preserve">69, 71, 73, 98, 100, 177, </w:t>
            </w:r>
            <w:r>
              <w:rPr>
                <w:b/>
                <w:u w:val="single"/>
              </w:rPr>
              <w:t>119</w:t>
            </w:r>
            <w:r>
              <w:t>, 146, 149</w:t>
            </w:r>
          </w:p>
        </w:tc>
      </w:tr>
      <w:tr w:rsidR="002F12B6" w14:paraId="43174BD3" w14:textId="77777777" w:rsidTr="00F3716B">
        <w:tc>
          <w:tcPr>
            <w:tcW w:w="865" w:type="dxa"/>
            <w:tcBorders>
              <w:top w:val="single" w:sz="4" w:space="0" w:color="auto"/>
              <w:left w:val="single" w:sz="4" w:space="0" w:color="auto"/>
              <w:bottom w:val="single" w:sz="4" w:space="0" w:color="auto"/>
              <w:right w:val="single" w:sz="4" w:space="0" w:color="auto"/>
            </w:tcBorders>
            <w:vAlign w:val="center"/>
            <w:hideMark/>
          </w:tcPr>
          <w:p w14:paraId="03EDB95D" w14:textId="77777777" w:rsidR="002F12B6" w:rsidRDefault="002F12B6" w:rsidP="00F3716B">
            <w:pPr>
              <w:pStyle w:val="AffidavitParagraphs"/>
              <w:numPr>
                <w:ilvl w:val="0"/>
                <w:numId w:val="0"/>
              </w:numPr>
              <w:tabs>
                <w:tab w:val="left" w:pos="720"/>
              </w:tabs>
              <w:spacing w:before="0" w:after="0" w:line="240" w:lineRule="auto"/>
              <w:jc w:val="left"/>
              <w:rPr>
                <w:b/>
              </w:rPr>
            </w:pPr>
            <w:r>
              <w:rPr>
                <w:b/>
              </w:rPr>
              <w:t xml:space="preserve">6G </w:t>
            </w:r>
          </w:p>
        </w:tc>
        <w:tc>
          <w:tcPr>
            <w:tcW w:w="6245" w:type="dxa"/>
            <w:gridSpan w:val="2"/>
            <w:tcBorders>
              <w:top w:val="single" w:sz="4" w:space="0" w:color="auto"/>
              <w:left w:val="single" w:sz="4" w:space="0" w:color="auto"/>
              <w:bottom w:val="single" w:sz="4" w:space="0" w:color="auto"/>
              <w:right w:val="single" w:sz="4" w:space="0" w:color="auto"/>
            </w:tcBorders>
            <w:vAlign w:val="center"/>
            <w:hideMark/>
          </w:tcPr>
          <w:p w14:paraId="51ECD8B6" w14:textId="77777777" w:rsidR="002F12B6" w:rsidRDefault="002F12B6" w:rsidP="00F3716B">
            <w:pPr>
              <w:pStyle w:val="AffidavitParagraphs"/>
              <w:numPr>
                <w:ilvl w:val="0"/>
                <w:numId w:val="0"/>
              </w:numPr>
              <w:tabs>
                <w:tab w:val="left" w:pos="720"/>
              </w:tabs>
              <w:spacing w:before="0" w:after="0" w:line="240" w:lineRule="auto"/>
              <w:jc w:val="left"/>
            </w:pPr>
            <w:r>
              <w:t>To be determined at future Case Management Conference</w:t>
            </w:r>
          </w:p>
        </w:tc>
        <w:tc>
          <w:tcPr>
            <w:tcW w:w="2970" w:type="dxa"/>
            <w:tcBorders>
              <w:top w:val="single" w:sz="4" w:space="0" w:color="auto"/>
              <w:left w:val="single" w:sz="4" w:space="0" w:color="auto"/>
              <w:bottom w:val="single" w:sz="4" w:space="0" w:color="auto"/>
              <w:right w:val="single" w:sz="4" w:space="0" w:color="auto"/>
            </w:tcBorders>
            <w:vAlign w:val="center"/>
          </w:tcPr>
          <w:p w14:paraId="0642933D" w14:textId="77777777" w:rsidR="002F12B6" w:rsidRDefault="002F12B6" w:rsidP="00F3716B">
            <w:pPr>
              <w:pStyle w:val="AffidavitParagraphs"/>
              <w:numPr>
                <w:ilvl w:val="0"/>
                <w:numId w:val="0"/>
              </w:numPr>
              <w:tabs>
                <w:tab w:val="left" w:pos="720"/>
              </w:tabs>
              <w:spacing w:before="0" w:after="0" w:line="240" w:lineRule="auto"/>
              <w:jc w:val="left"/>
            </w:pPr>
          </w:p>
        </w:tc>
      </w:tr>
    </w:tbl>
    <w:p w14:paraId="5D576F78" w14:textId="77777777" w:rsidR="005274EB" w:rsidRPr="005274EB" w:rsidRDefault="005274EB" w:rsidP="003026FC">
      <w:pPr>
        <w:pStyle w:val="Body"/>
        <w:numPr>
          <w:ilvl w:val="0"/>
          <w:numId w:val="8"/>
        </w:numPr>
        <w:spacing w:beforeLines="150" w:before="360" w:afterLines="150" w:after="360" w:line="360" w:lineRule="auto"/>
        <w:ind w:left="0" w:firstLine="0"/>
        <w:outlineLvl w:val="0"/>
        <w:rPr>
          <w:rFonts w:ascii="Arial" w:hAnsi="Arial" w:cs="Arial"/>
          <w:b/>
        </w:rPr>
      </w:pPr>
      <w:r w:rsidRPr="005274EB">
        <w:rPr>
          <w:rFonts w:ascii="Arial" w:eastAsia="Arial" w:hAnsi="Arial" w:cs="Arial"/>
        </w:rPr>
        <w:t>The City submitted that If the proposed phasing is approved,</w:t>
      </w:r>
      <w:r w:rsidRPr="005274EB">
        <w:rPr>
          <w:rFonts w:ascii="Arial" w:hAnsi="Arial" w:cs="Arial"/>
        </w:rPr>
        <w:t xml:space="preserve"> it would conduct an analysis of the remaining 71 site-specific appeals that would be included in sub-phase 6G of Table 2. These remaining appeals include those that sought Party Status and are currently sheltering under another appeal.</w:t>
      </w:r>
    </w:p>
    <w:p w14:paraId="7E5C394A" w14:textId="77777777" w:rsidR="005274EB" w:rsidRPr="005274EB" w:rsidRDefault="005274EB" w:rsidP="00DE3661">
      <w:pPr>
        <w:pStyle w:val="AffidavitHeadings"/>
        <w:spacing w:beforeLines="150" w:before="360" w:afterLines="150" w:after="360" w:line="360" w:lineRule="auto"/>
        <w:jc w:val="left"/>
        <w:rPr>
          <w:sz w:val="24"/>
          <w:szCs w:val="24"/>
        </w:rPr>
      </w:pPr>
      <w:r w:rsidRPr="005274EB">
        <w:rPr>
          <w:sz w:val="24"/>
          <w:szCs w:val="24"/>
        </w:rPr>
        <w:t>PROPOSED SITE-SPECIFIC APPEAL PHASE</w:t>
      </w:r>
    </w:p>
    <w:p w14:paraId="330EBEE6" w14:textId="583B1066"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hAnsi="Arial" w:cs="Arial"/>
        </w:rPr>
        <w:t xml:space="preserve">The City is proposing an orderly phasing, that would have the effect of resolving the greatest number of site-specific appeals in the shortest time, for the remainder of 2021 and into 2022.  This approach takes into consideration an efficient use of the resources of participating parties, and the high demand for </w:t>
      </w:r>
      <w:r w:rsidR="00DE3661">
        <w:rPr>
          <w:rFonts w:ascii="Arial" w:hAnsi="Arial" w:cs="Arial"/>
        </w:rPr>
        <w:t xml:space="preserve"> Tribunal</w:t>
      </w:r>
      <w:r w:rsidRPr="005274EB">
        <w:rPr>
          <w:rFonts w:ascii="Arial" w:hAnsi="Arial" w:cs="Arial"/>
        </w:rPr>
        <w:t xml:space="preserve"> hearing dates.</w:t>
      </w:r>
    </w:p>
    <w:p w14:paraId="57BE5080" w14:textId="77777777" w:rsidR="005274EB" w:rsidRPr="005274EB" w:rsidRDefault="005274EB" w:rsidP="00293366">
      <w:pPr>
        <w:pStyle w:val="AffidavitHeadings"/>
        <w:spacing w:before="0" w:after="0" w:line="360" w:lineRule="auto"/>
        <w:jc w:val="left"/>
        <w:rPr>
          <w:rFonts w:eastAsia="Arial"/>
        </w:rPr>
      </w:pPr>
      <w:r w:rsidRPr="005274EB">
        <w:rPr>
          <w:sz w:val="24"/>
          <w:szCs w:val="24"/>
        </w:rPr>
        <w:t>PLANNING RATIONALE IN SUPPORT OF THE CITY'S PROPOSED PHASING APPROACH</w:t>
      </w:r>
    </w:p>
    <w:p w14:paraId="4CD9AE3C" w14:textId="2AC552FF" w:rsidR="005274EB" w:rsidRPr="00DE3661"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hAnsi="Arial" w:cs="Arial"/>
          <w:lang w:val="en-US"/>
        </w:rPr>
        <w:t xml:space="preserve">The </w:t>
      </w:r>
      <w:r w:rsidRPr="005274EB">
        <w:rPr>
          <w:rFonts w:ascii="Arial" w:hAnsi="Arial" w:cs="Arial"/>
        </w:rPr>
        <w:t>proposed site- and area-specific appeal approach represents good planning, as it demonstrates: an efficient use of limited resources, an orderly method towards the completion of the OPA 231 hearing, and, importantly, an approach that assists the City and all its partners to complete the provincially-required Growth Plan conformity exercise and its next M</w:t>
      </w:r>
      <w:r w:rsidR="00293366">
        <w:rPr>
          <w:rFonts w:ascii="Arial" w:hAnsi="Arial" w:cs="Arial"/>
        </w:rPr>
        <w:t xml:space="preserve">unicipal </w:t>
      </w:r>
      <w:r w:rsidRPr="005274EB">
        <w:rPr>
          <w:rFonts w:ascii="Arial" w:hAnsi="Arial" w:cs="Arial"/>
        </w:rPr>
        <w:t>C</w:t>
      </w:r>
      <w:r w:rsidR="00293366">
        <w:rPr>
          <w:rFonts w:ascii="Arial" w:hAnsi="Arial" w:cs="Arial"/>
        </w:rPr>
        <w:t xml:space="preserve">omprehensive </w:t>
      </w:r>
      <w:r w:rsidRPr="005274EB">
        <w:rPr>
          <w:rFonts w:ascii="Arial" w:hAnsi="Arial" w:cs="Arial"/>
        </w:rPr>
        <w:t>R</w:t>
      </w:r>
      <w:r w:rsidR="00293366">
        <w:rPr>
          <w:rFonts w:ascii="Arial" w:hAnsi="Arial" w:cs="Arial"/>
        </w:rPr>
        <w:t>eview (</w:t>
      </w:r>
      <w:r w:rsidR="00293366" w:rsidRPr="00BD2256">
        <w:rPr>
          <w:rFonts w:ascii="Arial" w:hAnsi="Arial" w:cs="Arial"/>
        </w:rPr>
        <w:t>“</w:t>
      </w:r>
      <w:r w:rsidR="00293366">
        <w:rPr>
          <w:rFonts w:ascii="Arial" w:hAnsi="Arial" w:cs="Arial"/>
        </w:rPr>
        <w:t>MCR</w:t>
      </w:r>
      <w:r w:rsidR="00293366" w:rsidRPr="00BD2256">
        <w:rPr>
          <w:rFonts w:ascii="Arial" w:hAnsi="Arial" w:cs="Arial"/>
        </w:rPr>
        <w:t>”)</w:t>
      </w:r>
      <w:r w:rsidR="00293366">
        <w:rPr>
          <w:rFonts w:cs="Arial"/>
        </w:rPr>
        <w:t xml:space="preserve"> </w:t>
      </w:r>
      <w:r w:rsidRPr="005274EB">
        <w:rPr>
          <w:rFonts w:ascii="Arial" w:hAnsi="Arial" w:cs="Arial"/>
        </w:rPr>
        <w:t>by July 1, 2022.</w:t>
      </w:r>
      <w:r w:rsidRPr="005274EB">
        <w:rPr>
          <w:rFonts w:ascii="Arial" w:eastAsia="Arial" w:hAnsi="Arial" w:cs="Arial"/>
        </w:rPr>
        <w:t xml:space="preserve"> </w:t>
      </w:r>
    </w:p>
    <w:p w14:paraId="0D35E536" w14:textId="7BAE847A" w:rsidR="005274EB" w:rsidRPr="00DE3661" w:rsidRDefault="005274EB" w:rsidP="004403B2">
      <w:pPr>
        <w:pStyle w:val="Body"/>
        <w:spacing w:beforeLines="150" w:before="360" w:afterLines="150" w:after="360" w:line="360" w:lineRule="auto"/>
        <w:outlineLvl w:val="0"/>
        <w:rPr>
          <w:rFonts w:ascii="Arial" w:eastAsia="Arial" w:hAnsi="Arial" w:cs="Arial"/>
          <w:b/>
          <w:iCs/>
        </w:rPr>
      </w:pPr>
      <w:r w:rsidRPr="00DE3661">
        <w:rPr>
          <w:rFonts w:ascii="Arial" w:hAnsi="Arial" w:cs="Arial"/>
          <w:b/>
          <w:iCs/>
        </w:rPr>
        <w:lastRenderedPageBreak/>
        <w:t xml:space="preserve">An </w:t>
      </w:r>
      <w:r w:rsidR="00DE3661">
        <w:rPr>
          <w:rFonts w:ascii="Arial" w:hAnsi="Arial" w:cs="Arial"/>
          <w:b/>
          <w:iCs/>
        </w:rPr>
        <w:t>E</w:t>
      </w:r>
      <w:r w:rsidRPr="00DE3661">
        <w:rPr>
          <w:rFonts w:ascii="Arial" w:hAnsi="Arial" w:cs="Arial"/>
          <w:b/>
          <w:iCs/>
        </w:rPr>
        <w:t xml:space="preserve">fficient </w:t>
      </w:r>
      <w:r w:rsidR="00DE3661">
        <w:rPr>
          <w:rFonts w:ascii="Arial" w:hAnsi="Arial" w:cs="Arial"/>
          <w:b/>
          <w:iCs/>
        </w:rPr>
        <w:t>U</w:t>
      </w:r>
      <w:r w:rsidRPr="00DE3661">
        <w:rPr>
          <w:rFonts w:ascii="Arial" w:hAnsi="Arial" w:cs="Arial"/>
          <w:b/>
          <w:iCs/>
        </w:rPr>
        <w:t xml:space="preserve">se of </w:t>
      </w:r>
      <w:r w:rsidR="00DE3661">
        <w:rPr>
          <w:rFonts w:ascii="Arial" w:hAnsi="Arial" w:cs="Arial"/>
          <w:b/>
          <w:iCs/>
        </w:rPr>
        <w:t>L</w:t>
      </w:r>
      <w:r w:rsidRPr="00DE3661">
        <w:rPr>
          <w:rFonts w:ascii="Arial" w:hAnsi="Arial" w:cs="Arial"/>
          <w:b/>
          <w:iCs/>
        </w:rPr>
        <w:t xml:space="preserve">imited </w:t>
      </w:r>
      <w:r w:rsidR="00DE3661">
        <w:rPr>
          <w:rFonts w:ascii="Arial" w:hAnsi="Arial" w:cs="Arial"/>
          <w:b/>
          <w:iCs/>
        </w:rPr>
        <w:t>R</w:t>
      </w:r>
      <w:r w:rsidRPr="00DE3661">
        <w:rPr>
          <w:rFonts w:ascii="Arial" w:hAnsi="Arial" w:cs="Arial"/>
          <w:b/>
          <w:iCs/>
        </w:rPr>
        <w:t>esources</w:t>
      </w:r>
    </w:p>
    <w:p w14:paraId="0C6F92E7" w14:textId="407F592E" w:rsidR="005274EB" w:rsidRPr="00DE3661"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hAnsi="Arial" w:cs="Arial"/>
          <w:lang w:val="en-US"/>
        </w:rPr>
        <w:t xml:space="preserve">The proposed </w:t>
      </w:r>
      <w:r w:rsidRPr="005274EB">
        <w:rPr>
          <w:rFonts w:ascii="Arial" w:hAnsi="Arial" w:cs="Arial"/>
        </w:rPr>
        <w:t xml:space="preserve">site- and area-specific appeal approach for the first three sub-phases in Category 6 above (Table 2: 6B, 6C, 6D), would cluster a total of 23 appeals into three separate hearings.  The </w:t>
      </w:r>
      <w:r w:rsidRPr="005274EB">
        <w:rPr>
          <w:rFonts w:ascii="Arial" w:hAnsi="Arial" w:cs="Arial"/>
          <w:b/>
          <w:bCs/>
        </w:rPr>
        <w:t>geographic</w:t>
      </w:r>
      <w:r w:rsidRPr="005274EB">
        <w:rPr>
          <w:rFonts w:ascii="Arial" w:hAnsi="Arial" w:cs="Arial"/>
        </w:rPr>
        <w:t xml:space="preserve"> cluster is of generally contiguous properties, sharing both a local context and a general policy framework, given the close proximity of the lands.  </w:t>
      </w:r>
    </w:p>
    <w:p w14:paraId="2F635EC4" w14:textId="708D1BA4"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Times New Roman" w:hAnsi="Arial" w:cs="Arial"/>
          <w:lang w:val="en-CA"/>
        </w:rPr>
        <w:t xml:space="preserve">The next </w:t>
      </w:r>
      <w:r w:rsidRPr="005274EB">
        <w:rPr>
          <w:rFonts w:ascii="Arial" w:hAnsi="Arial" w:cs="Arial"/>
        </w:rPr>
        <w:t xml:space="preserve">two sub-phases (6E and 6F) would cluster appeals on a </w:t>
      </w:r>
      <w:r w:rsidRPr="005274EB">
        <w:rPr>
          <w:rFonts w:ascii="Arial" w:hAnsi="Arial" w:cs="Arial"/>
          <w:b/>
          <w:bCs/>
        </w:rPr>
        <w:t>policy</w:t>
      </w:r>
      <w:r w:rsidRPr="005274EB">
        <w:rPr>
          <w:rFonts w:ascii="Arial" w:hAnsi="Arial" w:cs="Arial"/>
        </w:rPr>
        <w:t xml:space="preserve"> basis, where different appellants have taken issue with the same policy matter within OPA 231.  Appeals seeking conversions from a </w:t>
      </w:r>
      <w:r w:rsidRPr="005274EB">
        <w:rPr>
          <w:rFonts w:ascii="Arial" w:hAnsi="Arial" w:cs="Arial"/>
          <w:i/>
        </w:rPr>
        <w:t>Core Employment Area</w:t>
      </w:r>
      <w:r w:rsidRPr="005274EB">
        <w:rPr>
          <w:rFonts w:ascii="Arial" w:hAnsi="Arial" w:cs="Arial"/>
        </w:rPr>
        <w:t xml:space="preserve"> designation to a </w:t>
      </w:r>
      <w:r w:rsidRPr="005274EB">
        <w:rPr>
          <w:rFonts w:ascii="Arial" w:hAnsi="Arial" w:cs="Arial"/>
          <w:i/>
        </w:rPr>
        <w:t>General Employment Area</w:t>
      </w:r>
      <w:r w:rsidRPr="005274EB">
        <w:rPr>
          <w:rFonts w:ascii="Arial" w:hAnsi="Arial" w:cs="Arial"/>
        </w:rPr>
        <w:t xml:space="preserve"> designation would cover off similar aspects from a policy perspective. Site-specific appeals to the Large Format Retail criteria would also be scoped to those issues that are not always context-dependent.</w:t>
      </w:r>
    </w:p>
    <w:p w14:paraId="710C7D40" w14:textId="7F09A9D7"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Times New Roman" w:hAnsi="Arial" w:cs="Arial"/>
          <w:lang w:val="en-CA"/>
        </w:rPr>
        <w:t xml:space="preserve">The </w:t>
      </w:r>
      <w:r w:rsidRPr="005274EB">
        <w:rPr>
          <w:rFonts w:ascii="Arial" w:hAnsi="Arial" w:cs="Arial"/>
        </w:rPr>
        <w:t xml:space="preserve">preparation of evidence for clustered appeals (if both geographically and policy-based) is an efficient use of limited resources. Without the grouping of geographically contiguous or policy-based appeals, planning witnesses would have to repeat the same or similar contextual and policy analyses for separate and distinct hearings.  This repetition of efforts would also be experienced by the Tribunal, which would hear similar evidence in separate hearings. </w:t>
      </w:r>
    </w:p>
    <w:p w14:paraId="3118602C" w14:textId="077AB486" w:rsidR="005274EB" w:rsidRPr="00293366" w:rsidRDefault="005274EB" w:rsidP="00293366">
      <w:pPr>
        <w:pStyle w:val="AffidavitParagraphs"/>
        <w:numPr>
          <w:ilvl w:val="0"/>
          <w:numId w:val="0"/>
        </w:numPr>
        <w:tabs>
          <w:tab w:val="left" w:pos="720"/>
        </w:tabs>
        <w:spacing w:beforeLines="150" w:before="360" w:afterLines="150" w:after="360"/>
        <w:jc w:val="left"/>
        <w:rPr>
          <w:b/>
          <w:iCs/>
          <w:sz w:val="24"/>
          <w:szCs w:val="24"/>
        </w:rPr>
      </w:pPr>
      <w:r w:rsidRPr="00293366">
        <w:rPr>
          <w:b/>
          <w:iCs/>
          <w:sz w:val="24"/>
          <w:szCs w:val="24"/>
        </w:rPr>
        <w:t xml:space="preserve">An </w:t>
      </w:r>
      <w:r w:rsidR="00293366">
        <w:rPr>
          <w:b/>
          <w:iCs/>
          <w:sz w:val="24"/>
          <w:szCs w:val="24"/>
        </w:rPr>
        <w:t>O</w:t>
      </w:r>
      <w:r w:rsidRPr="00293366">
        <w:rPr>
          <w:b/>
          <w:iCs/>
          <w:sz w:val="24"/>
          <w:szCs w:val="24"/>
        </w:rPr>
        <w:t xml:space="preserve">rderly </w:t>
      </w:r>
      <w:r w:rsidR="00293366">
        <w:rPr>
          <w:b/>
          <w:iCs/>
          <w:sz w:val="24"/>
          <w:szCs w:val="24"/>
        </w:rPr>
        <w:t>M</w:t>
      </w:r>
      <w:r w:rsidRPr="00293366">
        <w:rPr>
          <w:b/>
          <w:iCs/>
          <w:sz w:val="24"/>
          <w:szCs w:val="24"/>
        </w:rPr>
        <w:t xml:space="preserve">ethod </w:t>
      </w:r>
      <w:r w:rsidR="00293366">
        <w:rPr>
          <w:b/>
          <w:iCs/>
          <w:sz w:val="24"/>
          <w:szCs w:val="24"/>
        </w:rPr>
        <w:t>T</w:t>
      </w:r>
      <w:r w:rsidRPr="00293366">
        <w:rPr>
          <w:b/>
          <w:iCs/>
          <w:sz w:val="24"/>
          <w:szCs w:val="24"/>
        </w:rPr>
        <w:t xml:space="preserve">owards the </w:t>
      </w:r>
      <w:r w:rsidR="00293366">
        <w:rPr>
          <w:b/>
          <w:iCs/>
          <w:sz w:val="24"/>
          <w:szCs w:val="24"/>
        </w:rPr>
        <w:t>C</w:t>
      </w:r>
      <w:r w:rsidRPr="00293366">
        <w:rPr>
          <w:b/>
          <w:iCs/>
          <w:sz w:val="24"/>
          <w:szCs w:val="24"/>
        </w:rPr>
        <w:t xml:space="preserve">ompletion of OPA 231 </w:t>
      </w:r>
      <w:r w:rsidR="00293366">
        <w:rPr>
          <w:b/>
          <w:iCs/>
          <w:sz w:val="24"/>
          <w:szCs w:val="24"/>
        </w:rPr>
        <w:t>A</w:t>
      </w:r>
      <w:r w:rsidRPr="00293366">
        <w:rPr>
          <w:b/>
          <w:iCs/>
          <w:sz w:val="24"/>
          <w:szCs w:val="24"/>
        </w:rPr>
        <w:t>ppeals</w:t>
      </w:r>
    </w:p>
    <w:p w14:paraId="7AD88D6E" w14:textId="3877787C" w:rsidR="005274EB" w:rsidRPr="00293366"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There </w:t>
      </w:r>
      <w:r w:rsidRPr="005274EB">
        <w:rPr>
          <w:rFonts w:ascii="Arial" w:hAnsi="Arial" w:cs="Arial"/>
        </w:rPr>
        <w:t xml:space="preserve">are 111 outstanding site- and area-specific appeals in the OPA 231 proceedings.  These appeals account for approximately 450 hectares of the total of lands designated either </w:t>
      </w:r>
      <w:r w:rsidRPr="005274EB">
        <w:rPr>
          <w:rFonts w:ascii="Arial" w:hAnsi="Arial" w:cs="Arial"/>
          <w:i/>
        </w:rPr>
        <w:t xml:space="preserve">Core Employment Areas </w:t>
      </w:r>
      <w:r w:rsidRPr="005274EB">
        <w:rPr>
          <w:rFonts w:ascii="Arial" w:hAnsi="Arial" w:cs="Arial"/>
        </w:rPr>
        <w:t xml:space="preserve">or </w:t>
      </w:r>
      <w:r w:rsidRPr="005274EB">
        <w:rPr>
          <w:rFonts w:ascii="Arial" w:hAnsi="Arial" w:cs="Arial"/>
          <w:i/>
        </w:rPr>
        <w:t xml:space="preserve">General Employment Areas. </w:t>
      </w:r>
    </w:p>
    <w:p w14:paraId="60B6B337" w14:textId="3004C740"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Times New Roman" w:hAnsi="Arial" w:cs="Arial"/>
          <w:lang w:val="en-CA"/>
        </w:rPr>
        <w:t xml:space="preserve">The proposed </w:t>
      </w:r>
      <w:r w:rsidRPr="005274EB">
        <w:rPr>
          <w:rFonts w:ascii="Arial" w:hAnsi="Arial" w:cs="Arial"/>
        </w:rPr>
        <w:t>site- and area-specific appeal approach for the next five sub-phases in Category 6 (</w:t>
      </w:r>
      <w:r w:rsidRPr="005274EB">
        <w:rPr>
          <w:rFonts w:ascii="Arial" w:hAnsi="Arial" w:cs="Arial"/>
          <w:bCs/>
        </w:rPr>
        <w:t>Table 2: 6</w:t>
      </w:r>
      <w:r w:rsidRPr="005274EB">
        <w:rPr>
          <w:rFonts w:ascii="Arial" w:hAnsi="Arial" w:cs="Arial"/>
        </w:rPr>
        <w:t xml:space="preserve">B, 6C, 6D, 6E, 6F) would resolve 40 of the outstanding appeals.  These 40 appeals account for 380 hectares of the total of lands designated as either </w:t>
      </w:r>
      <w:r w:rsidRPr="005274EB">
        <w:rPr>
          <w:rFonts w:ascii="Arial" w:hAnsi="Arial" w:cs="Arial"/>
          <w:i/>
        </w:rPr>
        <w:t>Core Employment Areas</w:t>
      </w:r>
      <w:r w:rsidRPr="005274EB">
        <w:rPr>
          <w:rFonts w:ascii="Arial" w:hAnsi="Arial" w:cs="Arial"/>
        </w:rPr>
        <w:t xml:space="preserve"> or </w:t>
      </w:r>
      <w:r w:rsidRPr="005274EB">
        <w:rPr>
          <w:rFonts w:ascii="Arial" w:hAnsi="Arial" w:cs="Arial"/>
          <w:i/>
        </w:rPr>
        <w:t>General Employment Areas</w:t>
      </w:r>
      <w:r w:rsidRPr="005274EB">
        <w:rPr>
          <w:rFonts w:ascii="Arial" w:hAnsi="Arial" w:cs="Arial"/>
        </w:rPr>
        <w:t xml:space="preserve">.  The proposed approach for the next </w:t>
      </w:r>
      <w:r w:rsidRPr="005274EB">
        <w:rPr>
          <w:rFonts w:ascii="Arial" w:hAnsi="Arial" w:cs="Arial"/>
        </w:rPr>
        <w:lastRenderedPageBreak/>
        <w:t xml:space="preserve">five sub-phases in </w:t>
      </w:r>
      <w:r w:rsidR="007941D3">
        <w:rPr>
          <w:rFonts w:ascii="Arial" w:hAnsi="Arial" w:cs="Arial"/>
        </w:rPr>
        <w:t>Category</w:t>
      </w:r>
      <w:r w:rsidR="00293366">
        <w:rPr>
          <w:rFonts w:ascii="Arial" w:hAnsi="Arial" w:cs="Arial"/>
        </w:rPr>
        <w:t xml:space="preserve"> </w:t>
      </w:r>
      <w:r w:rsidRPr="005274EB">
        <w:rPr>
          <w:rFonts w:ascii="Arial" w:hAnsi="Arial" w:cs="Arial"/>
        </w:rPr>
        <w:t>6 would resolve appeals representing over 80</w:t>
      </w:r>
      <w:r w:rsidR="00293366">
        <w:rPr>
          <w:rFonts w:ascii="Arial" w:hAnsi="Arial" w:cs="Arial"/>
        </w:rPr>
        <w:t>%</w:t>
      </w:r>
      <w:r w:rsidRPr="005274EB">
        <w:rPr>
          <w:rFonts w:ascii="Arial" w:hAnsi="Arial" w:cs="Arial"/>
        </w:rPr>
        <w:t xml:space="preserve"> of the total </w:t>
      </w:r>
      <w:r w:rsidRPr="005274EB">
        <w:rPr>
          <w:rFonts w:ascii="Arial" w:hAnsi="Arial" w:cs="Arial"/>
          <w:i/>
        </w:rPr>
        <w:t xml:space="preserve">Employment Areas </w:t>
      </w:r>
      <w:r w:rsidRPr="005274EB">
        <w:rPr>
          <w:rFonts w:ascii="Arial" w:hAnsi="Arial" w:cs="Arial"/>
        </w:rPr>
        <w:t>lands now subject to site- and area- specific appeals.</w:t>
      </w:r>
    </w:p>
    <w:p w14:paraId="723AEB90" w14:textId="5CCAD9C7"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hAnsi="Arial" w:cs="Arial"/>
          <w:lang w:val="en-US"/>
        </w:rPr>
        <w:t xml:space="preserve">The proposed </w:t>
      </w:r>
      <w:r w:rsidRPr="005274EB">
        <w:rPr>
          <w:rFonts w:ascii="Arial" w:hAnsi="Arial" w:cs="Arial"/>
        </w:rPr>
        <w:t xml:space="preserve">site- and area-specific appeal approach does not preclude appellants and the City from reaching a settlement on their appeals. To date, the City has reached settlements regarding over </w:t>
      </w:r>
      <w:r w:rsidR="00293366">
        <w:rPr>
          <w:rFonts w:ascii="Arial" w:hAnsi="Arial" w:cs="Arial"/>
        </w:rPr>
        <w:t>20</w:t>
      </w:r>
      <w:r w:rsidRPr="005274EB">
        <w:rPr>
          <w:rFonts w:ascii="Arial" w:hAnsi="Arial" w:cs="Arial"/>
        </w:rPr>
        <w:t xml:space="preserve"> site- and area-specific appeals to OPA 231.</w:t>
      </w:r>
      <w:r w:rsidRPr="005274EB">
        <w:rPr>
          <w:rFonts w:ascii="Arial" w:hAnsi="Arial" w:cs="Arial"/>
          <w:lang w:val="en-US"/>
        </w:rPr>
        <w:t xml:space="preserve"> </w:t>
      </w:r>
    </w:p>
    <w:p w14:paraId="596BDA0A" w14:textId="46ED91CC" w:rsidR="005274EB" w:rsidRPr="00293366" w:rsidRDefault="005274EB" w:rsidP="00293366">
      <w:pPr>
        <w:pStyle w:val="AffidavitParagraphs"/>
        <w:numPr>
          <w:ilvl w:val="0"/>
          <w:numId w:val="0"/>
        </w:numPr>
        <w:tabs>
          <w:tab w:val="left" w:pos="0"/>
        </w:tabs>
        <w:spacing w:beforeLines="150" w:before="360" w:afterLines="150" w:after="360"/>
        <w:jc w:val="left"/>
        <w:rPr>
          <w:b/>
          <w:iCs/>
          <w:sz w:val="24"/>
          <w:szCs w:val="24"/>
        </w:rPr>
      </w:pPr>
      <w:r w:rsidRPr="00293366">
        <w:rPr>
          <w:b/>
          <w:iCs/>
          <w:sz w:val="24"/>
          <w:szCs w:val="24"/>
        </w:rPr>
        <w:t xml:space="preserve">An </w:t>
      </w:r>
      <w:r w:rsidR="00293366">
        <w:rPr>
          <w:b/>
          <w:iCs/>
          <w:sz w:val="24"/>
          <w:szCs w:val="24"/>
        </w:rPr>
        <w:t>A</w:t>
      </w:r>
      <w:r w:rsidRPr="00293366">
        <w:rPr>
          <w:b/>
          <w:iCs/>
          <w:sz w:val="24"/>
          <w:szCs w:val="24"/>
        </w:rPr>
        <w:t xml:space="preserve">pproach that </w:t>
      </w:r>
      <w:r w:rsidR="00293366">
        <w:rPr>
          <w:b/>
          <w:iCs/>
          <w:sz w:val="24"/>
          <w:szCs w:val="24"/>
        </w:rPr>
        <w:t>A</w:t>
      </w:r>
      <w:r w:rsidRPr="00293366">
        <w:rPr>
          <w:b/>
          <w:iCs/>
          <w:sz w:val="24"/>
          <w:szCs w:val="24"/>
        </w:rPr>
        <w:t xml:space="preserve">llows the City to </w:t>
      </w:r>
      <w:r w:rsidR="00293366">
        <w:rPr>
          <w:b/>
          <w:iCs/>
          <w:sz w:val="24"/>
          <w:szCs w:val="24"/>
        </w:rPr>
        <w:t>C</w:t>
      </w:r>
      <w:r w:rsidRPr="00293366">
        <w:rPr>
          <w:b/>
          <w:iCs/>
          <w:sz w:val="24"/>
          <w:szCs w:val="24"/>
        </w:rPr>
        <w:t xml:space="preserve">onduct its </w:t>
      </w:r>
      <w:proofErr w:type="gramStart"/>
      <w:r w:rsidR="00293366">
        <w:rPr>
          <w:b/>
          <w:iCs/>
          <w:sz w:val="24"/>
          <w:szCs w:val="24"/>
        </w:rPr>
        <w:t>P</w:t>
      </w:r>
      <w:r w:rsidRPr="00293366">
        <w:rPr>
          <w:b/>
          <w:iCs/>
          <w:sz w:val="24"/>
          <w:szCs w:val="24"/>
        </w:rPr>
        <w:t>rovincially-</w:t>
      </w:r>
      <w:r w:rsidR="00A94CF0">
        <w:rPr>
          <w:b/>
          <w:iCs/>
          <w:sz w:val="24"/>
          <w:szCs w:val="24"/>
        </w:rPr>
        <w:t>R</w:t>
      </w:r>
      <w:r w:rsidRPr="00293366">
        <w:rPr>
          <w:b/>
          <w:iCs/>
          <w:sz w:val="24"/>
          <w:szCs w:val="24"/>
        </w:rPr>
        <w:t>equired</w:t>
      </w:r>
      <w:proofErr w:type="gramEnd"/>
      <w:r w:rsidRPr="00293366">
        <w:rPr>
          <w:b/>
          <w:iCs/>
          <w:sz w:val="24"/>
          <w:szCs w:val="24"/>
        </w:rPr>
        <w:t xml:space="preserve"> Growth Plan </w:t>
      </w:r>
      <w:r w:rsidR="00293366">
        <w:rPr>
          <w:b/>
          <w:iCs/>
          <w:sz w:val="24"/>
          <w:szCs w:val="24"/>
        </w:rPr>
        <w:t>C</w:t>
      </w:r>
      <w:r w:rsidRPr="00293366">
        <w:rPr>
          <w:b/>
          <w:iCs/>
          <w:sz w:val="24"/>
          <w:szCs w:val="24"/>
        </w:rPr>
        <w:t xml:space="preserve">onformity and </w:t>
      </w:r>
      <w:r w:rsidR="00293366">
        <w:rPr>
          <w:b/>
          <w:iCs/>
          <w:sz w:val="24"/>
          <w:szCs w:val="24"/>
        </w:rPr>
        <w:t>N</w:t>
      </w:r>
      <w:r w:rsidRPr="00293366">
        <w:rPr>
          <w:b/>
          <w:iCs/>
          <w:sz w:val="24"/>
          <w:szCs w:val="24"/>
        </w:rPr>
        <w:t>ext MCR by July 1, 2022</w:t>
      </w:r>
    </w:p>
    <w:p w14:paraId="19988CAC" w14:textId="14939C9E"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The City </w:t>
      </w:r>
      <w:r w:rsidRPr="005274EB">
        <w:rPr>
          <w:rFonts w:ascii="Arial" w:hAnsi="Arial" w:cs="Arial"/>
        </w:rPr>
        <w:t xml:space="preserve">and all other single and upper tier municipalities within the Greater Golden Horseshoe area have statutory obligations under the </w:t>
      </w:r>
      <w:r w:rsidRPr="005274EB">
        <w:rPr>
          <w:rFonts w:ascii="Arial" w:hAnsi="Arial" w:cs="Arial"/>
          <w:i/>
        </w:rPr>
        <w:t>Planning Act</w:t>
      </w:r>
      <w:r w:rsidRPr="005274EB">
        <w:rPr>
          <w:rFonts w:ascii="Arial" w:hAnsi="Arial" w:cs="Arial"/>
        </w:rPr>
        <w:t xml:space="preserve"> and </w:t>
      </w:r>
      <w:r w:rsidRPr="005274EB">
        <w:rPr>
          <w:rFonts w:ascii="Arial" w:hAnsi="Arial" w:cs="Arial"/>
          <w:i/>
        </w:rPr>
        <w:t>Places to Grow Act</w:t>
      </w:r>
      <w:r w:rsidRPr="005274EB">
        <w:rPr>
          <w:rFonts w:ascii="Arial" w:hAnsi="Arial" w:cs="Arial"/>
        </w:rPr>
        <w:t xml:space="preserve"> to conduct their respective Growth Plan conformity exercises and MCR</w:t>
      </w:r>
      <w:r w:rsidR="00293366">
        <w:rPr>
          <w:rFonts w:ascii="Arial" w:hAnsi="Arial" w:cs="Arial"/>
        </w:rPr>
        <w:t>s</w:t>
      </w:r>
      <w:r w:rsidRPr="005274EB">
        <w:rPr>
          <w:rFonts w:ascii="Arial" w:hAnsi="Arial" w:cs="Arial"/>
        </w:rPr>
        <w:t>.  The Ministry of Municipal Affairs and Housing has set a conformity date of July 1, 2022 for all single and upper tier municipalities to conduct the conformity exercise against the Growth Plan 2019, as amended.</w:t>
      </w:r>
    </w:p>
    <w:p w14:paraId="5E400220" w14:textId="2CDE49BB"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hAnsi="Arial" w:cs="Arial"/>
        </w:rPr>
      </w:pPr>
      <w:r w:rsidRPr="005274EB">
        <w:rPr>
          <w:rFonts w:ascii="Arial" w:hAnsi="Arial" w:cs="Arial"/>
        </w:rPr>
        <w:t xml:space="preserve">As mentioned, </w:t>
      </w:r>
      <w:r w:rsidR="00815774">
        <w:rPr>
          <w:rFonts w:ascii="Arial" w:hAnsi="Arial" w:cs="Arial"/>
        </w:rPr>
        <w:t>the</w:t>
      </w:r>
      <w:r w:rsidRPr="005274EB">
        <w:rPr>
          <w:rFonts w:ascii="Arial" w:hAnsi="Arial" w:cs="Arial"/>
        </w:rPr>
        <w:t xml:space="preserve"> Regulation transitions appeals to OPA 231 under the former Growth Plan 2006, not the most recent Plan.  Thus a set of conversion policies apply that is different than those applicable to employment conversions subject to the Growth Plan 2019, as amended.  As of August 4, 2020, the City started receiving requests to convert lands designated either </w:t>
      </w:r>
      <w:r w:rsidRPr="005274EB">
        <w:rPr>
          <w:rFonts w:ascii="Arial" w:hAnsi="Arial" w:cs="Arial"/>
          <w:i/>
        </w:rPr>
        <w:t xml:space="preserve">Core Employment Areas </w:t>
      </w:r>
      <w:r w:rsidRPr="005274EB">
        <w:rPr>
          <w:rFonts w:ascii="Arial" w:hAnsi="Arial" w:cs="Arial"/>
        </w:rPr>
        <w:t xml:space="preserve">or </w:t>
      </w:r>
      <w:r w:rsidRPr="005274EB">
        <w:rPr>
          <w:rFonts w:ascii="Arial" w:hAnsi="Arial" w:cs="Arial"/>
          <w:i/>
        </w:rPr>
        <w:t>General Employment Areas</w:t>
      </w:r>
      <w:r w:rsidRPr="005274EB">
        <w:rPr>
          <w:rFonts w:ascii="Arial" w:hAnsi="Arial" w:cs="Arial"/>
        </w:rPr>
        <w:t xml:space="preserve"> under the Growth Plan 2019. To date, the City has received 49 such requests.</w:t>
      </w:r>
    </w:p>
    <w:p w14:paraId="21A41E88" w14:textId="3BD2F5C3" w:rsidR="005274EB" w:rsidRPr="00A94CF0"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The proposed site- </w:t>
      </w:r>
      <w:r w:rsidRPr="005274EB">
        <w:rPr>
          <w:rFonts w:ascii="Arial" w:hAnsi="Arial" w:cs="Arial"/>
        </w:rPr>
        <w:t>and area-specific appeal approach would permit the resolution of 40 appeals representing 380 hectares of land and over 80</w:t>
      </w:r>
      <w:r w:rsidR="00A94CF0">
        <w:rPr>
          <w:rFonts w:ascii="Arial" w:hAnsi="Arial" w:cs="Arial"/>
        </w:rPr>
        <w:t>%</w:t>
      </w:r>
      <w:r w:rsidRPr="005274EB">
        <w:rPr>
          <w:rFonts w:ascii="Arial" w:hAnsi="Arial" w:cs="Arial"/>
        </w:rPr>
        <w:t xml:space="preserve"> of appealed lands by the end of 2022.  These deteminations would allow the City to incorporate </w:t>
      </w:r>
      <w:r w:rsidR="00A94CF0">
        <w:rPr>
          <w:rFonts w:ascii="Arial" w:hAnsi="Arial" w:cs="Arial"/>
        </w:rPr>
        <w:t>the Tribunal</w:t>
      </w:r>
      <w:r w:rsidRPr="005274EB">
        <w:rPr>
          <w:rFonts w:ascii="Arial" w:hAnsi="Arial" w:cs="Arial"/>
        </w:rPr>
        <w:t xml:space="preserve">'s decisions into the present MCR exercise and, in particular, the required Lands Needs Assessment (the lands required to accommodate forecasted growth of people and jobs).  </w:t>
      </w:r>
    </w:p>
    <w:p w14:paraId="3033F989" w14:textId="77777777"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lastRenderedPageBreak/>
        <w:t xml:space="preserve">Given </w:t>
      </w:r>
      <w:r w:rsidRPr="005274EB">
        <w:rPr>
          <w:rFonts w:ascii="Arial" w:hAnsi="Arial" w:cs="Arial"/>
        </w:rPr>
        <w:t>the legislated conformity date of July 1, 2022 and the slow pace at which site- and area-specific appeals are being settled, the City runs the risk of having the second MCR outpace the previous MCR, if hearing dates for the appeals are not set in 2021.</w:t>
      </w:r>
    </w:p>
    <w:p w14:paraId="6687F049" w14:textId="06DAA0F9"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The Tribunal has considered the submissions of the City and the concerns of appellants. To effect an efficient process considering the resources available, it agrees that the City’s proposal represents a reasonable approach to deal with the outstanding appeals.  The City and Tribunal resources could not provide for individual hearings for all of the the outstanding appeals.</w:t>
      </w:r>
    </w:p>
    <w:p w14:paraId="6AA5EA90" w14:textId="77777777"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We understand that the assignment of appeals to each grouping has been the subject of discussion. The format for the hearings involving a number of parties can be structured in a way so that the City presents its case, then each party and/or property makes its submissions following this, and separate from the other parties in the group. Perhaps sub-groupings could be considered.  There are definite advantages in the City’s suggested method of proceeding.  The Tribunal grants the City’s motion for phasing. </w:t>
      </w:r>
    </w:p>
    <w:p w14:paraId="64B2A589" w14:textId="77777777" w:rsidR="005274EB" w:rsidRPr="005274EB" w:rsidRDefault="005274EB" w:rsidP="00F46708">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In order to move forward efficiently, the City has proposed a triage process. Each appellant is to </w:t>
      </w:r>
      <w:r w:rsidRPr="005274EB">
        <w:rPr>
          <w:rFonts w:ascii="Arial" w:eastAsia="Arial" w:hAnsi="Arial" w:cs="Arial"/>
          <w:b/>
          <w:bCs/>
        </w:rPr>
        <w:t xml:space="preserve">briefly </w:t>
      </w:r>
      <w:r w:rsidRPr="005274EB">
        <w:rPr>
          <w:rFonts w:ascii="Arial" w:eastAsia="Arial" w:hAnsi="Arial" w:cs="Arial"/>
        </w:rPr>
        <w:t>restate its grounds for appeal and exchange with the parties in the specific hearing in Phase 6 the estimated length of hearing required, the number of witnesses and a restatement of their issues, with a brief explanation of the designation sought.</w:t>
      </w:r>
    </w:p>
    <w:p w14:paraId="7A76F410" w14:textId="5D895FBA" w:rsidR="005274EB" w:rsidRPr="005274EB" w:rsidRDefault="005274EB" w:rsidP="00A94CF0">
      <w:pPr>
        <w:pStyle w:val="Body"/>
        <w:spacing w:beforeLines="150" w:before="360" w:afterLines="150" w:after="360" w:line="360" w:lineRule="auto"/>
        <w:rPr>
          <w:rFonts w:ascii="Arial" w:hAnsi="Arial" w:cs="Arial"/>
          <w:b/>
          <w:bCs/>
        </w:rPr>
      </w:pPr>
      <w:r w:rsidRPr="005274EB">
        <w:rPr>
          <w:rFonts w:ascii="Arial" w:hAnsi="Arial" w:cs="Arial"/>
          <w:b/>
          <w:bCs/>
        </w:rPr>
        <w:t xml:space="preserve">Response Motions </w:t>
      </w:r>
    </w:p>
    <w:p w14:paraId="3EF9C5B3" w14:textId="77777777" w:rsidR="005274EB" w:rsidRPr="005274EB" w:rsidRDefault="005274EB" w:rsidP="00843C6A">
      <w:pPr>
        <w:pStyle w:val="Body"/>
        <w:numPr>
          <w:ilvl w:val="0"/>
          <w:numId w:val="8"/>
        </w:numPr>
        <w:spacing w:beforeLines="150" w:before="360" w:afterLines="150" w:after="360" w:line="360" w:lineRule="auto"/>
        <w:ind w:left="0" w:firstLine="0"/>
        <w:rPr>
          <w:rFonts w:ascii="Arial" w:hAnsi="Arial" w:cs="Arial"/>
        </w:rPr>
      </w:pPr>
      <w:r w:rsidRPr="005274EB">
        <w:rPr>
          <w:rFonts w:ascii="Arial" w:hAnsi="Arial" w:cs="Arial"/>
        </w:rPr>
        <w:t xml:space="preserve">Two separate motions in response to the proposed phasing were heard. Counsel requested that separate hearings be established.  The Tribunal orally refused these motions, with reasons to follow. </w:t>
      </w:r>
    </w:p>
    <w:p w14:paraId="2F532355" w14:textId="6AD37221" w:rsidR="005274EB" w:rsidRPr="005274EB" w:rsidRDefault="005274EB" w:rsidP="00ED00FC">
      <w:pPr>
        <w:pStyle w:val="ListParagraph"/>
        <w:rPr>
          <w:lang w:eastAsia="en-CA"/>
        </w:rPr>
      </w:pPr>
      <w:r w:rsidRPr="005274EB">
        <w:rPr>
          <w:lang w:eastAsia="en-CA"/>
        </w:rPr>
        <w:t>Champagne Centre (</w:t>
      </w:r>
      <w:r w:rsidR="00386BBE">
        <w:rPr>
          <w:lang w:eastAsia="en-CA"/>
        </w:rPr>
        <w:t>“</w:t>
      </w:r>
      <w:r w:rsidRPr="005274EB">
        <w:rPr>
          <w:lang w:eastAsia="en-CA"/>
        </w:rPr>
        <w:t>Champagne</w:t>
      </w:r>
      <w:r w:rsidR="00386BBE">
        <w:rPr>
          <w:lang w:eastAsia="en-CA"/>
        </w:rPr>
        <w:t>”</w:t>
      </w:r>
      <w:r w:rsidRPr="005274EB">
        <w:rPr>
          <w:lang w:eastAsia="en-CA"/>
        </w:rPr>
        <w:t xml:space="preserve">) is the owner of lands municipally known as 2 Champagne Drive and 1107 Finch Avenue West (the “Lands”) and is currently appellant No. 31 to OPA 231.  </w:t>
      </w:r>
    </w:p>
    <w:p w14:paraId="237F3392" w14:textId="77777777" w:rsidR="005274EB" w:rsidRPr="005274EB" w:rsidRDefault="005274EB" w:rsidP="00ED00FC">
      <w:pPr>
        <w:pStyle w:val="ListParagraph"/>
        <w:rPr>
          <w:lang w:eastAsia="en-CA"/>
        </w:rPr>
      </w:pPr>
      <w:r w:rsidRPr="005274EB">
        <w:rPr>
          <w:lang w:eastAsia="en-CA"/>
        </w:rPr>
        <w:lastRenderedPageBreak/>
        <w:t xml:space="preserve">Champagne currently owns a commercial complex containing a Polyclinic Family and Specialty Medicine Centre, a private medical clinic with related medical and office space.  Some services relate to sports, education, and employment support.  </w:t>
      </w:r>
    </w:p>
    <w:p w14:paraId="61EA2AA6" w14:textId="77777777"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b/>
          <w:bCs/>
        </w:rPr>
      </w:pPr>
      <w:r w:rsidRPr="005274EB">
        <w:rPr>
          <w:rFonts w:ascii="Arial" w:hAnsi="Arial" w:cs="Arial"/>
        </w:rPr>
        <w:t xml:space="preserve">OPA 231 designates the Lands </w:t>
      </w:r>
      <w:r w:rsidRPr="005274EB">
        <w:rPr>
          <w:rFonts w:ascii="Arial" w:hAnsi="Arial" w:cs="Arial"/>
          <w:i/>
          <w:iCs/>
        </w:rPr>
        <w:t>General Employment Area</w:t>
      </w:r>
      <w:r w:rsidRPr="005274EB">
        <w:rPr>
          <w:rFonts w:ascii="Arial" w:hAnsi="Arial" w:cs="Arial"/>
        </w:rPr>
        <w:t xml:space="preserve">.  Champagne appealed OPA 231 in order to allow the relocation and expansion of the Polyclinic on the Lands, and to include additional office space (both medical and other), unrelated retail space and (in future development phases), a hotel and proposed seniors retirement residence. </w:t>
      </w:r>
    </w:p>
    <w:p w14:paraId="2C00296E" w14:textId="77777777"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rPr>
      </w:pPr>
      <w:r w:rsidRPr="005274EB">
        <w:rPr>
          <w:rFonts w:ascii="Arial" w:hAnsi="Arial" w:cs="Arial"/>
        </w:rPr>
        <w:t xml:space="preserve">OPA 231 does not permit hotels or senior retirement residences on the Lands. </w:t>
      </w:r>
    </w:p>
    <w:p w14:paraId="0EF3B1E0" w14:textId="2BAF74AD"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b/>
          <w:bCs/>
        </w:rPr>
      </w:pPr>
      <w:r w:rsidRPr="005274EB">
        <w:rPr>
          <w:rFonts w:ascii="Arial" w:hAnsi="Arial" w:cs="Arial"/>
        </w:rPr>
        <w:t xml:space="preserve">The City did not include </w:t>
      </w:r>
      <w:r w:rsidR="00386BBE">
        <w:rPr>
          <w:rFonts w:ascii="Arial" w:hAnsi="Arial" w:cs="Arial"/>
        </w:rPr>
        <w:t>A</w:t>
      </w:r>
      <w:r w:rsidRPr="005274EB">
        <w:rPr>
          <w:rFonts w:ascii="Arial" w:hAnsi="Arial" w:cs="Arial"/>
        </w:rPr>
        <w:t>ppeal No. 31 in sub-phases 6A - 6F, as it does not appropriately fall within any one of those phases from a geographical or policy context. In the City’s view it is therefore better dealt with at the “To Be Determined</w:t>
      </w:r>
      <w:r w:rsidR="00E27193" w:rsidRPr="005274EB">
        <w:rPr>
          <w:rFonts w:ascii="Arial" w:hAnsi="Arial" w:cs="Arial"/>
        </w:rPr>
        <w:t>”</w:t>
      </w:r>
      <w:r w:rsidRPr="005274EB">
        <w:rPr>
          <w:rFonts w:ascii="Arial" w:hAnsi="Arial" w:cs="Arial"/>
        </w:rPr>
        <w:t>, sub-phase 6F.</w:t>
      </w:r>
    </w:p>
    <w:p w14:paraId="0F4AE78B" w14:textId="3E6FC2B1"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b/>
          <w:bCs/>
        </w:rPr>
      </w:pPr>
      <w:r w:rsidRPr="005274EB">
        <w:rPr>
          <w:rFonts w:ascii="Arial" w:hAnsi="Arial" w:cs="Arial"/>
        </w:rPr>
        <w:t xml:space="preserve">Champagne states that its appeal should be heard first in the Phase 6 sub-hearings, because the expansion of its site would include overnight accommodations for a private medical facility. This is supported by a letter from the President and CEO of the North York General Hospital. Champagne then adds, </w:t>
      </w:r>
      <w:r w:rsidR="00E27193" w:rsidRPr="005274EB">
        <w:rPr>
          <w:rFonts w:ascii="Arial" w:hAnsi="Arial" w:cs="Arial"/>
        </w:rPr>
        <w:t>“</w:t>
      </w:r>
      <w:r w:rsidRPr="005274EB">
        <w:rPr>
          <w:rFonts w:ascii="Arial" w:hAnsi="Arial" w:cs="Arial"/>
        </w:rPr>
        <w:t>that we are currently experiencing additional stress related to the COVID-19 pandemic, all of which adds to the need for additional facilities</w:t>
      </w:r>
      <w:r w:rsidR="00E27193" w:rsidRPr="005274EB">
        <w:rPr>
          <w:rFonts w:ascii="Arial" w:hAnsi="Arial" w:cs="Arial"/>
        </w:rPr>
        <w:t>”</w:t>
      </w:r>
      <w:r w:rsidRPr="005274EB">
        <w:rPr>
          <w:rFonts w:ascii="Arial" w:hAnsi="Arial" w:cs="Arial"/>
        </w:rPr>
        <w:t xml:space="preserve">. Champagne argues that the City’s proposed grouping of appeals “reflects a narrow understanding of the public interest” as it fails to deal with “important aspects of the public interest” in Champagne’s appeal. </w:t>
      </w:r>
    </w:p>
    <w:p w14:paraId="18150883" w14:textId="77777777"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rPr>
      </w:pPr>
      <w:r w:rsidRPr="005274EB">
        <w:rPr>
          <w:rFonts w:ascii="Arial" w:hAnsi="Arial" w:cs="Arial"/>
        </w:rPr>
        <w:t xml:space="preserve">The City submits that Champagne’s self-interest must be balanced against the larger public interest of bringing the largest number of appeals to a conclusion in a timely manner. As explained in the City’s Motion Record, there is an urgency on the City’s behalf to have </w:t>
      </w:r>
      <w:r w:rsidRPr="00B02433">
        <w:rPr>
          <w:rFonts w:ascii="Arial" w:hAnsi="Arial" w:cs="Arial"/>
          <w:b/>
          <w:bCs/>
        </w:rPr>
        <w:t>all</w:t>
      </w:r>
      <w:r w:rsidRPr="005274EB">
        <w:rPr>
          <w:rFonts w:ascii="Arial" w:hAnsi="Arial" w:cs="Arial"/>
        </w:rPr>
        <w:t xml:space="preserve"> of the site-specific appeals concluded in the most efficient and timely manner, to permit the resolution for a majority of lands subject to OPA 231.</w:t>
      </w:r>
    </w:p>
    <w:p w14:paraId="29BAC824" w14:textId="2BC94C9C"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rPr>
      </w:pPr>
      <w:r w:rsidRPr="005274EB">
        <w:rPr>
          <w:rFonts w:ascii="Arial" w:hAnsi="Arial" w:cs="Arial"/>
          <w:bdr w:val="none" w:sz="0" w:space="0" w:color="auto" w:frame="1"/>
        </w:rPr>
        <w:t xml:space="preserve">The City submits as well, given the legislated conformity date of July 1, 2022 and the pace at which site- and area-specific appeals are being settled, </w:t>
      </w:r>
      <w:r w:rsidR="00386BBE">
        <w:rPr>
          <w:rFonts w:ascii="Arial" w:hAnsi="Arial" w:cs="Arial"/>
          <w:bdr w:val="none" w:sz="0" w:space="0" w:color="auto" w:frame="1"/>
        </w:rPr>
        <w:t xml:space="preserve">that </w:t>
      </w:r>
      <w:r w:rsidRPr="005274EB">
        <w:rPr>
          <w:rFonts w:ascii="Arial" w:hAnsi="Arial" w:cs="Arial"/>
          <w:bdr w:val="none" w:sz="0" w:space="0" w:color="auto" w:frame="1"/>
        </w:rPr>
        <w:t xml:space="preserve">the City runs the risk of </w:t>
      </w:r>
      <w:r w:rsidRPr="005274EB">
        <w:rPr>
          <w:rFonts w:ascii="Arial" w:hAnsi="Arial" w:cs="Arial"/>
          <w:bdr w:val="none" w:sz="0" w:space="0" w:color="auto" w:frame="1"/>
        </w:rPr>
        <w:lastRenderedPageBreak/>
        <w:t>having the second MCR outpace the existing, as explained above.  The proposed sub-phasing addresses this issue both procedurally and substantively.</w:t>
      </w:r>
      <w:r w:rsidRPr="005274EB">
        <w:rPr>
          <w:rFonts w:ascii="Arial" w:hAnsi="Arial" w:cs="Arial"/>
        </w:rPr>
        <w:t xml:space="preserve"> The fact that </w:t>
      </w:r>
      <w:r w:rsidR="00386BBE">
        <w:rPr>
          <w:rFonts w:ascii="Arial" w:hAnsi="Arial" w:cs="Arial"/>
        </w:rPr>
        <w:t>A</w:t>
      </w:r>
      <w:r w:rsidRPr="005274EB">
        <w:rPr>
          <w:rFonts w:ascii="Arial" w:hAnsi="Arial" w:cs="Arial"/>
        </w:rPr>
        <w:t>ppeal No. 31 is more appropriately heard in sub-phase 6G, does not lessen its importance or status as a site-specific appeal to OPA 231.  In fact, the City is seeking a subsequent CMC date for the purpose of scheduling sub-phase 6G in a timely and efficient manner.</w:t>
      </w:r>
    </w:p>
    <w:p w14:paraId="07AF92E9" w14:textId="5F7C7901" w:rsidR="005274EB" w:rsidRPr="005274EB" w:rsidRDefault="005274EB" w:rsidP="00F46708">
      <w:pPr>
        <w:pStyle w:val="Body"/>
        <w:numPr>
          <w:ilvl w:val="0"/>
          <w:numId w:val="8"/>
        </w:numPr>
        <w:spacing w:beforeLines="150" w:before="360" w:afterLines="150" w:after="360" w:line="360" w:lineRule="auto"/>
        <w:ind w:left="0" w:right="-22" w:firstLine="0"/>
        <w:rPr>
          <w:rFonts w:ascii="Arial" w:hAnsi="Arial" w:cs="Arial"/>
          <w:b/>
          <w:bCs/>
        </w:rPr>
      </w:pPr>
      <w:r w:rsidRPr="005274EB">
        <w:rPr>
          <w:rFonts w:ascii="Arial" w:hAnsi="Arial" w:cs="Arial"/>
        </w:rPr>
        <w:t xml:space="preserve">Although the City can appreciate Champagne’s desire to be heard sooner, Mr. </w:t>
      </w:r>
      <w:r w:rsidR="00386BBE">
        <w:rPr>
          <w:rFonts w:ascii="Arial" w:hAnsi="Arial" w:cs="Arial"/>
        </w:rPr>
        <w:t xml:space="preserve">Andrew </w:t>
      </w:r>
      <w:r w:rsidRPr="005274EB">
        <w:rPr>
          <w:rFonts w:ascii="Arial" w:hAnsi="Arial" w:cs="Arial"/>
        </w:rPr>
        <w:t>Biggart stated</w:t>
      </w:r>
      <w:r w:rsidR="00386BBE">
        <w:rPr>
          <w:rFonts w:ascii="Arial" w:hAnsi="Arial" w:cs="Arial"/>
        </w:rPr>
        <w:t xml:space="preserve"> that</w:t>
      </w:r>
      <w:r w:rsidRPr="005274EB">
        <w:rPr>
          <w:rFonts w:ascii="Arial" w:hAnsi="Arial" w:cs="Arial"/>
        </w:rPr>
        <w:t xml:space="preserve"> Champagne has failed to distinguish itself from the other 111 site-specific appeals remaining to be heard in the OPA 231 proceedings.  It should be noted that in its appeal letter, Champagne stated that it is seeking permissions for a hotel and seniors residence.</w:t>
      </w:r>
    </w:p>
    <w:p w14:paraId="1FE61C6C" w14:textId="5D652387"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b/>
          <w:bCs/>
        </w:rPr>
      </w:pPr>
      <w:r w:rsidRPr="005274EB">
        <w:rPr>
          <w:rFonts w:ascii="Arial" w:hAnsi="Arial" w:cs="Arial"/>
        </w:rPr>
        <w:t xml:space="preserve">The documentation sets out each party’s views on attempts at settlement over the years. Obviously, there was no winner.  </w:t>
      </w:r>
      <w:r w:rsidR="00E27193">
        <w:rPr>
          <w:rFonts w:ascii="Arial" w:hAnsi="Arial" w:cs="Arial"/>
        </w:rPr>
        <w:t>Champagne</w:t>
      </w:r>
      <w:r w:rsidRPr="005274EB">
        <w:rPr>
          <w:rFonts w:ascii="Arial" w:hAnsi="Arial" w:cs="Arial"/>
        </w:rPr>
        <w:t xml:space="preserve">’s earliest attempt to engage in settlement discussions was in November 2018, and a draft without prejudice settlement offer was made to the City in October of 2019.  The City advised </w:t>
      </w:r>
      <w:r w:rsidR="00E27193">
        <w:rPr>
          <w:rFonts w:ascii="Arial" w:hAnsi="Arial" w:cs="Arial"/>
        </w:rPr>
        <w:t>Champagne</w:t>
      </w:r>
      <w:r w:rsidRPr="005274EB">
        <w:rPr>
          <w:rFonts w:ascii="Arial" w:hAnsi="Arial" w:cs="Arial"/>
        </w:rPr>
        <w:t xml:space="preserve"> of its position.  Nothing has moved since then. </w:t>
      </w:r>
    </w:p>
    <w:p w14:paraId="13530DB8" w14:textId="77777777" w:rsidR="005274EB" w:rsidRPr="005274EB" w:rsidRDefault="005274EB" w:rsidP="00F46708">
      <w:pPr>
        <w:pStyle w:val="Body"/>
        <w:numPr>
          <w:ilvl w:val="0"/>
          <w:numId w:val="8"/>
        </w:numPr>
        <w:spacing w:beforeLines="150" w:before="360" w:afterLines="150" w:after="360" w:line="360" w:lineRule="auto"/>
        <w:ind w:left="0" w:firstLine="0"/>
        <w:rPr>
          <w:rFonts w:ascii="Arial" w:hAnsi="Arial" w:cs="Arial"/>
        </w:rPr>
      </w:pPr>
      <w:r w:rsidRPr="005274EB">
        <w:rPr>
          <w:rFonts w:ascii="Arial" w:hAnsi="Arial" w:cs="Arial"/>
        </w:rPr>
        <w:t xml:space="preserve">The appeal appears to have been originally related to a hotel and seniors residence.  These uses are only two items of the extensive list of uses now requested. Either the requests have expanded or there has been no reduction in those requested in any of the submissions since the appeal was filed. </w:t>
      </w:r>
    </w:p>
    <w:p w14:paraId="24EC6771" w14:textId="73291209" w:rsidR="005274EB" w:rsidRPr="005274EB" w:rsidRDefault="007941D3" w:rsidP="00F46708">
      <w:pPr>
        <w:pStyle w:val="Body"/>
        <w:numPr>
          <w:ilvl w:val="0"/>
          <w:numId w:val="8"/>
        </w:numPr>
        <w:spacing w:beforeLines="150" w:before="360" w:afterLines="150" w:after="360" w:line="360" w:lineRule="auto"/>
        <w:ind w:left="0" w:firstLine="0"/>
        <w:rPr>
          <w:rFonts w:ascii="Arial" w:hAnsi="Arial" w:cs="Arial"/>
        </w:rPr>
      </w:pPr>
      <w:r>
        <w:rPr>
          <w:rFonts w:ascii="Arial" w:hAnsi="Arial" w:cs="Arial"/>
        </w:rPr>
        <w:t>The Tribunal is</w:t>
      </w:r>
      <w:r w:rsidR="005274EB" w:rsidRPr="005274EB">
        <w:rPr>
          <w:rFonts w:ascii="Arial" w:hAnsi="Arial" w:cs="Arial"/>
        </w:rPr>
        <w:t xml:space="preserve"> not convinced of a compelling need that this appeal be heard ahead of any other site-specific appeals in Category 6. </w:t>
      </w:r>
      <w:r>
        <w:rPr>
          <w:rFonts w:ascii="Arial" w:hAnsi="Arial" w:cs="Arial"/>
        </w:rPr>
        <w:t xml:space="preserve">Champagne’s </w:t>
      </w:r>
      <w:r w:rsidR="005274EB" w:rsidRPr="005274EB">
        <w:rPr>
          <w:rFonts w:ascii="Arial" w:hAnsi="Arial" w:cs="Arial"/>
        </w:rPr>
        <w:t xml:space="preserve">submissions have not appropriately distinguished this from the other site-specific appeal. The request is refused. </w:t>
      </w:r>
    </w:p>
    <w:p w14:paraId="3E950C4B" w14:textId="47FF7162" w:rsidR="005274EB" w:rsidRPr="00131984" w:rsidRDefault="005274EB" w:rsidP="00843C6A">
      <w:pPr>
        <w:rPr>
          <w:rFonts w:ascii="Arial" w:hAnsi="Arial" w:cs="Arial"/>
          <w:b/>
          <w:bCs/>
        </w:rPr>
      </w:pPr>
      <w:r w:rsidRPr="00131984">
        <w:rPr>
          <w:rFonts w:ascii="Arial" w:hAnsi="Arial" w:cs="Arial"/>
          <w:b/>
          <w:bCs/>
        </w:rPr>
        <w:t xml:space="preserve">10 QEW Inc.  </w:t>
      </w:r>
    </w:p>
    <w:p w14:paraId="77057E52" w14:textId="77777777" w:rsidR="005274EB" w:rsidRPr="005274EB" w:rsidRDefault="005274EB" w:rsidP="00ED00FC">
      <w:pPr>
        <w:pStyle w:val="ListParagraph"/>
      </w:pPr>
      <w:r w:rsidRPr="005274EB">
        <w:t xml:space="preserve">In response to the City’s motion for phasing, 10 QEW Inc. seeks to be separated from Phase 6C. It asks for an Order scheduling a five-day site-specific hearing for 10 QEW’s appeal of OPA 231. </w:t>
      </w:r>
    </w:p>
    <w:p w14:paraId="28CC1144" w14:textId="21616DDE" w:rsidR="005274EB" w:rsidRPr="005274EB" w:rsidRDefault="005274EB" w:rsidP="00ED00FC">
      <w:pPr>
        <w:pStyle w:val="ListParagraph"/>
      </w:pPr>
      <w:r w:rsidRPr="005274EB">
        <w:lastRenderedPageBreak/>
        <w:t xml:space="preserve">On May 7, 2012, 10 QEW Inc. requested that the City convert the lands municipally known as 2, 7, 10 </w:t>
      </w:r>
      <w:r w:rsidR="007941D3">
        <w:t>and</w:t>
      </w:r>
      <w:r w:rsidRPr="005274EB">
        <w:t xml:space="preserve"> 12 Queen Elizabeth Boulevard, 506, 514, 516, 520 </w:t>
      </w:r>
      <w:r w:rsidR="007941D3">
        <w:t>and</w:t>
      </w:r>
      <w:r w:rsidRPr="005274EB">
        <w:t xml:space="preserve"> 522 Royal York Road and 3, 5, 15 </w:t>
      </w:r>
      <w:r w:rsidR="007941D3">
        <w:t>and</w:t>
      </w:r>
      <w:r w:rsidRPr="005274EB">
        <w:t xml:space="preserve"> 17 Sinclair Street (the “Property”) to Mixed Use. This would permit essentially uses </w:t>
      </w:r>
      <w:proofErr w:type="gramStart"/>
      <w:r w:rsidRPr="005274EB">
        <w:t>similar to</w:t>
      </w:r>
      <w:proofErr w:type="gramEnd"/>
      <w:r w:rsidRPr="005274EB">
        <w:t xml:space="preserve"> current uses, and residential including affordable housing, given the surrounding uses.  This is </w:t>
      </w:r>
      <w:r w:rsidR="007941D3">
        <w:t>A</w:t>
      </w:r>
      <w:r w:rsidRPr="005274EB">
        <w:t>ppeal No. 1.</w:t>
      </w:r>
    </w:p>
    <w:p w14:paraId="37BF32BF" w14:textId="3806CDCE" w:rsidR="005274EB" w:rsidRPr="005274EB" w:rsidRDefault="005274EB" w:rsidP="00ED00FC">
      <w:pPr>
        <w:pStyle w:val="ListParagraph"/>
      </w:pPr>
      <w:r w:rsidRPr="005274EB">
        <w:t xml:space="preserve">The Property </w:t>
      </w:r>
      <w:proofErr w:type="gramStart"/>
      <w:r w:rsidRPr="005274EB">
        <w:t>is located in</w:t>
      </w:r>
      <w:proofErr w:type="gramEnd"/>
      <w:r w:rsidRPr="005274EB">
        <w:t xml:space="preserve"> the northeast quadrant of the Queen Elizabeth Boulevard and Royal York Road intersection. It contains a mix of mechanical shops and commercial and residential uses and borders the residential </w:t>
      </w:r>
      <w:r w:rsidRPr="007941D3">
        <w:rPr>
          <w:lang w:val="en-CA"/>
        </w:rPr>
        <w:t xml:space="preserve">neighbourhoods to the immediate north and east. The neighbourhood </w:t>
      </w:r>
      <w:r w:rsidRPr="00131984">
        <w:rPr>
          <w:lang w:val="en-CA"/>
        </w:rPr>
        <w:t xml:space="preserve">immediately </w:t>
      </w:r>
      <w:r w:rsidRPr="005274EB">
        <w:t>across the street from the Property is comprised of various residential uses, including detached and semi-detached housing.</w:t>
      </w:r>
    </w:p>
    <w:p w14:paraId="3D0AA972" w14:textId="77777777" w:rsidR="005274EB" w:rsidRPr="005274EB" w:rsidRDefault="005274EB" w:rsidP="00ED00FC">
      <w:pPr>
        <w:pStyle w:val="ListParagraph"/>
      </w:pPr>
      <w:r w:rsidRPr="005274EB">
        <w:t xml:space="preserve">The Property is located over 5 </w:t>
      </w:r>
      <w:proofErr w:type="spellStart"/>
      <w:r w:rsidRPr="005274EB">
        <w:t>kilometres</w:t>
      </w:r>
      <w:proofErr w:type="spellEnd"/>
      <w:r w:rsidRPr="005274EB">
        <w:t xml:space="preserve"> from some of the other properties that are proposed by the City to be merged in the “South West Etobicoke” appeal group.</w:t>
      </w:r>
    </w:p>
    <w:p w14:paraId="5D134F02" w14:textId="6BA43922" w:rsidR="005274EB" w:rsidRPr="005274EB" w:rsidRDefault="005274EB" w:rsidP="00ED00FC">
      <w:pPr>
        <w:pStyle w:val="ListParagraph"/>
      </w:pPr>
      <w:r w:rsidRPr="005274EB">
        <w:t>Unlike most of those other properties, the Property is entirely outside the “Zone 13” Provincially Significant Employment Zone (“PSEZ”)</w:t>
      </w:r>
      <w:r w:rsidR="00131984">
        <w:t xml:space="preserve"> </w:t>
      </w:r>
      <w:r w:rsidRPr="005274EB">
        <w:t xml:space="preserve">and is separate from the broader employment area located in the vicinity of Highway 427 and Queen Elizabeth Way. </w:t>
      </w:r>
    </w:p>
    <w:p w14:paraId="48CADC56" w14:textId="424FF697" w:rsidR="005274EB" w:rsidRPr="005274EB" w:rsidRDefault="005274EB" w:rsidP="00ED00FC">
      <w:pPr>
        <w:pStyle w:val="ListParagraph"/>
      </w:pPr>
      <w:r w:rsidRPr="005274EB">
        <w:t>These distinctions, among others, result in different factors, issues, evidence and considerations being examined in relation to 10 QEW</w:t>
      </w:r>
      <w:r w:rsidR="007941D3">
        <w:t xml:space="preserve"> Inc.</w:t>
      </w:r>
      <w:r w:rsidRPr="005274EB">
        <w:t>’s site-specific appeal that are not relevant to the other appeals and vice versa.</w:t>
      </w:r>
    </w:p>
    <w:p w14:paraId="2973BC90" w14:textId="2DC7A149" w:rsidR="005274EB" w:rsidRPr="005274EB" w:rsidRDefault="005274EB" w:rsidP="00ED00FC">
      <w:pPr>
        <w:pStyle w:val="ListParagraph"/>
      </w:pPr>
      <w:r w:rsidRPr="005274EB">
        <w:t xml:space="preserve">Ms. </w:t>
      </w:r>
      <w:r w:rsidR="007941D3">
        <w:t>Katarzyna</w:t>
      </w:r>
      <w:r w:rsidR="00783E2E">
        <w:t xml:space="preserve"> </w:t>
      </w:r>
      <w:proofErr w:type="spellStart"/>
      <w:r w:rsidRPr="005274EB">
        <w:t>Sliwa</w:t>
      </w:r>
      <w:proofErr w:type="spellEnd"/>
      <w:r w:rsidRPr="005274EB">
        <w:t xml:space="preserve"> argued that throughout this phased hearing process, site-specific appellants, including 10 QEW</w:t>
      </w:r>
      <w:r w:rsidR="007941D3">
        <w:t xml:space="preserve"> Inc.</w:t>
      </w:r>
      <w:r w:rsidRPr="005274EB">
        <w:t xml:space="preserve">, were repeatedly assured that the decision to proceed with City-wide policy appeals before hearing any site-specific appeals would not impact, and was without prejudice to the resolution of the site-specific appeals. </w:t>
      </w:r>
    </w:p>
    <w:p w14:paraId="467BC375" w14:textId="2B1D31B1" w:rsidR="005274EB" w:rsidRPr="007941D3" w:rsidRDefault="005274EB" w:rsidP="00ED00FC">
      <w:pPr>
        <w:pStyle w:val="ListParagraph"/>
      </w:pPr>
      <w:r w:rsidRPr="005274EB">
        <w:t xml:space="preserve">The City confirms that it continues to take the position that, as it has throughout the </w:t>
      </w:r>
      <w:r w:rsidRPr="007941D3">
        <w:t xml:space="preserve">entirety of the OPA 231 proceedings, the disposition of a hearing phase is without prejudice to an outstanding appeal. </w:t>
      </w:r>
    </w:p>
    <w:p w14:paraId="15062737" w14:textId="58F5434C" w:rsidR="005274EB" w:rsidRPr="005274EB" w:rsidRDefault="005274EB" w:rsidP="00ED00FC">
      <w:pPr>
        <w:pStyle w:val="ListParagraph"/>
      </w:pPr>
      <w:r w:rsidRPr="005274EB">
        <w:lastRenderedPageBreak/>
        <w:t xml:space="preserve">The City continues to take the position that </w:t>
      </w:r>
      <w:r w:rsidR="00783E2E">
        <w:t>A</w:t>
      </w:r>
      <w:r w:rsidRPr="005274EB">
        <w:t xml:space="preserve">ppeal No. 1 has been appropriately identified to be heard during the sub-phase 6C appeals.  It should be noted that such grouping by the City is an attempt to resolve appeals located within the general area of southwest Etobicoke, that share context as part of the </w:t>
      </w:r>
      <w:r w:rsidRPr="005274EB">
        <w:rPr>
          <w:i/>
          <w:iCs/>
        </w:rPr>
        <w:t>Employment Area</w:t>
      </w:r>
      <w:r w:rsidRPr="005274EB">
        <w:t xml:space="preserve"> </w:t>
      </w:r>
      <w:r w:rsidRPr="005274EB">
        <w:rPr>
          <w:i/>
          <w:iCs/>
        </w:rPr>
        <w:t>Designation</w:t>
      </w:r>
      <w:r w:rsidRPr="005274EB">
        <w:t xml:space="preserve"> which is to apply to this part of Etobicoke.  Equally, the appellants listed in this group do not need to share identical issues. </w:t>
      </w:r>
    </w:p>
    <w:p w14:paraId="3225716E" w14:textId="77777777" w:rsidR="005274EB" w:rsidRPr="005274EB" w:rsidRDefault="005274EB" w:rsidP="00ED00FC">
      <w:pPr>
        <w:pStyle w:val="ListParagraph"/>
      </w:pPr>
      <w:r w:rsidRPr="005274EB">
        <w:t xml:space="preserve">The City thus grouped a geographic cluster of </w:t>
      </w:r>
      <w:proofErr w:type="gramStart"/>
      <w:r w:rsidRPr="005274EB">
        <w:t>site</w:t>
      </w:r>
      <w:proofErr w:type="gramEnd"/>
      <w:r w:rsidRPr="005274EB">
        <w:t xml:space="preserve">- and area-specific appeals within southwest Etobicoke that are </w:t>
      </w:r>
      <w:r w:rsidRPr="00783E2E">
        <w:rPr>
          <w:b/>
          <w:bCs/>
        </w:rPr>
        <w:t>generally contiguous</w:t>
      </w:r>
      <w:r w:rsidRPr="005274EB">
        <w:t xml:space="preserve"> and share both a local context and a general policy framework.  The fact that the Lands are 5 </w:t>
      </w:r>
      <w:proofErr w:type="spellStart"/>
      <w:r w:rsidRPr="005274EB">
        <w:t>kilometres</w:t>
      </w:r>
      <w:proofErr w:type="spellEnd"/>
      <w:r w:rsidRPr="005274EB">
        <w:t xml:space="preserve"> from other sites within southwest Etobicoke and “on the edge of an Employment Area” does not preclude the appeal from being heard together with appeals in this area. </w:t>
      </w:r>
    </w:p>
    <w:p w14:paraId="47606C1D" w14:textId="251063FE" w:rsidR="005274EB" w:rsidRPr="005274EB" w:rsidRDefault="005274EB" w:rsidP="00ED00FC">
      <w:pPr>
        <w:pStyle w:val="ListParagraph"/>
      </w:pPr>
      <w:r w:rsidRPr="005274EB">
        <w:t xml:space="preserve">As to the issue that </w:t>
      </w:r>
      <w:r w:rsidR="00783E2E">
        <w:t>A</w:t>
      </w:r>
      <w:r w:rsidRPr="005274EB">
        <w:t xml:space="preserve">ppeal No. 1 does not belong in this sub-phase because the Lands are “…not located within a Provincially Significant Employment Zone (“PSEZ”)…and is not located within a Major Transit Station Area on a priority transit corridor”:  The identification (or lack of identification) of a site as a PSEZ has no bearing or relevance to the phasing proposed. With respect to Major Transit Station Areas (“MTSAs”), the City does not currently have any delineated MTSAs. </w:t>
      </w:r>
    </w:p>
    <w:p w14:paraId="4F354998" w14:textId="77777777" w:rsidR="005274EB" w:rsidRPr="005274EB" w:rsidRDefault="005274EB" w:rsidP="00ED00FC">
      <w:pPr>
        <w:pStyle w:val="ListParagraph"/>
      </w:pPr>
      <w:r w:rsidRPr="005274EB">
        <w:t xml:space="preserve">The City continues to take the position that the proposed phasing will be an efficient use of the Tribunal’s resources as it will avoid the repetition of same or similar contextual and policy analyses in separate, distinct hearings.  The proposal does not preclude input from the appellants as to the length of the hearing, evidence to be called and in what order. </w:t>
      </w:r>
    </w:p>
    <w:p w14:paraId="41C9C64A" w14:textId="249BDD1E" w:rsidR="005274EB" w:rsidRPr="005274EB" w:rsidRDefault="00783E2E" w:rsidP="00ED00FC">
      <w:pPr>
        <w:pStyle w:val="ListParagraph"/>
      </w:pPr>
      <w:r>
        <w:t xml:space="preserve">The Tribunal </w:t>
      </w:r>
      <w:r w:rsidR="005274EB" w:rsidRPr="005274EB">
        <w:t>accept</w:t>
      </w:r>
      <w:r>
        <w:t>s</w:t>
      </w:r>
      <w:r w:rsidR="005274EB" w:rsidRPr="005274EB">
        <w:t xml:space="preserve"> the City’s rationale on this request by 10 QEW Inc. All appeals in this category (as set out in the reasons on the overall phasing approval) can be structured to accommodate the differences in each of the proposals. </w:t>
      </w:r>
    </w:p>
    <w:p w14:paraId="44B40233" w14:textId="45BF15C0" w:rsidR="00783E2E" w:rsidRPr="00783E2E" w:rsidRDefault="00783E2E" w:rsidP="00ED00FC">
      <w:pPr>
        <w:pStyle w:val="ListParagraph"/>
      </w:pPr>
      <w:r>
        <w:t>The Tribunal</w:t>
      </w:r>
      <w:r w:rsidR="005274EB" w:rsidRPr="005274EB">
        <w:t xml:space="preserve"> reject</w:t>
      </w:r>
      <w:r>
        <w:t>s</w:t>
      </w:r>
      <w:r w:rsidR="005274EB" w:rsidRPr="005274EB">
        <w:t xml:space="preserve"> the request for a separate hearing for Appeal No.1. </w:t>
      </w:r>
    </w:p>
    <w:p w14:paraId="7BCF0A3E" w14:textId="77777777" w:rsidR="00E27193" w:rsidRDefault="00E27193" w:rsidP="00843C6A">
      <w:pPr>
        <w:rPr>
          <w:rFonts w:ascii="Arial" w:hAnsi="Arial" w:cs="Arial"/>
          <w:b/>
          <w:bCs/>
        </w:rPr>
      </w:pPr>
    </w:p>
    <w:p w14:paraId="3C29F0CB" w14:textId="0C10CE82" w:rsidR="005274EB" w:rsidRPr="00131984" w:rsidRDefault="005274EB" w:rsidP="00843C6A">
      <w:pPr>
        <w:rPr>
          <w:rFonts w:ascii="Arial" w:hAnsi="Arial" w:cs="Arial"/>
          <w:b/>
          <w:bCs/>
          <w:sz w:val="28"/>
          <w:szCs w:val="28"/>
        </w:rPr>
      </w:pPr>
      <w:r w:rsidRPr="00131984">
        <w:rPr>
          <w:rFonts w:ascii="Arial" w:hAnsi="Arial" w:cs="Arial"/>
          <w:b/>
          <w:bCs/>
        </w:rPr>
        <w:lastRenderedPageBreak/>
        <w:t>SETTLEMENTS</w:t>
      </w:r>
      <w:r w:rsidRPr="00131984">
        <w:rPr>
          <w:rFonts w:ascii="Arial" w:hAnsi="Arial" w:cs="Arial"/>
          <w:b/>
          <w:bCs/>
          <w:sz w:val="28"/>
          <w:szCs w:val="28"/>
        </w:rPr>
        <w:t xml:space="preserve">  </w:t>
      </w:r>
    </w:p>
    <w:p w14:paraId="34C9A4D3" w14:textId="77777777" w:rsidR="00131984" w:rsidRPr="00131984" w:rsidRDefault="00131984" w:rsidP="00843C6A">
      <w:pPr>
        <w:rPr>
          <w:rFonts w:ascii="Arial" w:hAnsi="Arial" w:cs="Arial"/>
          <w:b/>
          <w:bCs/>
        </w:rPr>
      </w:pPr>
    </w:p>
    <w:p w14:paraId="300762EE" w14:textId="5B6D25C8" w:rsidR="005274EB" w:rsidRPr="00131984" w:rsidRDefault="005274EB" w:rsidP="00843C6A">
      <w:pPr>
        <w:rPr>
          <w:rFonts w:ascii="Arial" w:hAnsi="Arial" w:cs="Arial"/>
          <w:b/>
          <w:bCs/>
        </w:rPr>
      </w:pPr>
      <w:r w:rsidRPr="00131984">
        <w:rPr>
          <w:rFonts w:ascii="Arial" w:hAnsi="Arial" w:cs="Arial"/>
          <w:b/>
          <w:bCs/>
        </w:rPr>
        <w:t>459 Eastern Avenue – Appeal 25</w:t>
      </w:r>
    </w:p>
    <w:p w14:paraId="651DC509" w14:textId="125036EC" w:rsidR="005274EB" w:rsidRPr="00783E2E" w:rsidRDefault="005274EB" w:rsidP="00ED00FC">
      <w:pPr>
        <w:pStyle w:val="ListParagraph"/>
        <w:rPr>
          <w:bdr w:val="none" w:sz="0" w:space="0" w:color="auto" w:frame="1"/>
          <w:lang w:eastAsia="en-CA"/>
        </w:rPr>
      </w:pPr>
      <w:r w:rsidRPr="005274EB">
        <w:rPr>
          <w:lang w:eastAsia="en-CA"/>
        </w:rPr>
        <w:t xml:space="preserve">The City seeks an Order of the Tribunal approving </w:t>
      </w:r>
      <w:r w:rsidRPr="005274EB">
        <w:rPr>
          <w:bdr w:val="none" w:sz="0" w:space="0" w:color="auto" w:frame="1"/>
          <w:lang w:eastAsia="en-CA"/>
        </w:rPr>
        <w:t xml:space="preserve">Site and Area Specific Policy No. </w:t>
      </w:r>
      <w:r w:rsidRPr="00783E2E">
        <w:rPr>
          <w:bdr w:val="none" w:sz="0" w:space="0" w:color="auto" w:frame="1"/>
          <w:lang w:eastAsia="en-CA"/>
        </w:rPr>
        <w:t xml:space="preserve">415 (“SASP 415”) to Official Plan Amendment No. 231 as it relates to the lands known municipally as 459 Eastern Avenue (the “Lands”), attached as a confidential attachment to Tab “D” to the Affidavit of Jeffrey Cantos affirmed on February 12, 2021, filed as Exhibit 1. </w:t>
      </w:r>
    </w:p>
    <w:p w14:paraId="421CE77A" w14:textId="7F631310" w:rsidR="005274EB" w:rsidRPr="005274EB" w:rsidRDefault="005274EB" w:rsidP="00843C6A">
      <w:pPr>
        <w:pStyle w:val="Body"/>
        <w:numPr>
          <w:ilvl w:val="0"/>
          <w:numId w:val="8"/>
        </w:numPr>
        <w:spacing w:beforeLines="150" w:before="360" w:afterLines="150" w:after="360" w:line="360" w:lineRule="auto"/>
        <w:ind w:left="0" w:firstLine="0"/>
        <w:outlineLvl w:val="0"/>
        <w:rPr>
          <w:rFonts w:ascii="Arial" w:eastAsia="Arial" w:hAnsi="Arial" w:cs="Arial"/>
          <w:b/>
          <w:bCs/>
        </w:rPr>
      </w:pPr>
      <w:r w:rsidRPr="005274EB">
        <w:rPr>
          <w:rFonts w:ascii="Arial" w:hAnsi="Arial" w:cs="Arial"/>
          <w:lang w:val="en-US"/>
        </w:rPr>
        <w:t xml:space="preserve">The </w:t>
      </w:r>
      <w:r w:rsidRPr="005274EB">
        <w:rPr>
          <w:rFonts w:ascii="Arial" w:eastAsia="Arial" w:hAnsi="Arial" w:cs="Arial"/>
          <w:bCs/>
        </w:rPr>
        <w:t xml:space="preserve">Minister </w:t>
      </w:r>
      <w:r w:rsidR="00783E2E">
        <w:rPr>
          <w:rFonts w:ascii="Arial" w:eastAsia="Arial" w:hAnsi="Arial" w:cs="Arial"/>
          <w:bCs/>
        </w:rPr>
        <w:t xml:space="preserve">of Municipal Affairs and Housing </w:t>
      </w:r>
      <w:r w:rsidRPr="005274EB">
        <w:rPr>
          <w:rFonts w:ascii="Arial" w:eastAsia="Arial" w:hAnsi="Arial" w:cs="Arial"/>
          <w:bCs/>
        </w:rPr>
        <w:t>approved the underlying OPA 231 designations, but witheld the decision for site-specific policies and employment land conversion designation changes applying to certain lands located within the flood plain of the Lower Don Special Policy Area  (the “LDSPA”), of which the 459 Eastern Avenue Lands are a part.  As such, the policies and mapping of OPA 231 were not brought into effect on the Lands.</w:t>
      </w:r>
      <w:r w:rsidRPr="005274EB">
        <w:rPr>
          <w:rFonts w:ascii="Arial" w:hAnsi="Arial" w:cs="Arial"/>
          <w:lang w:val="en-US"/>
        </w:rPr>
        <w:t xml:space="preserve">   </w:t>
      </w:r>
    </w:p>
    <w:p w14:paraId="21BACFDB" w14:textId="75FB0DD3" w:rsidR="005274EB" w:rsidRPr="00843C6A" w:rsidRDefault="005274EB" w:rsidP="00843C6A">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XYZ </w:t>
      </w:r>
      <w:r w:rsidRPr="005274EB">
        <w:rPr>
          <w:rFonts w:ascii="Arial" w:hAnsi="Arial" w:cs="Arial"/>
        </w:rPr>
        <w:t xml:space="preserve">Storage (“XYZ”) owns the Lands, and has carriage of Appeal No. 25 to OPA 231 respecting SASP 415.  XYZ seeks an explicit reference to </w:t>
      </w:r>
      <w:r w:rsidR="00843C6A" w:rsidRPr="005274EB">
        <w:rPr>
          <w:rFonts w:ascii="Arial" w:hAnsi="Arial" w:cs="Arial"/>
        </w:rPr>
        <w:t xml:space="preserve">“ </w:t>
      </w:r>
      <w:r w:rsidRPr="005274EB">
        <w:rPr>
          <w:rFonts w:ascii="Arial" w:hAnsi="Arial" w:cs="Arial"/>
        </w:rPr>
        <w:t>self storage warehouse</w:t>
      </w:r>
      <w:r w:rsidR="00843C6A" w:rsidRPr="005274EB">
        <w:rPr>
          <w:rFonts w:ascii="Arial" w:hAnsi="Arial" w:cs="Arial"/>
        </w:rPr>
        <w:t>”</w:t>
      </w:r>
      <w:r w:rsidRPr="005274EB">
        <w:rPr>
          <w:rFonts w:ascii="Arial" w:hAnsi="Arial" w:cs="Arial"/>
        </w:rPr>
        <w:t xml:space="preserve"> in SASP 415 as a permitted use, and approval of OPA 231 as it pertains to the Lands.</w:t>
      </w:r>
    </w:p>
    <w:p w14:paraId="16C4C3BA" w14:textId="77777777" w:rsidR="005274EB" w:rsidRPr="005274EB" w:rsidRDefault="005274EB" w:rsidP="00843C6A">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OPA 231 </w:t>
      </w:r>
      <w:r w:rsidRPr="005274EB">
        <w:rPr>
          <w:rFonts w:ascii="Arial" w:hAnsi="Arial" w:cs="Arial"/>
        </w:rPr>
        <w:t xml:space="preserve">proposes to designate the Lands as </w:t>
      </w:r>
      <w:r w:rsidRPr="005274EB">
        <w:rPr>
          <w:rFonts w:ascii="Arial" w:hAnsi="Arial" w:cs="Arial"/>
          <w:i/>
        </w:rPr>
        <w:t>Core Employment Areas</w:t>
      </w:r>
      <w:r w:rsidRPr="005274EB">
        <w:rPr>
          <w:rFonts w:ascii="Arial" w:hAnsi="Arial" w:cs="Arial"/>
        </w:rPr>
        <w:t>,</w:t>
      </w:r>
      <w:r w:rsidRPr="005274EB">
        <w:rPr>
          <w:rFonts w:ascii="Arial" w:hAnsi="Arial" w:cs="Arial"/>
          <w:i/>
        </w:rPr>
        <w:t xml:space="preserve"> </w:t>
      </w:r>
      <w:r w:rsidRPr="005274EB">
        <w:rPr>
          <w:rFonts w:ascii="Arial" w:hAnsi="Arial" w:cs="Arial"/>
        </w:rPr>
        <w:t>which permits all types of manufacturing, processing, warehousing, wholesaling, distribution, storage, transportation facilities, vehicle repair and services, offices, research and development facilities, utilities, waste management systems, industrial trade schools, media, information and technology facilities, and vertical agriculture.</w:t>
      </w:r>
    </w:p>
    <w:p w14:paraId="20C737E3" w14:textId="77777777" w:rsidR="005274EB" w:rsidRPr="005274EB" w:rsidRDefault="005274EB" w:rsidP="00ED00FC">
      <w:pPr>
        <w:pStyle w:val="ListParagraph"/>
      </w:pPr>
      <w:r w:rsidRPr="005274EB">
        <w:t xml:space="preserve">Additionally, the </w:t>
      </w:r>
      <w:r w:rsidRPr="005274EB">
        <w:rPr>
          <w:i/>
        </w:rPr>
        <w:t xml:space="preserve">Core Employment Area </w:t>
      </w:r>
      <w:r w:rsidRPr="005274EB">
        <w:t xml:space="preserve">designation permits the following uses provided they are ancillary to and intended to serve the </w:t>
      </w:r>
      <w:r w:rsidRPr="005274EB">
        <w:rPr>
          <w:i/>
        </w:rPr>
        <w:t xml:space="preserve">Core Employment Area </w:t>
      </w:r>
      <w:r w:rsidRPr="005274EB">
        <w:t xml:space="preserve">in which they are located: parks, small-scale restaurants, catering facilities, and small-scale service uses such as courier services, banks and copy shops.  Finally, small scale, ancillary retail uses are also permitted in </w:t>
      </w:r>
      <w:r w:rsidRPr="005274EB">
        <w:rPr>
          <w:i/>
        </w:rPr>
        <w:t>Core Employment Area.</w:t>
      </w:r>
    </w:p>
    <w:p w14:paraId="449D6A9C" w14:textId="77777777" w:rsidR="005274EB" w:rsidRPr="005274EB" w:rsidRDefault="005274EB" w:rsidP="00ED00FC">
      <w:pPr>
        <w:pStyle w:val="ListParagraph"/>
        <w:rPr>
          <w:i/>
          <w:iCs/>
        </w:rPr>
      </w:pPr>
      <w:r w:rsidRPr="005274EB">
        <w:lastRenderedPageBreak/>
        <w:t>SASP 415 to OPA 231 permits “only those employment uses such as offices, parks, small scale restaurants, retail and service uses that are compatible to the nearby low scale residential dwellings fronting onto Logan Avenue”.</w:t>
      </w:r>
    </w:p>
    <w:p w14:paraId="03E26939" w14:textId="39495B7D" w:rsidR="005274EB" w:rsidRPr="005274EB" w:rsidRDefault="005274EB" w:rsidP="00ED00FC">
      <w:pPr>
        <w:pStyle w:val="ListParagraph"/>
      </w:pPr>
      <w:r w:rsidRPr="005274EB">
        <w:t>In June 2017, at the request of the Province, the City, staff from the Ministry of Municipal Affairs (now Ministry of Municipal Affairs and Housing (“MMAH”) and Ministry of Natural Resources and Forestry (</w:t>
      </w:r>
      <w:r w:rsidR="00131984">
        <w:t>“</w:t>
      </w:r>
      <w:r w:rsidRPr="005274EB">
        <w:t>Ministers</w:t>
      </w:r>
      <w:r w:rsidR="00131984">
        <w:t>”</w:t>
      </w:r>
      <w:r w:rsidRPr="005274EB">
        <w:t>) created a working group to develop a protocol between the orders of government related to the lands affected by the Lower Don SPA policies (LDSPA).</w:t>
      </w:r>
    </w:p>
    <w:p w14:paraId="25C7228C" w14:textId="77777777" w:rsidR="005274EB" w:rsidRPr="005274EB" w:rsidRDefault="005274EB" w:rsidP="0063578E">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On April </w:t>
      </w:r>
      <w:r w:rsidRPr="005274EB">
        <w:rPr>
          <w:rFonts w:ascii="Arial" w:hAnsi="Arial" w:cs="Arial"/>
        </w:rPr>
        <w:t xml:space="preserve">27, 2018, </w:t>
      </w:r>
      <w:r w:rsidRPr="005274EB">
        <w:rPr>
          <w:rFonts w:ascii="Arial" w:eastAsia="Arial" w:hAnsi="Arial" w:cs="Arial"/>
        </w:rPr>
        <w:t>the parties signed a Protocol Regarding the Lower Don Special Policy Area (</w:t>
      </w:r>
      <w:r w:rsidRPr="005274EB">
        <w:rPr>
          <w:rFonts w:ascii="Arial" w:eastAsia="Arial" w:hAnsi="Arial" w:cs="Arial"/>
          <w:bCs/>
        </w:rPr>
        <w:t>the</w:t>
      </w:r>
      <w:r w:rsidRPr="005274EB">
        <w:rPr>
          <w:rFonts w:ascii="Arial" w:eastAsia="Arial" w:hAnsi="Arial" w:cs="Arial"/>
        </w:rPr>
        <w:t xml:space="preserve"> "Protocol”), which sets out a number of principles and the Lower Don Approvals Framework.  Attachment 3 to the Protocol includes the following rationale and description of SASP 415:</w:t>
      </w:r>
    </w:p>
    <w:p w14:paraId="6385233C" w14:textId="6509FFC8" w:rsidR="005274EB" w:rsidRPr="0063578E" w:rsidRDefault="005274EB" w:rsidP="0063578E">
      <w:pPr>
        <w:ind w:left="1418" w:right="1418"/>
        <w:rPr>
          <w:rFonts w:ascii="Arial" w:eastAsia="Arial" w:hAnsi="Arial" w:cs="Arial"/>
          <w:sz w:val="20"/>
          <w:szCs w:val="20"/>
          <w:bdr w:val="none" w:sz="0" w:space="0" w:color="auto" w:frame="1"/>
          <w:lang w:eastAsia="en-CA"/>
        </w:rPr>
      </w:pPr>
      <w:r w:rsidRPr="0063578E">
        <w:rPr>
          <w:rFonts w:ascii="Arial" w:eastAsia="Arial" w:hAnsi="Arial" w:cs="Arial"/>
          <w:sz w:val="20"/>
          <w:szCs w:val="20"/>
          <w:bdr w:val="none" w:sz="0" w:space="0" w:color="auto" w:frame="1"/>
          <w:lang w:eastAsia="en-CA"/>
        </w:rPr>
        <w:t>459 Eastern Avenue (SASP 415)</w:t>
      </w:r>
      <w:r w:rsidRPr="0063578E">
        <w:rPr>
          <w:rFonts w:ascii="Arial" w:eastAsia="Arial" w:hAnsi="Arial" w:cs="Arial"/>
          <w:b/>
          <w:sz w:val="20"/>
          <w:szCs w:val="20"/>
          <w:bdr w:val="none" w:sz="0" w:space="0" w:color="auto" w:frame="1"/>
          <w:lang w:eastAsia="en-CA"/>
        </w:rPr>
        <w:t xml:space="preserve"> </w:t>
      </w:r>
      <w:r w:rsidRPr="0063578E">
        <w:rPr>
          <w:rFonts w:ascii="Arial" w:eastAsia="Arial" w:hAnsi="Arial" w:cs="Arial"/>
          <w:sz w:val="20"/>
          <w:szCs w:val="20"/>
          <w:bdr w:val="none" w:sz="0" w:space="0" w:color="auto" w:frame="1"/>
          <w:lang w:eastAsia="en-CA"/>
        </w:rPr>
        <w:t>– limits type of employment uses to those compatible with nearby low rise residential dwellings fronting onto Logan Avenue, more specifically restricts permitted employment uses in the in-force OP and OPA 231 to only offices, parks, small scale restaurants, retail and service uses.</w:t>
      </w:r>
    </w:p>
    <w:p w14:paraId="3B581525" w14:textId="77777777" w:rsidR="005274EB" w:rsidRPr="005274EB" w:rsidRDefault="005274EB" w:rsidP="00ED00FC">
      <w:pPr>
        <w:pStyle w:val="ListParagraph"/>
      </w:pPr>
      <w:r w:rsidRPr="005274EB">
        <w:t xml:space="preserve">The City and XYZ </w:t>
      </w:r>
      <w:proofErr w:type="gramStart"/>
      <w:r w:rsidRPr="005274EB">
        <w:t>entered into</w:t>
      </w:r>
      <w:proofErr w:type="gramEnd"/>
      <w:r w:rsidRPr="005274EB">
        <w:t xml:space="preserve"> settlement discussions resulting in a proposed settlement of Appeal No. 25 as it pertains to SASP 415 and the Lands.  The settlement proposes to modify OPA 231 respecting the Lands by adding the following language to SASP 415 as it relates to the Lands:</w:t>
      </w:r>
    </w:p>
    <w:p w14:paraId="1605ACE1" w14:textId="438562C4" w:rsidR="0063578E" w:rsidRDefault="00B91D9A" w:rsidP="0063578E">
      <w:pPr>
        <w:snapToGrid w:val="0"/>
        <w:spacing w:beforeLines="150" w:before="360" w:afterLines="150" w:after="360" w:line="360" w:lineRule="auto"/>
        <w:ind w:left="1440" w:hanging="720"/>
        <w:rPr>
          <w:rFonts w:ascii="Arial" w:eastAsia="Arial" w:hAnsi="Arial" w:cs="Arial"/>
          <w:color w:val="000000"/>
          <w:bdr w:val="none" w:sz="0" w:space="0" w:color="auto" w:frame="1"/>
          <w:lang w:eastAsia="en-CA"/>
        </w:rPr>
      </w:pPr>
      <w:r>
        <w:rPr>
          <w:rFonts w:ascii="Arial" w:eastAsia="Arial" w:hAnsi="Arial" w:cs="Arial"/>
        </w:rPr>
        <w:t>a</w:t>
      </w:r>
      <w:r w:rsidR="0063578E">
        <w:rPr>
          <w:rFonts w:ascii="Arial" w:eastAsia="Arial" w:hAnsi="Arial" w:cs="Arial"/>
        </w:rPr>
        <w:t>)</w:t>
      </w:r>
      <w:r w:rsidR="0063578E">
        <w:rPr>
          <w:rFonts w:ascii="Arial" w:eastAsia="Arial" w:hAnsi="Arial" w:cs="Arial"/>
        </w:rPr>
        <w:tab/>
      </w:r>
      <w:r w:rsidR="005274EB" w:rsidRPr="005274EB">
        <w:rPr>
          <w:rFonts w:ascii="Arial" w:eastAsia="Arial" w:hAnsi="Arial" w:cs="Arial"/>
        </w:rPr>
        <w:t>A</w:t>
      </w:r>
      <w:r w:rsidR="005274EB" w:rsidRPr="005274EB">
        <w:rPr>
          <w:rFonts w:ascii="Arial" w:eastAsia="Arial" w:hAnsi="Arial" w:cs="Arial"/>
          <w:color w:val="000000"/>
          <w:bdr w:val="none" w:sz="0" w:space="0" w:color="auto" w:frame="1"/>
          <w:lang w:eastAsia="en-CA"/>
        </w:rPr>
        <w:t xml:space="preserve">n explicit reference to the </w:t>
      </w:r>
      <w:r w:rsidR="0063578E">
        <w:rPr>
          <w:rFonts w:ascii="Arial" w:eastAsia="Arial" w:hAnsi="Arial" w:cs="Arial"/>
          <w:color w:val="000000"/>
          <w:bdr w:val="none" w:sz="0" w:space="0" w:color="auto" w:frame="1"/>
          <w:lang w:eastAsia="en-CA"/>
        </w:rPr>
        <w:t>“</w:t>
      </w:r>
      <w:r w:rsidR="005274EB" w:rsidRPr="005274EB">
        <w:rPr>
          <w:rFonts w:ascii="Arial" w:eastAsia="Arial" w:hAnsi="Arial" w:cs="Arial"/>
          <w:color w:val="000000"/>
          <w:bdr w:val="none" w:sz="0" w:space="0" w:color="auto" w:frame="1"/>
          <w:lang w:eastAsia="en-CA"/>
        </w:rPr>
        <w:t>self-storage warehouse</w:t>
      </w:r>
      <w:r w:rsidR="0063578E">
        <w:rPr>
          <w:rFonts w:ascii="Arial" w:eastAsia="Arial" w:hAnsi="Arial" w:cs="Arial"/>
          <w:color w:val="000000"/>
          <w:bdr w:val="none" w:sz="0" w:space="0" w:color="auto" w:frame="1"/>
          <w:lang w:eastAsia="en-CA"/>
        </w:rPr>
        <w:t>”</w:t>
      </w:r>
      <w:r w:rsidR="005274EB" w:rsidRPr="005274EB">
        <w:rPr>
          <w:rFonts w:ascii="Arial" w:eastAsia="Arial" w:hAnsi="Arial" w:cs="Arial"/>
          <w:color w:val="000000"/>
          <w:bdr w:val="none" w:sz="0" w:space="0" w:color="auto" w:frame="1"/>
          <w:lang w:eastAsia="en-CA"/>
        </w:rPr>
        <w:t xml:space="preserve"> use to the list of employment uses compatible with nearby low-rise residential dwellings fronting onto Logan Avenue and permitted on the Lands; and</w:t>
      </w:r>
    </w:p>
    <w:p w14:paraId="7798BC60" w14:textId="3C735FF4" w:rsidR="005274EB" w:rsidRPr="005274EB" w:rsidRDefault="00B91D9A" w:rsidP="0063578E">
      <w:pPr>
        <w:snapToGrid w:val="0"/>
        <w:spacing w:beforeLines="150" w:before="360" w:afterLines="150" w:after="360" w:line="360" w:lineRule="auto"/>
        <w:ind w:left="1440" w:hanging="720"/>
        <w:rPr>
          <w:rFonts w:ascii="Arial" w:eastAsia="Arial" w:hAnsi="Arial" w:cs="Arial"/>
          <w:color w:val="000000"/>
          <w:bdr w:val="none" w:sz="0" w:space="0" w:color="auto" w:frame="1"/>
          <w:lang w:eastAsia="en-CA"/>
        </w:rPr>
      </w:pPr>
      <w:r>
        <w:rPr>
          <w:rFonts w:ascii="Arial" w:eastAsia="Arial" w:hAnsi="Arial" w:cs="Arial"/>
          <w:color w:val="000000"/>
          <w:bdr w:val="none" w:sz="0" w:space="0" w:color="auto" w:frame="1"/>
          <w:lang w:eastAsia="en-CA"/>
        </w:rPr>
        <w:t>b</w:t>
      </w:r>
      <w:r w:rsidR="0063578E">
        <w:rPr>
          <w:rFonts w:ascii="Arial" w:eastAsia="Arial" w:hAnsi="Arial" w:cs="Arial"/>
          <w:color w:val="000000"/>
          <w:bdr w:val="none" w:sz="0" w:space="0" w:color="auto" w:frame="1"/>
          <w:lang w:eastAsia="en-CA"/>
        </w:rPr>
        <w:t>)</w:t>
      </w:r>
      <w:r w:rsidR="0063578E">
        <w:rPr>
          <w:rFonts w:ascii="Arial" w:eastAsia="Arial" w:hAnsi="Arial" w:cs="Arial"/>
          <w:color w:val="000000"/>
          <w:bdr w:val="none" w:sz="0" w:space="0" w:color="auto" w:frame="1"/>
          <w:lang w:eastAsia="en-CA"/>
        </w:rPr>
        <w:tab/>
      </w:r>
      <w:r w:rsidR="005274EB" w:rsidRPr="005274EB">
        <w:rPr>
          <w:rFonts w:ascii="Arial" w:eastAsia="Arial" w:hAnsi="Arial" w:cs="Arial"/>
          <w:color w:val="000000"/>
          <w:bdr w:val="none" w:sz="0" w:space="0" w:color="auto" w:frame="1"/>
          <w:lang w:eastAsia="en-CA"/>
        </w:rPr>
        <w:t>Policy language regarding flood protection with respect to the Lands.</w:t>
      </w:r>
    </w:p>
    <w:p w14:paraId="715E302B" w14:textId="75C5B80A" w:rsidR="005274EB" w:rsidRPr="005274EB" w:rsidRDefault="005274EB" w:rsidP="0063578E">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The 2020 Provincial Polcy Statement (</w:t>
      </w:r>
      <w:r w:rsidR="00976E5F">
        <w:rPr>
          <w:rFonts w:ascii="Arial" w:eastAsia="Arial" w:hAnsi="Arial" w:cs="Arial"/>
          <w:bdr w:val="none" w:sz="0" w:space="0" w:color="auto" w:frame="1"/>
        </w:rPr>
        <w:t>“</w:t>
      </w:r>
      <w:r w:rsidRPr="005274EB">
        <w:rPr>
          <w:rFonts w:ascii="Arial" w:eastAsia="Arial" w:hAnsi="Arial" w:cs="Arial"/>
        </w:rPr>
        <w:t>PPS</w:t>
      </w:r>
      <w:r w:rsidR="00131984">
        <w:rPr>
          <w:rFonts w:ascii="Arial" w:eastAsia="Arial" w:hAnsi="Arial" w:cs="Arial"/>
          <w:bdr w:val="none" w:sz="0" w:space="0" w:color="auto" w:frame="1"/>
        </w:rPr>
        <w:t>”</w:t>
      </w:r>
      <w:r w:rsidRPr="005274EB">
        <w:rPr>
          <w:rFonts w:ascii="Arial" w:eastAsia="Arial" w:hAnsi="Arial" w:cs="Arial"/>
        </w:rPr>
        <w:t xml:space="preserve">) requires that changes to official plan policies, land use designations or boundaries for Special Policy Area lands must receive </w:t>
      </w:r>
      <w:r w:rsidRPr="005274EB">
        <w:rPr>
          <w:rFonts w:ascii="Arial" w:eastAsia="Arial" w:hAnsi="Arial" w:cs="Arial"/>
        </w:rPr>
        <w:lastRenderedPageBreak/>
        <w:t xml:space="preserve">approval by the Ministers prior to </w:t>
      </w:r>
      <w:r w:rsidRPr="005274EB">
        <w:rPr>
          <w:rFonts w:ascii="Arial" w:eastAsia="Arial" w:hAnsi="Arial" w:cs="Arial"/>
          <w:i/>
          <w:iCs/>
        </w:rPr>
        <w:t>Planning Act</w:t>
      </w:r>
      <w:r w:rsidRPr="005274EB">
        <w:rPr>
          <w:rFonts w:ascii="Arial" w:eastAsia="Arial" w:hAnsi="Arial" w:cs="Arial"/>
        </w:rPr>
        <w:t xml:space="preserve"> approval for such changes.  Therefore, the City submitted a modified SASP 415 to the Province for approval by the Ministers. This was approved as modified in September 2020. The Ministers also stated that the Tribunal, as the </w:t>
      </w:r>
      <w:r w:rsidRPr="005274EB">
        <w:rPr>
          <w:rFonts w:ascii="Arial" w:eastAsia="Arial" w:hAnsi="Arial" w:cs="Arial"/>
          <w:i/>
          <w:iCs/>
        </w:rPr>
        <w:t>Planning Act</w:t>
      </w:r>
      <w:r w:rsidRPr="005274EB">
        <w:rPr>
          <w:rFonts w:ascii="Arial" w:eastAsia="Arial" w:hAnsi="Arial" w:cs="Arial"/>
        </w:rPr>
        <w:t xml:space="preserve"> authority, would now be able to consider and make a decision on these proposed OPA 231 amendments.</w:t>
      </w:r>
    </w:p>
    <w:p w14:paraId="2C303DD3" w14:textId="2A96DBC5" w:rsidR="005274EB" w:rsidRPr="005274EB" w:rsidRDefault="005274EB" w:rsidP="00ED00FC">
      <w:pPr>
        <w:pStyle w:val="ListParagraph"/>
      </w:pPr>
      <w:r w:rsidRPr="005274EB">
        <w:t xml:space="preserve">The planning opinion of Jeffrey Cantos, land use planner for the City, set out in Tab 2 of Exhibit 1 is that the approval of the proposed modifications to SASP 415 of OPA 231, </w:t>
      </w:r>
      <w:r w:rsidR="00361830">
        <w:t>(</w:t>
      </w:r>
      <w:r w:rsidRPr="005274EB">
        <w:t>a</w:t>
      </w:r>
      <w:r w:rsidRPr="005274EB">
        <w:t>lready approved by the Ministers) represents good planning. This adds the self</w:t>
      </w:r>
      <w:r w:rsidR="00131984">
        <w:t>-</w:t>
      </w:r>
      <w:r w:rsidRPr="005274EB">
        <w:t xml:space="preserve">storage warehouse use to those uses that are explicitly permitted and introduces policy language regarding flood protection. </w:t>
      </w:r>
    </w:p>
    <w:p w14:paraId="51C0858B" w14:textId="4B3FD675" w:rsidR="005274EB" w:rsidRPr="005274EB" w:rsidRDefault="005274EB" w:rsidP="00ED00FC">
      <w:pPr>
        <w:pStyle w:val="ListParagraph"/>
      </w:pPr>
      <w:r w:rsidRPr="005274EB">
        <w:t>He affirmed that the modification conforms to the Growth Plan 2006, is consistent with the 2020 PPS and conforms with the intent and purpose of the Official Plan</w:t>
      </w:r>
      <w:r w:rsidR="00150616">
        <w:t xml:space="preserve"> (“OP”)</w:t>
      </w:r>
      <w:r w:rsidRPr="005274EB">
        <w:t xml:space="preserve">.  </w:t>
      </w:r>
    </w:p>
    <w:p w14:paraId="1C9DEA7E" w14:textId="77777777" w:rsidR="0063578E" w:rsidRDefault="005274EB" w:rsidP="00ED00FC">
      <w:pPr>
        <w:pStyle w:val="ListParagraph"/>
        <w:rPr>
          <w:b/>
          <w:bCs/>
          <w:sz w:val="28"/>
          <w:szCs w:val="28"/>
        </w:rPr>
      </w:pPr>
      <w:r w:rsidRPr="005274EB">
        <w:t xml:space="preserve">The Tribunal has read the affidavit and supporting documentation and agrees with his opinion and approves the modification as requested by the City. </w:t>
      </w:r>
    </w:p>
    <w:p w14:paraId="03B71597" w14:textId="7C4C77D4" w:rsidR="005274EB" w:rsidRPr="00B52830" w:rsidRDefault="005274EB" w:rsidP="00B52830">
      <w:pPr>
        <w:rPr>
          <w:rFonts w:ascii="Arial" w:hAnsi="Arial" w:cs="Arial"/>
          <w:b/>
          <w:bCs/>
          <w:sz w:val="28"/>
          <w:szCs w:val="28"/>
        </w:rPr>
      </w:pPr>
      <w:r w:rsidRPr="00B52830">
        <w:rPr>
          <w:rFonts w:ascii="Arial" w:hAnsi="Arial" w:cs="Arial"/>
          <w:b/>
          <w:bCs/>
        </w:rPr>
        <w:t xml:space="preserve">Retail Phase </w:t>
      </w:r>
    </w:p>
    <w:p w14:paraId="21C3F76E" w14:textId="4C06F053" w:rsidR="005274EB" w:rsidRPr="005274EB" w:rsidRDefault="005274EB" w:rsidP="00131984">
      <w:pPr>
        <w:pStyle w:val="Body"/>
        <w:numPr>
          <w:ilvl w:val="0"/>
          <w:numId w:val="8"/>
        </w:numPr>
        <w:spacing w:beforeLines="150" w:before="360" w:afterLines="150" w:after="360" w:line="360" w:lineRule="auto"/>
        <w:ind w:left="0" w:firstLine="0"/>
        <w:rPr>
          <w:rFonts w:ascii="Arial" w:eastAsia="Arial" w:hAnsi="Arial" w:cs="Arial"/>
          <w:lang w:val="en-CA"/>
        </w:rPr>
      </w:pPr>
      <w:r w:rsidRPr="005274EB">
        <w:rPr>
          <w:rFonts w:ascii="Arial" w:hAnsi="Arial" w:cs="Arial"/>
          <w:lang w:val="en-CA"/>
        </w:rPr>
        <w:t>The City seeks an Order of the Tribunal granting partial approval of OPA 231 as it relates to the retail policies attached as Tab “F” to the Affidavit of Steven Dixon, contained in Exhibit 2.</w:t>
      </w:r>
    </w:p>
    <w:p w14:paraId="54A0F9F2" w14:textId="77777777" w:rsidR="00131984" w:rsidRPr="00131984" w:rsidRDefault="005274EB" w:rsidP="00131984">
      <w:pPr>
        <w:pStyle w:val="Body"/>
        <w:numPr>
          <w:ilvl w:val="0"/>
          <w:numId w:val="8"/>
        </w:numPr>
        <w:spacing w:beforeLines="150" w:before="360" w:afterLines="150" w:after="360" w:line="360" w:lineRule="auto"/>
        <w:ind w:left="0" w:firstLine="0"/>
        <w:rPr>
          <w:rFonts w:ascii="Arial" w:eastAsia="Arial" w:hAnsi="Arial" w:cs="Arial"/>
          <w:b/>
          <w:bCs/>
          <w:lang w:val="en-CA"/>
        </w:rPr>
      </w:pPr>
      <w:r w:rsidRPr="005274EB">
        <w:rPr>
          <w:rFonts w:ascii="Arial" w:hAnsi="Arial" w:cs="Arial"/>
          <w:lang w:val="en-CA"/>
        </w:rPr>
        <w:t>To date, the hearings of Phase 1A (existing non-sensitive uses), Phase 1B (sensitive uses), and Phase 3 (Conversion and Forecasting) have been completed.  Phase 2 (Office Replacement) is at the mediation stage.  A detailed chronology of the OPA 231 proceedings is set out at paragraphs 16 to 28, Tab “C” to the Affidavit of Steven Dixon, part of Exhibit 2.</w:t>
      </w:r>
    </w:p>
    <w:p w14:paraId="287D7816" w14:textId="77777777" w:rsidR="00131984" w:rsidRPr="00131984" w:rsidRDefault="005274EB" w:rsidP="00131984">
      <w:pPr>
        <w:pStyle w:val="Body"/>
        <w:numPr>
          <w:ilvl w:val="0"/>
          <w:numId w:val="8"/>
        </w:numPr>
        <w:spacing w:beforeLines="150" w:before="360" w:afterLines="150" w:after="360" w:line="360" w:lineRule="auto"/>
        <w:ind w:left="0" w:firstLine="0"/>
        <w:rPr>
          <w:rFonts w:ascii="Arial" w:eastAsia="Arial" w:hAnsi="Arial" w:cs="Arial"/>
          <w:b/>
          <w:bCs/>
          <w:lang w:val="en-CA"/>
        </w:rPr>
      </w:pPr>
      <w:r w:rsidRPr="00131984">
        <w:rPr>
          <w:rFonts w:ascii="Arial" w:eastAsia="Arial" w:hAnsi="Arial" w:cs="Arial"/>
          <w:lang w:val="en-CA"/>
        </w:rPr>
        <w:t xml:space="preserve">At a PHC held on March 4, 2019, the Tribunal scheduled the Phase 4 – Retail policies hearing for nine days commencing on May 19, 2020.  Following the conclusion of </w:t>
      </w:r>
      <w:r w:rsidRPr="00131984">
        <w:rPr>
          <w:rFonts w:ascii="Arial" w:eastAsia="Arial" w:hAnsi="Arial" w:cs="Arial"/>
          <w:lang w:val="en-CA"/>
        </w:rPr>
        <w:lastRenderedPageBreak/>
        <w:t>Phase 4 – Retail policies, the only outstanding City-wide matter to be adjudicated is Phase 2 – Office Replacement.</w:t>
      </w:r>
    </w:p>
    <w:p w14:paraId="6507C86D" w14:textId="77777777"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31984">
        <w:rPr>
          <w:rFonts w:ascii="Arial" w:eastAsia="Arial" w:hAnsi="Arial" w:cs="Arial"/>
          <w:lang w:val="en-CA"/>
        </w:rPr>
        <w:t xml:space="preserve">Official Plan Amendment No. 94 (“OPA 94”) was adopted by Council in 2010 and subsequently appealed to the former Ontario Municipal Board (the “OMB” or the “Board”).  OPA 94 proposed to add policy- and non-policy text to the </w:t>
      </w:r>
      <w:r w:rsidRPr="00131984">
        <w:rPr>
          <w:rFonts w:ascii="Arial" w:eastAsia="Arial" w:hAnsi="Arial" w:cs="Arial"/>
          <w:i/>
          <w:iCs/>
          <w:lang w:val="en-CA"/>
        </w:rPr>
        <w:t>Mixed-Use Areas</w:t>
      </w:r>
      <w:r w:rsidRPr="00131984">
        <w:rPr>
          <w:rFonts w:ascii="Arial" w:eastAsia="Arial" w:hAnsi="Arial" w:cs="Arial"/>
          <w:lang w:val="en-CA"/>
        </w:rPr>
        <w:t xml:space="preserve"> land use designation within the Official Plan with respect to retail commercial uses.</w:t>
      </w:r>
    </w:p>
    <w:p w14:paraId="78A7A821" w14:textId="0E4A28B1"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eastAsia="Arial" w:hAnsi="Arial" w:cs="Arial"/>
          <w:lang w:val="en-CA"/>
        </w:rPr>
        <w:t>The appellants to OPA 94, all of whom are appellants to OPA 231, agreed to adjourn the matter before the Board (Case No. PL101120), and to have those policies considered as part of the MCR. This commenced in 2011, and ultimately resulted in OPA 231.  OPA 231 includes a revised version of the OPA 94 policies and non-policy text and proposes to repeal OPA 94.</w:t>
      </w:r>
    </w:p>
    <w:p w14:paraId="47A4F48B" w14:textId="77777777"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eastAsia="Arial" w:hAnsi="Arial" w:cs="Arial"/>
          <w:lang w:val="en-CA"/>
        </w:rPr>
        <w:t>By order of February 7, 2019, the Tribunal ordered the hearing of the OPA 94 appeals together with the OPA 231 appeals, during the Phase 4 – Retail phase hearing.</w:t>
      </w:r>
    </w:p>
    <w:p w14:paraId="77DE5FED" w14:textId="77777777"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hAnsi="Arial" w:cs="Arial"/>
          <w:lang w:val="en-CA"/>
        </w:rPr>
        <w:t>At the request of the parties to the Retail phase, Tribunal-led mediation was held on October 24, 25 and December 13, 2019.  No settlement was reached between the parties by the conclusion of the mediation.  T</w:t>
      </w:r>
      <w:r w:rsidRPr="00150616">
        <w:rPr>
          <w:rFonts w:ascii="Arial" w:eastAsia="Arial" w:hAnsi="Arial" w:cs="Arial"/>
          <w:lang w:val="en-CA"/>
        </w:rPr>
        <w:t xml:space="preserve">he parties continued to engage in settlement discussions. </w:t>
      </w:r>
    </w:p>
    <w:p w14:paraId="2565DFBD" w14:textId="3A81628E" w:rsidR="00150616" w:rsidRP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eastAsia="Arial" w:hAnsi="Arial" w:cs="Arial"/>
          <w:lang w:val="en-CA"/>
        </w:rPr>
        <w:t xml:space="preserve">Prior to a final agreement being reached, and in consideration of the timelines for filing materials before the May 2020 hearing dates, City staff prepared a confidential report to Council recommending proposed modifications to the retail policies in OPA 231. These would address a number of issues in these </w:t>
      </w:r>
      <w:proofErr w:type="gramStart"/>
      <w:r w:rsidRPr="00150616">
        <w:rPr>
          <w:rFonts w:ascii="Arial" w:eastAsia="Arial" w:hAnsi="Arial" w:cs="Arial"/>
          <w:lang w:val="en-CA"/>
        </w:rPr>
        <w:t>appeals, and</w:t>
      </w:r>
      <w:proofErr w:type="gramEnd"/>
      <w:r w:rsidRPr="00150616">
        <w:rPr>
          <w:rFonts w:ascii="Arial" w:eastAsia="Arial" w:hAnsi="Arial" w:cs="Arial"/>
          <w:lang w:val="en-CA"/>
        </w:rPr>
        <w:t xml:space="preserve"> maintain consistency with the Growth Plan 2006 (as per </w:t>
      </w:r>
      <w:r w:rsidR="00150616">
        <w:rPr>
          <w:rFonts w:ascii="Arial" w:eastAsia="Arial" w:hAnsi="Arial" w:cs="Arial"/>
          <w:lang w:val="en-CA"/>
        </w:rPr>
        <w:t>the Regulation</w:t>
      </w:r>
      <w:r w:rsidRPr="00150616">
        <w:rPr>
          <w:rFonts w:ascii="Arial" w:eastAsia="Arial" w:hAnsi="Arial" w:cs="Arial"/>
          <w:lang w:val="en-CA"/>
        </w:rPr>
        <w:t xml:space="preserve"> and the intent of the original policies)</w:t>
      </w:r>
      <w:r w:rsidR="00150616">
        <w:rPr>
          <w:rFonts w:ascii="Arial" w:eastAsia="Arial" w:hAnsi="Arial" w:cs="Arial"/>
          <w:lang w:val="en-CA"/>
        </w:rPr>
        <w:t>.</w:t>
      </w:r>
    </w:p>
    <w:p w14:paraId="050FDA54" w14:textId="6CBA03A3"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eastAsia="Arial" w:hAnsi="Arial" w:cs="Arial"/>
          <w:lang w:val="en-CA"/>
        </w:rPr>
        <w:t xml:space="preserve">The policy revisions subsequently adopted by Council are contained as a confidential attachment in Tab “D” to the Affidavit of Steven Dixon, Exhibit 2. These include the removal of duplicative language pertaining to public realm and built form principles already in those sections of the OP, a revision to Policy 4.6.5 to explicitly recognize that new major retail </w:t>
      </w:r>
      <w:r w:rsidRPr="00150616">
        <w:rPr>
          <w:rFonts w:ascii="Arial" w:eastAsia="Arial" w:hAnsi="Arial" w:cs="Arial"/>
          <w:lang w:val="en-CA"/>
        </w:rPr>
        <w:lastRenderedPageBreak/>
        <w:t xml:space="preserve">may only be permitted in </w:t>
      </w:r>
      <w:r w:rsidRPr="00150616">
        <w:rPr>
          <w:rFonts w:ascii="Arial" w:eastAsia="Arial" w:hAnsi="Arial" w:cs="Arial"/>
          <w:i/>
          <w:iCs/>
          <w:lang w:val="en-CA"/>
        </w:rPr>
        <w:t>General Employment Areas</w:t>
      </w:r>
      <w:r w:rsidRPr="00150616">
        <w:rPr>
          <w:rFonts w:ascii="Arial" w:eastAsia="Arial" w:hAnsi="Arial" w:cs="Arial"/>
          <w:lang w:val="en-CA"/>
        </w:rPr>
        <w:t xml:space="preserve"> by way of an MCR (as per the Growth Plan 2006), and clearer language that better articulates the intent of a number of policies.  Negotiations were to continue with the appellants. </w:t>
      </w:r>
    </w:p>
    <w:p w14:paraId="14CD21A0" w14:textId="77777777"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eastAsia="Arial" w:hAnsi="Arial" w:cs="Arial"/>
          <w:lang w:val="en-CA"/>
        </w:rPr>
        <w:t xml:space="preserve">Further settlement negotiations resulted in additional modifications that would result in a settlement of the policy language for this phase. The proposed modifications are set out in Exhibit “F” to the Affidavit of Steven Dixon, affirmed February 12, 2021. These seek to clarify and better articulate the intent of the non-policy text of Section 3.5.3, Policy 3.5.3.4(d), Policy 3.5.3.6 and Policy 4.6.5, by either adding or replacing certain language.  </w:t>
      </w:r>
    </w:p>
    <w:p w14:paraId="6BDEADD3" w14:textId="77777777" w:rsidR="00150616" w:rsidRDefault="005274EB" w:rsidP="00150616">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hAnsi="Arial" w:cs="Arial"/>
          <w:lang w:val="en-CA"/>
        </w:rPr>
        <w:t xml:space="preserve">The approval of this settlement would resolve the appeals of all parties in the Phase 4 – Retail of OPA 231, and partially resolve the City-wide appeals to OPA 231. </w:t>
      </w:r>
    </w:p>
    <w:p w14:paraId="252E290A" w14:textId="6D07100F" w:rsidR="002A1132" w:rsidRPr="002A1132" w:rsidRDefault="005274EB" w:rsidP="002A1132">
      <w:pPr>
        <w:pStyle w:val="Body"/>
        <w:numPr>
          <w:ilvl w:val="0"/>
          <w:numId w:val="8"/>
        </w:numPr>
        <w:spacing w:beforeLines="150" w:before="360" w:afterLines="150" w:after="360" w:line="360" w:lineRule="auto"/>
        <w:ind w:left="0" w:firstLine="0"/>
        <w:rPr>
          <w:rFonts w:ascii="Arial" w:eastAsia="Arial" w:hAnsi="Arial" w:cs="Arial"/>
          <w:b/>
          <w:bCs/>
          <w:lang w:val="en-CA"/>
        </w:rPr>
      </w:pPr>
      <w:r w:rsidRPr="00150616">
        <w:rPr>
          <w:rFonts w:ascii="Arial" w:hAnsi="Arial" w:cs="Arial"/>
        </w:rPr>
        <w:t xml:space="preserve">Steven Dixon is part of the City’s team responsible for reviewing and recommending amendments to the City’s OP, as part of the legislated five-year review and provincial plan conformity exercises. His planning opinion </w:t>
      </w:r>
      <w:r w:rsidR="00150616">
        <w:rPr>
          <w:rFonts w:ascii="Arial" w:hAnsi="Arial" w:cs="Arial"/>
        </w:rPr>
        <w:t xml:space="preserve">is </w:t>
      </w:r>
      <w:r w:rsidRPr="00150616">
        <w:rPr>
          <w:rFonts w:ascii="Arial" w:hAnsi="Arial" w:cs="Arial"/>
        </w:rPr>
        <w:t>set out as an affidavit in Tab 2 of Exhibit 2</w:t>
      </w:r>
      <w:r w:rsidR="00150616">
        <w:rPr>
          <w:rFonts w:ascii="Arial" w:hAnsi="Arial" w:cs="Arial"/>
        </w:rPr>
        <w:t>.</w:t>
      </w:r>
      <w:r w:rsidRPr="00150616">
        <w:rPr>
          <w:rFonts w:ascii="Arial" w:hAnsi="Arial" w:cs="Arial"/>
        </w:rPr>
        <w:t xml:space="preserve">  In his opinion the Retail Phase policies set out in Exhibit F to his affidavit are consistent with matters of Provincial Interest as identified in Section 2 of the </w:t>
      </w:r>
      <w:r w:rsidR="00150616" w:rsidRPr="00ED00FC">
        <w:rPr>
          <w:rFonts w:ascii="Arial" w:hAnsi="Arial" w:cs="Arial"/>
          <w:i/>
          <w:iCs/>
        </w:rPr>
        <w:t xml:space="preserve">Planning </w:t>
      </w:r>
      <w:r w:rsidRPr="00ED00FC">
        <w:rPr>
          <w:rFonts w:ascii="Arial" w:hAnsi="Arial" w:cs="Arial"/>
          <w:i/>
          <w:iCs/>
        </w:rPr>
        <w:t>Act</w:t>
      </w:r>
      <w:r w:rsidRPr="00150616">
        <w:rPr>
          <w:rFonts w:ascii="Arial" w:hAnsi="Arial" w:cs="Arial"/>
        </w:rPr>
        <w:t>. In particular, policies 2 (h), 2(k), 2(l), 2(p), 2(q), 2 (r), are consistent with the PPS 2020, and together with policies 1.1.1, 1.3.1, and 1.71, conform to the Growth Plan 2006, in particular policies 2.2.2.1 (d), 2.2.2.1 (f), 2.2.2.1 (h), and 2.2.6.2,  2.2.6.5. They represent good planning.</w:t>
      </w:r>
    </w:p>
    <w:p w14:paraId="05A7D915" w14:textId="48AC2095" w:rsidR="002A1132" w:rsidRPr="002A1132" w:rsidRDefault="005274EB" w:rsidP="002A1132">
      <w:pPr>
        <w:pStyle w:val="Body"/>
        <w:numPr>
          <w:ilvl w:val="0"/>
          <w:numId w:val="8"/>
        </w:numPr>
        <w:spacing w:beforeLines="150" w:before="360" w:afterLines="150" w:after="360" w:line="360" w:lineRule="auto"/>
        <w:ind w:left="0" w:firstLine="0"/>
        <w:rPr>
          <w:rFonts w:ascii="Arial" w:eastAsia="Arial" w:hAnsi="Arial" w:cs="Arial"/>
          <w:b/>
          <w:bCs/>
          <w:lang w:val="en-CA"/>
        </w:rPr>
      </w:pPr>
      <w:r w:rsidRPr="002A1132">
        <w:rPr>
          <w:rFonts w:ascii="Arial" w:hAnsi="Arial" w:cs="Arial"/>
        </w:rPr>
        <w:t>Based on the reading of his affidavit and supporting documents, the Tribunal agrees with his opinion and approves of the proposed Retail Phase policies</w:t>
      </w:r>
      <w:r w:rsidR="007D2AFF">
        <w:rPr>
          <w:rFonts w:ascii="Arial" w:hAnsi="Arial" w:cs="Arial"/>
        </w:rPr>
        <w:t xml:space="preserve"> </w:t>
      </w:r>
      <w:r w:rsidR="005E4ADB">
        <w:rPr>
          <w:rFonts w:ascii="Arial" w:hAnsi="Arial" w:cs="Arial"/>
        </w:rPr>
        <w:t xml:space="preserve">as </w:t>
      </w:r>
      <w:r w:rsidR="007D2AFF">
        <w:rPr>
          <w:rFonts w:ascii="Arial" w:hAnsi="Arial" w:cs="Arial"/>
        </w:rPr>
        <w:t xml:space="preserve">appended </w:t>
      </w:r>
      <w:r w:rsidR="005E4ADB">
        <w:rPr>
          <w:rFonts w:ascii="Arial" w:hAnsi="Arial" w:cs="Arial"/>
        </w:rPr>
        <w:t>to this Decision as Attachment 3</w:t>
      </w:r>
      <w:r w:rsidRPr="002A1132">
        <w:rPr>
          <w:rFonts w:ascii="Arial" w:hAnsi="Arial" w:cs="Arial"/>
        </w:rPr>
        <w:t xml:space="preserve">.  </w:t>
      </w:r>
    </w:p>
    <w:p w14:paraId="28DB882C" w14:textId="3DD07FF2" w:rsidR="005274EB" w:rsidRPr="002A1132" w:rsidRDefault="002A1132" w:rsidP="002A1132">
      <w:pPr>
        <w:rPr>
          <w:rFonts w:ascii="Arial" w:eastAsia="Arial" w:hAnsi="Arial" w:cs="Arial"/>
          <w:b/>
          <w:bCs/>
          <w:lang w:val="en-CA"/>
        </w:rPr>
      </w:pPr>
      <w:r w:rsidRPr="002A1132">
        <w:rPr>
          <w:rFonts w:ascii="Arial" w:hAnsi="Arial" w:cs="Arial"/>
          <w:b/>
          <w:bCs/>
        </w:rPr>
        <w:t>H</w:t>
      </w:r>
      <w:r w:rsidR="005274EB" w:rsidRPr="002A1132">
        <w:rPr>
          <w:rFonts w:ascii="Arial" w:hAnsi="Arial" w:cs="Arial"/>
          <w:b/>
          <w:bCs/>
        </w:rPr>
        <w:t>anna Avenue - Appeal 87</w:t>
      </w:r>
    </w:p>
    <w:p w14:paraId="5BFEAFA8" w14:textId="77777777" w:rsidR="002A1132" w:rsidRDefault="005274EB" w:rsidP="00ED00FC">
      <w:pPr>
        <w:pStyle w:val="ListParagraph"/>
        <w:rPr>
          <w:lang w:eastAsia="en-CA"/>
        </w:rPr>
      </w:pPr>
      <w:r w:rsidRPr="005274EB">
        <w:rPr>
          <w:lang w:eastAsia="en-CA"/>
        </w:rPr>
        <w:t xml:space="preserve">The City seeks an Order of the Tribunal approving a modification to OPA 231 by </w:t>
      </w:r>
      <w:proofErr w:type="spellStart"/>
      <w:r w:rsidRPr="005274EB">
        <w:rPr>
          <w:lang w:eastAsia="en-CA"/>
        </w:rPr>
        <w:t>redesignating</w:t>
      </w:r>
      <w:proofErr w:type="spellEnd"/>
      <w:r w:rsidRPr="005274EB">
        <w:rPr>
          <w:lang w:eastAsia="en-CA"/>
        </w:rPr>
        <w:t xml:space="preserve"> a portion of the lands municipally known as 85 Hanna Avenue (the “Lands”) from </w:t>
      </w:r>
      <w:r w:rsidRPr="005274EB">
        <w:rPr>
          <w:i/>
          <w:iCs/>
          <w:lang w:eastAsia="en-CA"/>
        </w:rPr>
        <w:t>General Employment Areas</w:t>
      </w:r>
      <w:r w:rsidRPr="005274EB">
        <w:rPr>
          <w:lang w:eastAsia="en-CA"/>
        </w:rPr>
        <w:t xml:space="preserve"> to </w:t>
      </w:r>
      <w:r w:rsidRPr="005274EB">
        <w:rPr>
          <w:i/>
          <w:iCs/>
          <w:lang w:eastAsia="en-CA"/>
        </w:rPr>
        <w:t>Mixed Use Areas</w:t>
      </w:r>
      <w:r w:rsidRPr="005274EB">
        <w:rPr>
          <w:lang w:eastAsia="en-CA"/>
        </w:rPr>
        <w:t xml:space="preserve">, as shown in Exhibit “F” of the Affidavit of Steven Dixon (referred to above). </w:t>
      </w:r>
    </w:p>
    <w:p w14:paraId="02DD5BD3" w14:textId="7785A599" w:rsidR="002A1132" w:rsidRPr="002A1132" w:rsidRDefault="005274EB" w:rsidP="00ED00FC">
      <w:pPr>
        <w:pStyle w:val="ListParagraph"/>
        <w:rPr>
          <w:rFonts w:cs="Times New Roman"/>
          <w:lang w:eastAsia="en-CA"/>
        </w:rPr>
      </w:pPr>
      <w:r w:rsidRPr="002A1132">
        <w:lastRenderedPageBreak/>
        <w:t>The owners of 85 Hanna</w:t>
      </w:r>
      <w:r w:rsidR="002A1132">
        <w:t xml:space="preserve"> Avenue</w:t>
      </w:r>
      <w:r w:rsidRPr="002A1132">
        <w:t>, First Capital Holdings Trust (Ontario) Limited (</w:t>
      </w:r>
      <w:r w:rsidR="002A1132">
        <w:t>“</w:t>
      </w:r>
      <w:r w:rsidRPr="002A1132">
        <w:t>First Capital</w:t>
      </w:r>
      <w:r w:rsidR="002A1132">
        <w:t>”</w:t>
      </w:r>
      <w:r w:rsidRPr="002A1132">
        <w:t xml:space="preserve">) appealed OPA 231 to seek a </w:t>
      </w:r>
      <w:r w:rsidRPr="002A1132">
        <w:rPr>
          <w:i/>
          <w:iCs/>
        </w:rPr>
        <w:t>Mixed-Use Areas</w:t>
      </w:r>
      <w:r w:rsidRPr="002A1132">
        <w:t xml:space="preserve"> designation on part of its Lands.  The appeal of First Capital is identified as Appeal No. 87 to OPA 231.</w:t>
      </w:r>
    </w:p>
    <w:p w14:paraId="37307546" w14:textId="77777777" w:rsidR="002A1132" w:rsidRPr="002A1132" w:rsidRDefault="005274EB" w:rsidP="00ED00FC">
      <w:pPr>
        <w:pStyle w:val="ListParagraph"/>
        <w:rPr>
          <w:rFonts w:cs="Times New Roman"/>
          <w:lang w:eastAsia="en-CA"/>
        </w:rPr>
      </w:pPr>
      <w:r w:rsidRPr="002A1132">
        <w:t xml:space="preserve">The present OP designates the Lands as </w:t>
      </w:r>
      <w:r w:rsidRPr="002A1132">
        <w:rPr>
          <w:i/>
          <w:iCs/>
        </w:rPr>
        <w:t>General Employment Areas</w:t>
      </w:r>
      <w:r w:rsidRPr="002A1132">
        <w:t xml:space="preserve">, which permits all types of manufacturing, processing, warehousing, wholesaling, distribution, storage, transportation facilities, vehicle repair and services, offices, research and development facilities, utilities, waste management systems, industrial trade schools, media, information and technology facilities, and vertical agriculture. It also permits parks ancillary to the Employment Area, fitness </w:t>
      </w:r>
      <w:proofErr w:type="spellStart"/>
      <w:r w:rsidRPr="002A1132">
        <w:t>centres</w:t>
      </w:r>
      <w:proofErr w:type="spellEnd"/>
      <w:r w:rsidRPr="002A1132">
        <w:t>, ice arenas legally established prior to March 26, 2018, restaurants and all types of retail and service uses.</w:t>
      </w:r>
    </w:p>
    <w:p w14:paraId="630FE0AD" w14:textId="77777777" w:rsidR="002A1132" w:rsidRPr="002A1132" w:rsidRDefault="005274EB" w:rsidP="00ED00FC">
      <w:pPr>
        <w:pStyle w:val="ListParagraph"/>
        <w:rPr>
          <w:rFonts w:eastAsia="Times New Roman" w:cs="Times New Roman"/>
          <w:lang w:eastAsia="en-CA"/>
        </w:rPr>
      </w:pPr>
      <w:r w:rsidRPr="002A1132">
        <w:t xml:space="preserve">These Lands are bounded by a </w:t>
      </w:r>
      <w:r w:rsidRPr="002A1132">
        <w:rPr>
          <w:i/>
          <w:iCs/>
        </w:rPr>
        <w:t>Mixed Used Area</w:t>
      </w:r>
      <w:r w:rsidRPr="002A1132">
        <w:t xml:space="preserve"> to the east and south, a </w:t>
      </w:r>
      <w:r w:rsidRPr="002A1132">
        <w:rPr>
          <w:i/>
          <w:iCs/>
        </w:rPr>
        <w:t>Core Employment Area</w:t>
      </w:r>
      <w:r w:rsidRPr="002A1132">
        <w:t xml:space="preserve"> to the southwest, a </w:t>
      </w:r>
      <w:r w:rsidRPr="002A1132">
        <w:rPr>
          <w:i/>
          <w:iCs/>
        </w:rPr>
        <w:t>General Employment Area</w:t>
      </w:r>
      <w:r w:rsidRPr="002A1132">
        <w:t xml:space="preserve"> to the west and a </w:t>
      </w:r>
      <w:r w:rsidRPr="002A1132">
        <w:rPr>
          <w:i/>
          <w:iCs/>
        </w:rPr>
        <w:t xml:space="preserve">Utility Corridor </w:t>
      </w:r>
      <w:r w:rsidRPr="002A1132">
        <w:t xml:space="preserve">to the north, containing the Kitchener GO Transit and Union-Pearson Express railway lines. The </w:t>
      </w:r>
      <w:r w:rsidRPr="002A1132">
        <w:rPr>
          <w:i/>
          <w:iCs/>
        </w:rPr>
        <w:t>General Employment Area</w:t>
      </w:r>
      <w:r w:rsidRPr="002A1132">
        <w:t xml:space="preserve"> to the west and </w:t>
      </w:r>
      <w:r w:rsidRPr="002A1132">
        <w:rPr>
          <w:i/>
          <w:iCs/>
        </w:rPr>
        <w:t>Core Employment Area</w:t>
      </w:r>
      <w:r w:rsidRPr="002A1132">
        <w:t xml:space="preserve"> to the southwest contain a mix of office, restaurant, retail and service commercial uses. </w:t>
      </w:r>
    </w:p>
    <w:p w14:paraId="20A48323" w14:textId="77777777" w:rsidR="002A1132" w:rsidRDefault="005274EB" w:rsidP="00ED00FC">
      <w:pPr>
        <w:pStyle w:val="ListParagraph"/>
        <w:rPr>
          <w:rFonts w:eastAsia="Times New Roman" w:cs="Times New Roman"/>
          <w:lang w:eastAsia="en-CA"/>
        </w:rPr>
      </w:pPr>
      <w:r w:rsidRPr="002A1132">
        <w:t xml:space="preserve">The </w:t>
      </w:r>
      <w:proofErr w:type="gramStart"/>
      <w:r w:rsidRPr="002A1132">
        <w:rPr>
          <w:i/>
        </w:rPr>
        <w:t>Mixed Use</w:t>
      </w:r>
      <w:proofErr w:type="gramEnd"/>
      <w:r w:rsidRPr="002A1132">
        <w:rPr>
          <w:i/>
        </w:rPr>
        <w:t xml:space="preserve"> Area</w:t>
      </w:r>
      <w:r w:rsidRPr="002A1132">
        <w:t xml:space="preserve"> to the east and south of the Lands, including 75 Hanna Avenue next door, contain a mix of residential, restaurant, retail and service commercial uses. The subject Lands are approximately 0.46 hectares in size and irregular in shape.  The majority currently contains a four-</w:t>
      </w:r>
      <w:proofErr w:type="spellStart"/>
      <w:r w:rsidRPr="002A1132">
        <w:t>storey</w:t>
      </w:r>
      <w:proofErr w:type="spellEnd"/>
      <w:r w:rsidRPr="002A1132">
        <w:t xml:space="preserve"> office building with retail and restaurant uses at grade, and a smaller portion at the rear of the property that extends behind 75 Hanna Avenue (the “Rear Extension</w:t>
      </w:r>
      <w:r w:rsidRPr="002A1132">
        <w:rPr>
          <w:bCs/>
        </w:rPr>
        <w:t>”</w:t>
      </w:r>
      <w:r w:rsidRPr="002A1132">
        <w:t>).</w:t>
      </w:r>
    </w:p>
    <w:p w14:paraId="174242B1" w14:textId="76237178" w:rsidR="002A1132" w:rsidRDefault="005274EB" w:rsidP="00ED00FC">
      <w:pPr>
        <w:pStyle w:val="ListParagraph"/>
        <w:rPr>
          <w:rFonts w:eastAsia="Times New Roman" w:cs="Times New Roman"/>
          <w:lang w:eastAsia="en-CA"/>
        </w:rPr>
      </w:pPr>
      <w:r w:rsidRPr="005274EB">
        <w:t>The Rear Extension is approximately 0.09 hectares and contains an entrance to an underground parking garage and a drive aisle for surface parking on 75 Hanna Avenue next door. The proposed settlement will allow for the Rear Extension to develop comprehensively with 75 Hanna</w:t>
      </w:r>
      <w:r w:rsidR="002A1132">
        <w:t xml:space="preserve"> Avenue</w:t>
      </w:r>
      <w:r w:rsidRPr="005274EB">
        <w:t xml:space="preserve">, which is also owned by First Capital. </w:t>
      </w:r>
    </w:p>
    <w:p w14:paraId="1B18CCCE" w14:textId="2175BB34" w:rsidR="00B91D9A" w:rsidRPr="00B91D9A" w:rsidRDefault="005274EB" w:rsidP="00ED00FC">
      <w:pPr>
        <w:pStyle w:val="ListParagraph"/>
        <w:rPr>
          <w:rFonts w:cs="Times New Roman"/>
          <w:lang w:eastAsia="en-CA"/>
        </w:rPr>
      </w:pPr>
      <w:r w:rsidRPr="002A1132">
        <w:lastRenderedPageBreak/>
        <w:t>Council has agreed to a proposed Settlement. The Tribunal has read the Affidavit of Steven Dixon set out in Tab 2 of the City’s Motion Record for this property.  His opinion is that the proposed settlement represents good planning, because the approval will:</w:t>
      </w:r>
    </w:p>
    <w:p w14:paraId="31EA9EE2" w14:textId="77777777" w:rsidR="00B91D9A" w:rsidRPr="002A50EA" w:rsidRDefault="00B91D9A" w:rsidP="002A50EA">
      <w:pPr>
        <w:spacing w:beforeLines="150" w:before="360" w:afterLines="150" w:after="360" w:line="360" w:lineRule="auto"/>
        <w:ind w:left="1440" w:hanging="720"/>
        <w:rPr>
          <w:rFonts w:ascii="Arial" w:eastAsia="Arial" w:hAnsi="Arial" w:cs="Arial"/>
        </w:rPr>
      </w:pPr>
      <w:r w:rsidRPr="002A50EA">
        <w:rPr>
          <w:rFonts w:ascii="Arial" w:hAnsi="Arial" w:cs="Arial"/>
        </w:rPr>
        <w:t>i)</w:t>
      </w:r>
      <w:r w:rsidRPr="002A50EA">
        <w:rPr>
          <w:rFonts w:ascii="Arial" w:hAnsi="Arial" w:cs="Arial"/>
        </w:rPr>
        <w:tab/>
        <w:t xml:space="preserve">maintain the </w:t>
      </w:r>
      <w:r w:rsidRPr="002A50EA">
        <w:rPr>
          <w:rFonts w:ascii="Arial" w:hAnsi="Arial" w:cs="Arial"/>
          <w:i/>
          <w:iCs/>
        </w:rPr>
        <w:t>General</w:t>
      </w:r>
      <w:r w:rsidRPr="002A50EA">
        <w:rPr>
          <w:rFonts w:ascii="Arial" w:hAnsi="Arial" w:cs="Arial"/>
          <w:i/>
        </w:rPr>
        <w:t xml:space="preserve"> Employment Areas</w:t>
      </w:r>
      <w:r w:rsidRPr="002A50EA">
        <w:rPr>
          <w:rFonts w:ascii="Arial" w:hAnsi="Arial" w:cs="Arial"/>
        </w:rPr>
        <w:t xml:space="preserve"> designation on </w:t>
      </w:r>
      <w:proofErr w:type="gramStart"/>
      <w:r w:rsidRPr="002A50EA">
        <w:rPr>
          <w:rFonts w:ascii="Arial" w:hAnsi="Arial" w:cs="Arial"/>
        </w:rPr>
        <w:t>the majority of</w:t>
      </w:r>
      <w:proofErr w:type="gramEnd"/>
      <w:r w:rsidRPr="002A50EA">
        <w:rPr>
          <w:rFonts w:ascii="Arial" w:hAnsi="Arial" w:cs="Arial"/>
        </w:rPr>
        <w:t xml:space="preserve"> the Lands, </w:t>
      </w:r>
    </w:p>
    <w:p w14:paraId="10DE060B" w14:textId="32D6CC14" w:rsidR="00B91D9A" w:rsidRDefault="00B91D9A" w:rsidP="002A50EA">
      <w:pPr>
        <w:spacing w:beforeLines="150" w:before="360" w:afterLines="150" w:after="360" w:line="360" w:lineRule="auto"/>
        <w:ind w:left="720"/>
        <w:rPr>
          <w:rFonts w:ascii="Arial" w:hAnsi="Arial" w:cs="Arial"/>
        </w:rPr>
      </w:pPr>
      <w:r w:rsidRPr="002A50EA">
        <w:rPr>
          <w:rFonts w:ascii="Arial" w:eastAsia="Arial" w:hAnsi="Arial" w:cs="Arial"/>
        </w:rPr>
        <w:t>ii)</w:t>
      </w:r>
      <w:r w:rsidRPr="002A50EA">
        <w:rPr>
          <w:rFonts w:ascii="Arial" w:eastAsia="Arial" w:hAnsi="Arial" w:cs="Arial"/>
        </w:rPr>
        <w:tab/>
      </w:r>
      <w:r w:rsidRPr="002A50EA">
        <w:rPr>
          <w:rFonts w:ascii="Arial" w:hAnsi="Arial" w:cs="Arial"/>
        </w:rPr>
        <w:t xml:space="preserve">not adversely affect the overall viability of this </w:t>
      </w:r>
      <w:r w:rsidRPr="002A50EA">
        <w:rPr>
          <w:rFonts w:ascii="Arial" w:hAnsi="Arial" w:cs="Arial"/>
          <w:i/>
          <w:iCs/>
        </w:rPr>
        <w:t>Employment Area,</w:t>
      </w:r>
      <w:r w:rsidRPr="002A50EA">
        <w:rPr>
          <w:rFonts w:ascii="Arial" w:hAnsi="Arial" w:cs="Arial"/>
        </w:rPr>
        <w:t xml:space="preserve"> and, </w:t>
      </w:r>
    </w:p>
    <w:p w14:paraId="309A817B" w14:textId="77777777" w:rsidR="00B91D9A" w:rsidRPr="002A50EA" w:rsidRDefault="00B91D9A" w:rsidP="002A50EA">
      <w:pPr>
        <w:spacing w:beforeLines="150" w:before="360" w:afterLines="150" w:after="360" w:line="360" w:lineRule="auto"/>
        <w:ind w:left="1440" w:hanging="720"/>
        <w:rPr>
          <w:rFonts w:ascii="Arial" w:eastAsia="Arial" w:hAnsi="Arial" w:cs="Arial"/>
        </w:rPr>
      </w:pPr>
      <w:r w:rsidRPr="002A50EA">
        <w:rPr>
          <w:rFonts w:ascii="Arial" w:eastAsia="Arial" w:hAnsi="Arial" w:cs="Arial"/>
        </w:rPr>
        <w:t>iii)</w:t>
      </w:r>
      <w:r w:rsidRPr="002A50EA">
        <w:rPr>
          <w:rFonts w:ascii="Arial" w:eastAsia="Arial" w:hAnsi="Arial" w:cs="Arial"/>
        </w:rPr>
        <w:tab/>
      </w:r>
      <w:r w:rsidRPr="002A50EA">
        <w:rPr>
          <w:rFonts w:ascii="Arial" w:hAnsi="Arial" w:cs="Arial"/>
        </w:rPr>
        <w:t xml:space="preserve">achieve the policy objective of protecting and preserving </w:t>
      </w:r>
      <w:r w:rsidRPr="002A50EA">
        <w:rPr>
          <w:rFonts w:ascii="Arial" w:hAnsi="Arial" w:cs="Arial"/>
          <w:i/>
        </w:rPr>
        <w:t>Employment Areas</w:t>
      </w:r>
      <w:r w:rsidRPr="002A50EA">
        <w:rPr>
          <w:rFonts w:ascii="Arial" w:hAnsi="Arial" w:cs="Arial"/>
        </w:rPr>
        <w:t xml:space="preserve"> for business and economic activities.</w:t>
      </w:r>
    </w:p>
    <w:p w14:paraId="4654B819" w14:textId="77777777" w:rsidR="00B91D9A" w:rsidRPr="00B91D9A" w:rsidRDefault="005274EB" w:rsidP="00ED00FC">
      <w:pPr>
        <w:pStyle w:val="ListParagraph"/>
        <w:rPr>
          <w:rFonts w:cs="Times New Roman"/>
          <w:lang w:eastAsia="en-CA"/>
        </w:rPr>
      </w:pPr>
      <w:r w:rsidRPr="00B91D9A">
        <w:rPr>
          <w:sz w:val="22"/>
          <w:szCs w:val="22"/>
        </w:rPr>
        <w:t>He</w:t>
      </w:r>
      <w:r w:rsidRPr="00B91D9A">
        <w:t xml:space="preserve"> also affirmed that the proposed settlement is consistent with matters of provincial interest, in particular 2(h), 2(k), 2(n) of the </w:t>
      </w:r>
      <w:r w:rsidR="00B91D9A" w:rsidRPr="00B91D9A">
        <w:rPr>
          <w:i/>
          <w:iCs/>
        </w:rPr>
        <w:t>Planning</w:t>
      </w:r>
      <w:r w:rsidR="00B91D9A">
        <w:t xml:space="preserve"> </w:t>
      </w:r>
      <w:r w:rsidRPr="00B91D9A">
        <w:rPr>
          <w:i/>
          <w:iCs/>
        </w:rPr>
        <w:t>Act</w:t>
      </w:r>
      <w:r w:rsidRPr="00B91D9A">
        <w:t>, is consistent with the PPS 2020, in particular policies 1.1.1, 1.3.1, 1.71, and conforms to the Growth Plan 2006, in particular policies 2.2.2.1 (f), 2.2.2.1 (g),  2.2.2 1(h) and 2.2.6.2.</w:t>
      </w:r>
    </w:p>
    <w:p w14:paraId="5FC11F50" w14:textId="77777777" w:rsidR="00B91D9A" w:rsidRPr="00B91D9A" w:rsidRDefault="005274EB" w:rsidP="00ED00FC">
      <w:pPr>
        <w:pStyle w:val="ListParagraph"/>
        <w:rPr>
          <w:rFonts w:cs="Times New Roman"/>
          <w:lang w:eastAsia="en-CA"/>
        </w:rPr>
      </w:pPr>
      <w:r w:rsidRPr="00B91D9A">
        <w:t xml:space="preserve">In Mr. Dixon’s opinion the modification to OPA 231 set out as a confidential attachment in Exhibit F to his affidavit, Tab 2, Exhibit 2, and the corresponding modification to Map 2, Urban Structure is appropriate, and the modifications represent good planning. </w:t>
      </w:r>
    </w:p>
    <w:p w14:paraId="4329C5C0" w14:textId="1C8D9A36" w:rsidR="00B91D9A" w:rsidRDefault="005274EB" w:rsidP="00ED00FC">
      <w:pPr>
        <w:pStyle w:val="ListParagraph"/>
        <w:rPr>
          <w:rFonts w:cs="Times New Roman"/>
          <w:lang w:eastAsia="en-CA"/>
        </w:rPr>
      </w:pPr>
      <w:r w:rsidRPr="00B91D9A">
        <w:t>The Tribunal accepts his opinion and approves of the modification now set out as Tab F of Exhibit 3</w:t>
      </w:r>
      <w:r w:rsidR="005E4ADB">
        <w:t xml:space="preserve"> and is appended to this Decision as Attachment 2</w:t>
      </w:r>
      <w:r w:rsidRPr="00B91D9A">
        <w:t xml:space="preserve">. </w:t>
      </w:r>
    </w:p>
    <w:p w14:paraId="7BD52C24" w14:textId="0E6ADE75" w:rsidR="005274EB" w:rsidRPr="002A50EA" w:rsidRDefault="005274EB" w:rsidP="00862489">
      <w:pPr>
        <w:rPr>
          <w:rFonts w:ascii="Arial" w:hAnsi="Arial" w:cs="Arial"/>
          <w:b/>
          <w:bCs/>
          <w:lang w:eastAsia="en-CA"/>
        </w:rPr>
      </w:pPr>
      <w:r w:rsidRPr="002A50EA">
        <w:rPr>
          <w:rFonts w:ascii="Arial" w:hAnsi="Arial" w:cs="Arial"/>
          <w:b/>
          <w:bCs/>
        </w:rPr>
        <w:t>Cultural Phase – Appeal 87</w:t>
      </w:r>
    </w:p>
    <w:p w14:paraId="7F864B90" w14:textId="26685F6B" w:rsidR="00862489" w:rsidRDefault="005274EB" w:rsidP="00ED00FC">
      <w:pPr>
        <w:pStyle w:val="ListParagraph"/>
        <w:rPr>
          <w:lang w:eastAsia="en-CA"/>
        </w:rPr>
      </w:pPr>
      <w:r w:rsidRPr="005274EB">
        <w:rPr>
          <w:lang w:eastAsia="en-CA"/>
        </w:rPr>
        <w:t>The City seeks an Order granting partial approval of OPA 231 as it relates to Appeal No. 87, an appeal by First Capital to Policy 3.5.2.6 of OPA 231, and a modification to OPA 231 by revising Policy 3.5.2.6 under section 3.5.2, Creating a Cultural Capital Policy. This would clarify its intent respecting the retention of cultural industry uses in the King-</w:t>
      </w:r>
      <w:proofErr w:type="spellStart"/>
      <w:r w:rsidRPr="005274EB">
        <w:rPr>
          <w:lang w:eastAsia="en-CA"/>
        </w:rPr>
        <w:t>Spadina</w:t>
      </w:r>
      <w:proofErr w:type="spellEnd"/>
      <w:r w:rsidRPr="005274EB">
        <w:rPr>
          <w:lang w:eastAsia="en-CA"/>
        </w:rPr>
        <w:t xml:space="preserve"> Secondary Plan area, King-Parliament Secondary Plan area and the Liberty Village Area of </w:t>
      </w:r>
      <w:r w:rsidRPr="005274EB">
        <w:rPr>
          <w:lang w:eastAsia="en-CA"/>
        </w:rPr>
        <w:lastRenderedPageBreak/>
        <w:t>the Garrison Common North Secondary Plan (as shown in Exhibit “E” of the Affidavit of Steven Dixon)</w:t>
      </w:r>
      <w:r w:rsidR="00B52830">
        <w:rPr>
          <w:lang w:eastAsia="en-CA"/>
        </w:rPr>
        <w:t>.</w:t>
      </w:r>
    </w:p>
    <w:p w14:paraId="20448229" w14:textId="66F7DCAB" w:rsidR="00862489" w:rsidRDefault="005274EB" w:rsidP="00ED00FC">
      <w:pPr>
        <w:pStyle w:val="ListParagraph"/>
        <w:rPr>
          <w:lang w:eastAsia="en-CA"/>
        </w:rPr>
      </w:pPr>
      <w:r w:rsidRPr="00862489">
        <w:t xml:space="preserve">Cultural Industries are described in the OP in a sidebar, now approved by </w:t>
      </w:r>
      <w:r w:rsidR="00862489">
        <w:t>the Tribunal</w:t>
      </w:r>
      <w:r w:rsidRPr="00862489">
        <w:t xml:space="preserve"> as part of OPA 231, as follows:</w:t>
      </w:r>
    </w:p>
    <w:p w14:paraId="50844566" w14:textId="62458678" w:rsidR="005274EB" w:rsidRPr="002A50EA" w:rsidRDefault="005274EB" w:rsidP="002A50EA">
      <w:pPr>
        <w:ind w:left="1418" w:right="1418"/>
        <w:rPr>
          <w:rFonts w:ascii="Arial" w:hAnsi="Arial" w:cs="Arial"/>
          <w:i/>
          <w:iCs/>
          <w:sz w:val="20"/>
          <w:szCs w:val="20"/>
          <w:lang w:eastAsia="en-CA"/>
        </w:rPr>
      </w:pPr>
      <w:r w:rsidRPr="002A50EA">
        <w:rPr>
          <w:rFonts w:ascii="Arial" w:hAnsi="Arial" w:cs="Arial"/>
          <w:i/>
          <w:iCs/>
          <w:sz w:val="20"/>
          <w:szCs w:val="20"/>
        </w:rPr>
        <w:t>Cultural Industries have their origin in individual creativity, skill and talent and have a potential for wealth and job creation through the generation and advancement of intellectual property, including: design, broadcasting, film video and photography, music and the visual performing arts, publishing, software, computer games and electronic publishing.</w:t>
      </w:r>
    </w:p>
    <w:p w14:paraId="7D674D84" w14:textId="77777777" w:rsidR="005274EB" w:rsidRPr="005274EB" w:rsidRDefault="005274EB" w:rsidP="00862489">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OPA 231, as appealed by First Capital, introduced Policy 3.5.2.6 as a new policy in Section 3.5.2, Creating a Cultural Capital, as follows:</w:t>
      </w:r>
    </w:p>
    <w:p w14:paraId="7F15BDA1" w14:textId="7C4B9E62" w:rsidR="005274EB" w:rsidRPr="00862489" w:rsidRDefault="005274EB" w:rsidP="00862489">
      <w:pPr>
        <w:pStyle w:val="AffidavitParagraphs"/>
        <w:numPr>
          <w:ilvl w:val="0"/>
          <w:numId w:val="0"/>
        </w:numPr>
        <w:tabs>
          <w:tab w:val="left" w:pos="720"/>
        </w:tabs>
        <w:spacing w:before="0" w:after="0" w:line="240" w:lineRule="auto"/>
        <w:ind w:left="1418" w:right="1418"/>
        <w:jc w:val="left"/>
        <w:rPr>
          <w:i/>
          <w:sz w:val="20"/>
          <w:szCs w:val="20"/>
        </w:rPr>
      </w:pPr>
      <w:r w:rsidRPr="00862489">
        <w:rPr>
          <w:iCs/>
          <w:sz w:val="20"/>
          <w:szCs w:val="20"/>
        </w:rPr>
        <w:t xml:space="preserve">Cultural enterprises and employment are significantly clustered within King </w:t>
      </w:r>
      <w:proofErr w:type="spellStart"/>
      <w:r w:rsidRPr="00862489">
        <w:rPr>
          <w:iCs/>
          <w:sz w:val="20"/>
          <w:szCs w:val="20"/>
        </w:rPr>
        <w:t>Spadina</w:t>
      </w:r>
      <w:proofErr w:type="spellEnd"/>
      <w:r w:rsidRPr="00862489">
        <w:rPr>
          <w:iCs/>
          <w:sz w:val="20"/>
          <w:szCs w:val="20"/>
        </w:rPr>
        <w:t xml:space="preserve"> Secondary Plan area, King Parliament Secondary Plan area and the Liberty Village Area of the Garrison Common North Secondary Plan. The stock of non-residential floor space in these areas will be preserved and expanded to encourage the continued growth of cultural industries.</w:t>
      </w:r>
    </w:p>
    <w:p w14:paraId="5FC1690C" w14:textId="77777777" w:rsidR="00862489" w:rsidRDefault="005274EB" w:rsidP="00862489">
      <w:pPr>
        <w:pStyle w:val="Body"/>
        <w:numPr>
          <w:ilvl w:val="0"/>
          <w:numId w:val="8"/>
        </w:numPr>
        <w:spacing w:beforeLines="150" w:before="360" w:afterLines="150" w:after="360" w:line="360" w:lineRule="auto"/>
        <w:ind w:left="0" w:firstLine="0"/>
        <w:outlineLvl w:val="0"/>
        <w:rPr>
          <w:rFonts w:ascii="Arial" w:eastAsia="Arial" w:hAnsi="Arial" w:cs="Arial"/>
        </w:rPr>
      </w:pPr>
      <w:r w:rsidRPr="005274EB">
        <w:rPr>
          <w:rFonts w:ascii="Arial" w:eastAsia="Arial" w:hAnsi="Arial" w:cs="Arial"/>
        </w:rPr>
        <w:t xml:space="preserve">The intent of Policy 3.5.2.6 is to encourage the preservation and growth of cultural industries in the three areas noted in the policy.  </w:t>
      </w:r>
    </w:p>
    <w:p w14:paraId="69ED418D" w14:textId="42197CC2" w:rsidR="00862489" w:rsidRPr="00862489" w:rsidRDefault="005274EB" w:rsidP="00862489">
      <w:pPr>
        <w:pStyle w:val="Body"/>
        <w:numPr>
          <w:ilvl w:val="0"/>
          <w:numId w:val="8"/>
        </w:numPr>
        <w:spacing w:beforeLines="150" w:before="360" w:afterLines="150" w:after="360" w:line="360" w:lineRule="auto"/>
        <w:ind w:left="0" w:firstLine="0"/>
        <w:outlineLvl w:val="0"/>
        <w:rPr>
          <w:rFonts w:ascii="Arial" w:eastAsia="Arial" w:hAnsi="Arial" w:cs="Arial"/>
        </w:rPr>
      </w:pPr>
      <w:r w:rsidRPr="00862489">
        <w:rPr>
          <w:rFonts w:ascii="Arial" w:eastAsia="Arial" w:hAnsi="Arial" w:cs="Arial"/>
        </w:rPr>
        <w:t>The City and First Capital entered into settlement discussions, resulting in proposed modifications to Policy 3.5.2.6. to strengthen and clarify its intent to preserve or expand non-residential gross floor area associated with cultural industry uses for the same types of uses.  Council adopted the proposed modification and approved the settlement.</w:t>
      </w:r>
    </w:p>
    <w:p w14:paraId="56FA4D8F" w14:textId="77777777" w:rsidR="00862489" w:rsidRPr="00862489" w:rsidRDefault="005274EB" w:rsidP="00862489">
      <w:pPr>
        <w:pStyle w:val="Body"/>
        <w:numPr>
          <w:ilvl w:val="0"/>
          <w:numId w:val="8"/>
        </w:numPr>
        <w:spacing w:beforeLines="150" w:before="360" w:afterLines="150" w:after="360" w:line="360" w:lineRule="auto"/>
        <w:ind w:left="0" w:firstLine="0"/>
        <w:outlineLvl w:val="0"/>
        <w:rPr>
          <w:rFonts w:ascii="Arial" w:eastAsia="Arial" w:hAnsi="Arial" w:cs="Arial"/>
        </w:rPr>
      </w:pPr>
      <w:r w:rsidRPr="00862489">
        <w:rPr>
          <w:rFonts w:ascii="Arial" w:hAnsi="Arial" w:cs="Arial"/>
          <w:lang w:val="en-US"/>
        </w:rPr>
        <w:t>The revised Policy 3.5.2.6 adopted by Council reads as follows:</w:t>
      </w:r>
    </w:p>
    <w:p w14:paraId="4F8C3D5D" w14:textId="5B7E4043" w:rsidR="005274EB" w:rsidRPr="00862489" w:rsidRDefault="005274EB" w:rsidP="00862489">
      <w:pPr>
        <w:pStyle w:val="Body"/>
        <w:ind w:left="1418" w:right="1418"/>
        <w:outlineLvl w:val="0"/>
        <w:rPr>
          <w:rFonts w:ascii="Arial" w:eastAsia="Arial" w:hAnsi="Arial" w:cs="Arial"/>
          <w:sz w:val="20"/>
          <w:szCs w:val="20"/>
        </w:rPr>
      </w:pPr>
      <w:r w:rsidRPr="00862489">
        <w:rPr>
          <w:rFonts w:ascii="Arial" w:hAnsi="Arial" w:cs="Arial"/>
          <w:iCs/>
          <w:sz w:val="20"/>
          <w:szCs w:val="20"/>
        </w:rPr>
        <w:t>Cultural industries and employment are significantly clustered within the King Spadina Secondary Plan area, King Parliament Secondary Plan area and the Liberty Village Area of the Garrison Common North Secondary Plan. Non-residential floor space associated with cultural industries in these areas will be preserved or expanded for cultural industry uses.</w:t>
      </w:r>
    </w:p>
    <w:p w14:paraId="70254FC4" w14:textId="77777777" w:rsidR="00862489" w:rsidRDefault="005274EB" w:rsidP="00ED00FC">
      <w:pPr>
        <w:pStyle w:val="ListParagraph"/>
      </w:pPr>
      <w:r w:rsidRPr="005274EB">
        <w:t xml:space="preserve">Mr. Dixon’s opinion was that this modification to Policy 3.5.2.6 represents good planning, as it strengthens and clarifies the intent of the policy. The modification will ensure </w:t>
      </w:r>
      <w:r w:rsidRPr="005274EB">
        <w:lastRenderedPageBreak/>
        <w:t>that the secondary plan areas affected by it are maintained as clusters of cultural industry uses over the long term.</w:t>
      </w:r>
    </w:p>
    <w:p w14:paraId="0C90E4A4" w14:textId="787A6B61" w:rsidR="00862489" w:rsidRDefault="005274EB" w:rsidP="00ED00FC">
      <w:pPr>
        <w:pStyle w:val="ListParagraph"/>
      </w:pPr>
      <w:r w:rsidRPr="00862489">
        <w:t>In his affidavit Tab 2 of Exhibit 4, he supports the modifications, stating that they have appropriate regard for matters of provincial interest, are consistent with the PPS 2020, in particular policies 1.1.1, 1.3.1, and 1.7.1,  conform to the Growth Plan 2006 and in particular policies 2.2.2.1 (g), 2.2.2.1 (h), 2.2.4.4, 2.2.6.2.  He is of the opinion that the modifications should be approved.</w:t>
      </w:r>
    </w:p>
    <w:p w14:paraId="28C28C57" w14:textId="4A8EBCF9" w:rsidR="002A50EA" w:rsidRPr="002A50EA" w:rsidRDefault="005274EB" w:rsidP="00ED00FC">
      <w:pPr>
        <w:pStyle w:val="ListParagraph"/>
      </w:pPr>
      <w:r w:rsidRPr="00862489">
        <w:t>The Tribunal has read his affidavit and supporting documents, agrees with his opinion, and approves these modifications.</w:t>
      </w:r>
      <w:r w:rsidRPr="00862489">
        <w:rPr>
          <w:sz w:val="22"/>
          <w:szCs w:val="22"/>
        </w:rPr>
        <w:t xml:space="preserve">  </w:t>
      </w:r>
    </w:p>
    <w:p w14:paraId="1C3A60FE" w14:textId="53F04304" w:rsidR="002A50EA" w:rsidRPr="005E4ADB" w:rsidRDefault="002A50EA" w:rsidP="00E33D72">
      <w:pPr>
        <w:rPr>
          <w:rFonts w:ascii="Arial" w:hAnsi="Arial" w:cs="Arial"/>
          <w:b/>
          <w:bCs/>
        </w:rPr>
      </w:pPr>
      <w:r w:rsidRPr="005E4ADB">
        <w:rPr>
          <w:rFonts w:ascii="Arial" w:hAnsi="Arial" w:cs="Arial"/>
          <w:b/>
          <w:bCs/>
        </w:rPr>
        <w:t xml:space="preserve">6 Lloyd Avenue, 159, 161, 163, 167, 169, 171, 175, 177, 179, 181, 185 and 195 </w:t>
      </w:r>
      <w:proofErr w:type="spellStart"/>
      <w:r w:rsidRPr="005E4ADB">
        <w:rPr>
          <w:rFonts w:ascii="Arial" w:hAnsi="Arial" w:cs="Arial"/>
          <w:b/>
          <w:bCs/>
        </w:rPr>
        <w:t>Mulock</w:t>
      </w:r>
      <w:proofErr w:type="spellEnd"/>
      <w:r w:rsidRPr="005E4ADB">
        <w:rPr>
          <w:rFonts w:ascii="Arial" w:hAnsi="Arial" w:cs="Arial"/>
          <w:b/>
          <w:bCs/>
        </w:rPr>
        <w:t xml:space="preserve"> Avenue. – Appeal 23</w:t>
      </w:r>
    </w:p>
    <w:p w14:paraId="66E4EBB7" w14:textId="77777777" w:rsidR="002A50EA" w:rsidRDefault="005274EB" w:rsidP="00ED00FC">
      <w:pPr>
        <w:pStyle w:val="ListParagraph"/>
      </w:pPr>
      <w:r w:rsidRPr="005274EB">
        <w:rPr>
          <w:lang w:eastAsia="en-CA"/>
        </w:rPr>
        <w:t xml:space="preserve">The City is seeking an Order of the Tribunal approving modifications to OPA. 231 as it applies to the lands municipally known as 6 Lloyd Avenue, 161, 163, 165, 167, 169, 171, 175, 177, 179, 181 and 195 </w:t>
      </w:r>
      <w:proofErr w:type="spellStart"/>
      <w:r w:rsidRPr="005274EB">
        <w:rPr>
          <w:lang w:eastAsia="en-CA"/>
        </w:rPr>
        <w:t>Mulock</w:t>
      </w:r>
      <w:proofErr w:type="spellEnd"/>
      <w:r w:rsidRPr="005274EB">
        <w:rPr>
          <w:lang w:eastAsia="en-CA"/>
        </w:rPr>
        <w:t xml:space="preserve"> Avenue (“the Lands”), as set out in Exhibit ‘C’ to the Affidavit of Christina </w:t>
      </w:r>
      <w:proofErr w:type="spellStart"/>
      <w:r w:rsidRPr="005274EB">
        <w:rPr>
          <w:lang w:eastAsia="en-CA"/>
        </w:rPr>
        <w:t>Heydorn</w:t>
      </w:r>
      <w:proofErr w:type="spellEnd"/>
      <w:r w:rsidRPr="005274EB">
        <w:rPr>
          <w:lang w:eastAsia="en-CA"/>
        </w:rPr>
        <w:t xml:space="preserve">, sworn February 12, 2021 (Tab 2 of Exhibit 5). </w:t>
      </w:r>
    </w:p>
    <w:p w14:paraId="541CE91B" w14:textId="3054BA2C" w:rsidR="002A50EA" w:rsidRPr="002A50EA" w:rsidRDefault="005274EB" w:rsidP="00ED00FC">
      <w:pPr>
        <w:pStyle w:val="ListParagraph"/>
      </w:pPr>
      <w:r w:rsidRPr="002A50EA">
        <w:t xml:space="preserve">To repeat, Council adopted By-law </w:t>
      </w:r>
      <w:r w:rsidR="002A50EA">
        <w:t xml:space="preserve">No. </w:t>
      </w:r>
      <w:r w:rsidRPr="002A50EA">
        <w:t>1714-2013 for the purpose and effect of adopting OPA 231 with respect to the Economic Health policies and the policies, designations and mapping for Employment Areas. OPA 231 was subsequently approved with limited exceptions by the Minister in 2014.</w:t>
      </w:r>
    </w:p>
    <w:p w14:paraId="475AE3FC" w14:textId="33442780" w:rsidR="002A50EA" w:rsidRDefault="005274EB" w:rsidP="00ED00FC">
      <w:pPr>
        <w:pStyle w:val="ListParagraph"/>
      </w:pPr>
      <w:r w:rsidRPr="002A50EA">
        <w:t>The owner of these Lands, Berkley Carlyle (Junction) Inc. (“Carlyle”) appealed OPA 231 (Appeal No. 23) on a site-specific basis to, in part, address built form standards proposed in SASP 447.</w:t>
      </w:r>
      <w:r w:rsidRPr="002A50EA">
        <w:rPr>
          <w:i/>
          <w:iCs/>
        </w:rPr>
        <w:t xml:space="preserve"> </w:t>
      </w:r>
      <w:r w:rsidRPr="002A50EA">
        <w:t xml:space="preserve">In December 2013 the previous owner of the Lands, </w:t>
      </w:r>
      <w:proofErr w:type="spellStart"/>
      <w:r w:rsidRPr="002A50EA">
        <w:t>Terrasan</w:t>
      </w:r>
      <w:proofErr w:type="spellEnd"/>
      <w:r w:rsidRPr="002A50EA">
        <w:t xml:space="preserve">, submitted a site framework to guide redevelopment; namely, to </w:t>
      </w:r>
      <w:proofErr w:type="spellStart"/>
      <w:r w:rsidRPr="002A50EA">
        <w:t>redesignate</w:t>
      </w:r>
      <w:proofErr w:type="spellEnd"/>
      <w:r w:rsidRPr="002A50EA">
        <w:t xml:space="preserve"> the north two-thirds of the Lands from </w:t>
      </w:r>
      <w:r w:rsidRPr="002A50EA">
        <w:rPr>
          <w:i/>
        </w:rPr>
        <w:t>Employment Areas</w:t>
      </w:r>
      <w:r w:rsidRPr="002A50EA">
        <w:t xml:space="preserve"> to </w:t>
      </w:r>
      <w:r w:rsidRPr="002A50EA">
        <w:rPr>
          <w:i/>
        </w:rPr>
        <w:t>Mixed Use Areas</w:t>
      </w:r>
      <w:r w:rsidRPr="002A50EA">
        <w:t xml:space="preserve">, to retain the south one-third as </w:t>
      </w:r>
      <w:r w:rsidRPr="002A50EA">
        <w:rPr>
          <w:i/>
        </w:rPr>
        <w:t>Employment Areas</w:t>
      </w:r>
      <w:r w:rsidRPr="002A50EA">
        <w:t>, and establish a new SASP over the entire site. This would include the requirement for a minimum amount of commercial/office space, and the use of a “Holding” by</w:t>
      </w:r>
      <w:r w:rsidR="000B39F8">
        <w:t>-</w:t>
      </w:r>
      <w:r w:rsidRPr="002A50EA">
        <w:t>law provision to ensure appropriate development.</w:t>
      </w:r>
    </w:p>
    <w:p w14:paraId="7F597A98" w14:textId="77777777" w:rsidR="002A50EA" w:rsidRDefault="005274EB" w:rsidP="00ED00FC">
      <w:pPr>
        <w:pStyle w:val="ListParagraph"/>
      </w:pPr>
      <w:r w:rsidRPr="002A50EA">
        <w:lastRenderedPageBreak/>
        <w:t xml:space="preserve">Carlyle subsequently acquired the lands and in 2018, appealed to the Tribunal Council’s failure to </w:t>
      </w:r>
      <w:proofErr w:type="gramStart"/>
      <w:r w:rsidRPr="002A50EA">
        <w:t>make a decision</w:t>
      </w:r>
      <w:proofErr w:type="gramEnd"/>
      <w:r w:rsidRPr="002A50EA">
        <w:t xml:space="preserve"> on a site-specific OPA application within the statutory timeframe.</w:t>
      </w:r>
    </w:p>
    <w:p w14:paraId="58CA175A" w14:textId="33BB35D5" w:rsidR="000B39F8" w:rsidRDefault="005274EB" w:rsidP="00ED00FC">
      <w:pPr>
        <w:pStyle w:val="ListParagraph"/>
      </w:pPr>
      <w:r w:rsidRPr="002A50EA">
        <w:t xml:space="preserve">The Lands are approximately 1.06 hectares in size and are now vacant. They were formerly occupied by a </w:t>
      </w:r>
      <w:r w:rsidR="000B39F8">
        <w:t>three</w:t>
      </w:r>
      <w:r w:rsidRPr="002A50EA">
        <w:t>-</w:t>
      </w:r>
      <w:proofErr w:type="spellStart"/>
      <w:r w:rsidRPr="002A50EA">
        <w:t>storey</w:t>
      </w:r>
      <w:proofErr w:type="spellEnd"/>
      <w:r w:rsidRPr="002A50EA">
        <w:t xml:space="preserve"> industrial building and residential dwellings with frontage onto </w:t>
      </w:r>
      <w:proofErr w:type="spellStart"/>
      <w:r w:rsidRPr="002A50EA">
        <w:t>Mulock</w:t>
      </w:r>
      <w:proofErr w:type="spellEnd"/>
      <w:r w:rsidRPr="002A50EA">
        <w:t xml:space="preserve"> Avenue. They are located on the northeast corner of Lloyd Avenue and </w:t>
      </w:r>
      <w:proofErr w:type="spellStart"/>
      <w:r w:rsidRPr="002A50EA">
        <w:t>Mulock</w:t>
      </w:r>
      <w:proofErr w:type="spellEnd"/>
      <w:r w:rsidRPr="002A50EA">
        <w:t xml:space="preserve"> Avenue, southeast of the St. Clair Avenue West and </w:t>
      </w:r>
      <w:proofErr w:type="spellStart"/>
      <w:r w:rsidRPr="002A50EA">
        <w:t>Keele</w:t>
      </w:r>
      <w:proofErr w:type="spellEnd"/>
      <w:r w:rsidRPr="002A50EA">
        <w:t xml:space="preserve"> Street intersection.  They are rectangular in shape, have frontage of approximately 55 </w:t>
      </w:r>
      <w:proofErr w:type="spellStart"/>
      <w:r w:rsidRPr="002A50EA">
        <w:t>metres</w:t>
      </w:r>
      <w:proofErr w:type="spellEnd"/>
      <w:r w:rsidRPr="002A50EA">
        <w:t xml:space="preserve"> onto St. Clair Avenue West but then widen from north to south.  A portion of this has a difference in elevation. </w:t>
      </w:r>
    </w:p>
    <w:p w14:paraId="0EBC9C5C" w14:textId="77777777" w:rsidR="000B39F8" w:rsidRDefault="005274EB" w:rsidP="00ED00FC">
      <w:pPr>
        <w:pStyle w:val="ListParagraph"/>
      </w:pPr>
      <w:r w:rsidRPr="000B39F8">
        <w:t xml:space="preserve">The subject Lands directly </w:t>
      </w:r>
      <w:proofErr w:type="spellStart"/>
      <w:r w:rsidRPr="000B39F8">
        <w:t>abut</w:t>
      </w:r>
      <w:proofErr w:type="spellEnd"/>
      <w:r w:rsidRPr="000B39F8">
        <w:t xml:space="preserve"> the C</w:t>
      </w:r>
      <w:r w:rsidR="000B39F8">
        <w:t xml:space="preserve">anadian </w:t>
      </w:r>
      <w:r w:rsidRPr="000B39F8">
        <w:t>N</w:t>
      </w:r>
      <w:r w:rsidR="000B39F8">
        <w:t xml:space="preserve">ational </w:t>
      </w:r>
      <w:r w:rsidRPr="000B39F8">
        <w:t>R</w:t>
      </w:r>
      <w:r w:rsidR="000B39F8">
        <w:t>ailroad</w:t>
      </w:r>
      <w:r w:rsidRPr="000B39F8">
        <w:t>/C</w:t>
      </w:r>
      <w:r w:rsidR="000B39F8">
        <w:t xml:space="preserve">anadian </w:t>
      </w:r>
      <w:r w:rsidRPr="000B39F8">
        <w:t>P</w:t>
      </w:r>
      <w:r w:rsidR="000B39F8">
        <w:t xml:space="preserve">acific </w:t>
      </w:r>
      <w:r w:rsidRPr="000B39F8">
        <w:t>R</w:t>
      </w:r>
      <w:r w:rsidR="000B39F8">
        <w:t>ailroad</w:t>
      </w:r>
      <w:r w:rsidRPr="000B39F8">
        <w:t xml:space="preserve"> railway corridor to the east. They have been remediated to residential standards and a Record of Site Condition has been issued. They </w:t>
      </w:r>
      <w:proofErr w:type="gramStart"/>
      <w:r w:rsidRPr="000B39F8">
        <w:t>are located in</w:t>
      </w:r>
      <w:proofErr w:type="gramEnd"/>
      <w:r w:rsidRPr="000B39F8">
        <w:t xml:space="preserve"> a mixed area, with heavy industry, auto repair shops, studios and low-rise residential dwellings.  </w:t>
      </w:r>
    </w:p>
    <w:p w14:paraId="0EA583BD" w14:textId="300D08EB" w:rsidR="000B39F8" w:rsidRDefault="005274EB" w:rsidP="00ED00FC">
      <w:pPr>
        <w:pStyle w:val="ListParagraph"/>
      </w:pPr>
      <w:r w:rsidRPr="000B39F8">
        <w:t xml:space="preserve">In 2019, the City completed a Transportation Master Plan study which identified solutions to improve traffic congestion along St. Clair Avenue West. It recommended infrastructure improvements to accommodate multiple modes of transportation in the vicinity of the Lands.  The City and </w:t>
      </w:r>
      <w:proofErr w:type="spellStart"/>
      <w:r w:rsidRPr="000B39F8">
        <w:t>Metrolinx</w:t>
      </w:r>
      <w:proofErr w:type="spellEnd"/>
      <w:r w:rsidRPr="000B39F8">
        <w:t xml:space="preserve"> continue to work together to coordinate proposed connections and access to the potential new SmartTrack station near the Lands.</w:t>
      </w:r>
    </w:p>
    <w:p w14:paraId="633B2893" w14:textId="6F90692A" w:rsidR="000B39F8" w:rsidRDefault="005274EB" w:rsidP="00ED00FC">
      <w:pPr>
        <w:pStyle w:val="ListParagraph"/>
      </w:pPr>
      <w:r w:rsidRPr="000B39F8">
        <w:t xml:space="preserve">The City is also presently undertaking the </w:t>
      </w:r>
      <w:proofErr w:type="spellStart"/>
      <w:r w:rsidRPr="000B39F8">
        <w:t>Keele</w:t>
      </w:r>
      <w:proofErr w:type="spellEnd"/>
      <w:r w:rsidRPr="000B39F8">
        <w:t xml:space="preserve"> – St. Clair Local Area Study as part of the current Growth Plan Conformity and MCR.  In October 2019, the Planning and Housing Committee directed Planning to</w:t>
      </w:r>
      <w:r w:rsidR="000B39F8">
        <w:t>:</w:t>
      </w:r>
    </w:p>
    <w:p w14:paraId="58E58ABD" w14:textId="7FB95F41" w:rsidR="000B39F8" w:rsidRPr="005E4ADB" w:rsidRDefault="005E4ADB" w:rsidP="005E4ADB">
      <w:pPr>
        <w:ind w:left="1418" w:right="1418"/>
        <w:rPr>
          <w:rFonts w:ascii="Arial" w:hAnsi="Arial" w:cs="Arial"/>
          <w:sz w:val="20"/>
          <w:szCs w:val="20"/>
        </w:rPr>
      </w:pPr>
      <w:r w:rsidRPr="005E4ADB">
        <w:rPr>
          <w:rFonts w:ascii="Arial" w:hAnsi="Arial" w:cs="Arial"/>
          <w:sz w:val="20"/>
          <w:szCs w:val="20"/>
        </w:rPr>
        <w:t xml:space="preserve">… </w:t>
      </w:r>
      <w:r w:rsidR="000B39F8" w:rsidRPr="005E4ADB">
        <w:rPr>
          <w:rFonts w:ascii="Arial" w:hAnsi="Arial" w:cs="Arial"/>
          <w:sz w:val="20"/>
          <w:szCs w:val="20"/>
        </w:rPr>
        <w:t xml:space="preserve">prioritize the study of the </w:t>
      </w:r>
      <w:proofErr w:type="spellStart"/>
      <w:r w:rsidR="000B39F8" w:rsidRPr="005E4ADB">
        <w:rPr>
          <w:rFonts w:ascii="Arial" w:hAnsi="Arial" w:cs="Arial"/>
          <w:sz w:val="20"/>
          <w:szCs w:val="20"/>
        </w:rPr>
        <w:t>Keele</w:t>
      </w:r>
      <w:proofErr w:type="spellEnd"/>
      <w:r w:rsidR="000B39F8" w:rsidRPr="005E4ADB">
        <w:rPr>
          <w:rFonts w:ascii="Arial" w:hAnsi="Arial" w:cs="Arial"/>
          <w:sz w:val="20"/>
          <w:szCs w:val="20"/>
        </w:rPr>
        <w:t>-St. Clair area...where lands are designated as Employment Areas and are not identified as a Provincially Significant Employment Zone, as part of the upcoming review. The study is to examine the potential of unlocking the lands in the vicinity of the Smart Track/GO Kitchener line and planned station located in the area of these lands.</w:t>
      </w:r>
    </w:p>
    <w:p w14:paraId="3147A8E0" w14:textId="77777777" w:rsidR="000B39F8" w:rsidRDefault="005274EB" w:rsidP="00ED00FC">
      <w:pPr>
        <w:pStyle w:val="ListParagraph"/>
      </w:pPr>
      <w:r w:rsidRPr="000B39F8">
        <w:lastRenderedPageBreak/>
        <w:t xml:space="preserve">OPA 231 </w:t>
      </w:r>
      <w:proofErr w:type="spellStart"/>
      <w:r w:rsidRPr="000B39F8">
        <w:t>redesignates</w:t>
      </w:r>
      <w:proofErr w:type="spellEnd"/>
      <w:r w:rsidRPr="000B39F8">
        <w:t xml:space="preserve"> the north two-thirds of the Lands (Area ‘A’) from </w:t>
      </w:r>
      <w:r w:rsidRPr="000B39F8">
        <w:rPr>
          <w:i/>
        </w:rPr>
        <w:t>Employment Areas</w:t>
      </w:r>
      <w:r w:rsidRPr="000B39F8">
        <w:t xml:space="preserve"> to </w:t>
      </w:r>
      <w:r w:rsidRPr="000B39F8">
        <w:rPr>
          <w:i/>
        </w:rPr>
        <w:t>Mixed Use Areas</w:t>
      </w:r>
      <w:r w:rsidRPr="000B39F8">
        <w:t xml:space="preserve"> and the south one-third (Area ‘B’) from </w:t>
      </w:r>
      <w:r w:rsidRPr="000B39F8">
        <w:rPr>
          <w:i/>
        </w:rPr>
        <w:t>Employment Areas</w:t>
      </w:r>
      <w:r w:rsidRPr="000B39F8">
        <w:t xml:space="preserve"> to </w:t>
      </w:r>
      <w:r w:rsidRPr="000B39F8">
        <w:rPr>
          <w:i/>
        </w:rPr>
        <w:t>General Employment Areas,</w:t>
      </w:r>
      <w:r w:rsidRPr="000B39F8">
        <w:t xml:space="preserve"> and adds the south portion to the Map 2 Urban Structure Employment Areas overlay.  OPA 231 also proposes to add SASP 447 to Chapter 7, Site and Area Specific Policies of the Official Plan. This, in part, proposes to include maximum building heights and minimum setbacks from the adjacent rail corridor for residential buildings on Lands designated </w:t>
      </w:r>
      <w:r w:rsidRPr="000B39F8">
        <w:rPr>
          <w:i/>
        </w:rPr>
        <w:t>Mixed Use Areas</w:t>
      </w:r>
      <w:r w:rsidRPr="000B39F8">
        <w:t>.</w:t>
      </w:r>
    </w:p>
    <w:p w14:paraId="5E15038A" w14:textId="24BDA4D4" w:rsidR="000B39F8" w:rsidRDefault="005274EB" w:rsidP="00ED00FC">
      <w:pPr>
        <w:pStyle w:val="ListParagraph"/>
      </w:pPr>
      <w:r w:rsidRPr="000B39F8">
        <w:t xml:space="preserve">This appeal, Appeal No. 23, is based upon the built form standards proposed in SASP 447.  In particular, the maximum residential building height is 16.5 m, and there is a minimum 30 </w:t>
      </w:r>
      <w:proofErr w:type="spellStart"/>
      <w:r w:rsidRPr="000B39F8">
        <w:t>m</w:t>
      </w:r>
      <w:r w:rsidR="008F16F1">
        <w:t>etre</w:t>
      </w:r>
      <w:proofErr w:type="spellEnd"/>
      <w:r w:rsidRPr="000B39F8">
        <w:t xml:space="preserve"> setback from the rail corridor.  Issues with compatibility and mitigation policies, specifically Policy 2.2.4.5, were also raised.</w:t>
      </w:r>
    </w:p>
    <w:p w14:paraId="42B8D7FF" w14:textId="77777777" w:rsidR="000B39F8" w:rsidRDefault="005274EB" w:rsidP="00ED00FC">
      <w:pPr>
        <w:pStyle w:val="ListParagraph"/>
      </w:pPr>
      <w:r w:rsidRPr="000B39F8">
        <w:t>Settlement discussions between Carlyle and the City began in 2019. Carlyle has submitted a zoning by</w:t>
      </w:r>
      <w:r w:rsidR="000B39F8">
        <w:t>-</w:t>
      </w:r>
      <w:r w:rsidRPr="000B39F8">
        <w:t>law amendment application and has provided additional technical information to address the policies of SASP 447 in dispute.  It subsequently submitted a proposed settlement of modifications to OPA 231, including modifications to SASP 447.   Council adopted the proposed settlement in February 2021.</w:t>
      </w:r>
    </w:p>
    <w:p w14:paraId="7C3FA9FA" w14:textId="3168E324" w:rsidR="008F16F1" w:rsidRDefault="005274EB" w:rsidP="00ED00FC">
      <w:pPr>
        <w:pStyle w:val="ListParagraph"/>
      </w:pPr>
      <w:r w:rsidRPr="000B39F8">
        <w:t>The effect of the settlement would be to amend OPA 231 to:</w:t>
      </w:r>
    </w:p>
    <w:p w14:paraId="3E3AC6F1" w14:textId="5CD6C121"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t>a)</w:t>
      </w:r>
      <w:r w:rsidR="005E4ADB">
        <w:rPr>
          <w:rFonts w:ascii="Arial" w:hAnsi="Arial" w:cs="Arial"/>
        </w:rPr>
        <w:tab/>
      </w:r>
      <w:r w:rsidRPr="005E4ADB">
        <w:rPr>
          <w:rFonts w:ascii="Arial" w:hAnsi="Arial" w:cs="Arial"/>
        </w:rPr>
        <w:t xml:space="preserve">Confirm the </w:t>
      </w:r>
      <w:proofErr w:type="spellStart"/>
      <w:r w:rsidRPr="005E4ADB">
        <w:rPr>
          <w:rFonts w:ascii="Arial" w:hAnsi="Arial" w:cs="Arial"/>
        </w:rPr>
        <w:t>redesignation</w:t>
      </w:r>
      <w:proofErr w:type="spellEnd"/>
      <w:r w:rsidRPr="005E4ADB">
        <w:rPr>
          <w:rFonts w:ascii="Arial" w:hAnsi="Arial" w:cs="Arial"/>
        </w:rPr>
        <w:t xml:space="preserve"> of Area 'A' from </w:t>
      </w:r>
      <w:r w:rsidRPr="005E4ADB">
        <w:rPr>
          <w:rFonts w:ascii="Arial" w:hAnsi="Arial" w:cs="Arial"/>
          <w:i/>
        </w:rPr>
        <w:t>Employment Areas</w:t>
      </w:r>
      <w:r w:rsidRPr="005E4ADB">
        <w:rPr>
          <w:rFonts w:ascii="Arial" w:hAnsi="Arial" w:cs="Arial"/>
        </w:rPr>
        <w:t xml:space="preserve"> to </w:t>
      </w:r>
      <w:r w:rsidRPr="005E4ADB">
        <w:rPr>
          <w:rFonts w:ascii="Arial" w:hAnsi="Arial" w:cs="Arial"/>
          <w:i/>
        </w:rPr>
        <w:t>Mixed Use Areas</w:t>
      </w:r>
      <w:r w:rsidRPr="005E4ADB">
        <w:rPr>
          <w:rFonts w:ascii="Arial" w:hAnsi="Arial" w:cs="Arial"/>
        </w:rPr>
        <w:t xml:space="preserve">, as had been proposed in OPA </w:t>
      </w:r>
      <w:proofErr w:type="gramStart"/>
      <w:r w:rsidRPr="005E4ADB">
        <w:rPr>
          <w:rFonts w:ascii="Arial" w:hAnsi="Arial" w:cs="Arial"/>
        </w:rPr>
        <w:t>231;</w:t>
      </w:r>
      <w:proofErr w:type="gramEnd"/>
    </w:p>
    <w:p w14:paraId="6FEECEC2" w14:textId="77777777"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t>b)</w:t>
      </w:r>
      <w:r w:rsidRPr="005E4ADB">
        <w:rPr>
          <w:rFonts w:ascii="Arial" w:hAnsi="Arial" w:cs="Arial"/>
        </w:rPr>
        <w:tab/>
        <w:t>Add a policy in SASP 447 to make clear that residential uses are only permitted on the Lands in Area 'A</w:t>
      </w:r>
      <w:proofErr w:type="gramStart"/>
      <w:r w:rsidRPr="005E4ADB">
        <w:rPr>
          <w:rFonts w:ascii="Arial" w:hAnsi="Arial" w:cs="Arial"/>
        </w:rPr>
        <w:t>';</w:t>
      </w:r>
      <w:proofErr w:type="gramEnd"/>
    </w:p>
    <w:p w14:paraId="377EE60F" w14:textId="77777777"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t>c)</w:t>
      </w:r>
      <w:r w:rsidRPr="005E4ADB">
        <w:rPr>
          <w:rFonts w:ascii="Arial" w:hAnsi="Arial" w:cs="Arial"/>
        </w:rPr>
        <w:tab/>
      </w:r>
      <w:proofErr w:type="spellStart"/>
      <w:r w:rsidRPr="005E4ADB">
        <w:rPr>
          <w:rFonts w:ascii="Arial" w:hAnsi="Arial" w:cs="Arial"/>
        </w:rPr>
        <w:t>Redesignate</w:t>
      </w:r>
      <w:proofErr w:type="spellEnd"/>
      <w:r w:rsidRPr="005E4ADB">
        <w:rPr>
          <w:rFonts w:ascii="Arial" w:hAnsi="Arial" w:cs="Arial"/>
        </w:rPr>
        <w:t xml:space="preserve"> Area 'B' from </w:t>
      </w:r>
      <w:r w:rsidRPr="005E4ADB">
        <w:rPr>
          <w:rFonts w:ascii="Arial" w:hAnsi="Arial" w:cs="Arial"/>
          <w:i/>
        </w:rPr>
        <w:t>Employment Areas</w:t>
      </w:r>
      <w:r w:rsidRPr="005E4ADB">
        <w:rPr>
          <w:rFonts w:ascii="Arial" w:hAnsi="Arial" w:cs="Arial"/>
        </w:rPr>
        <w:t xml:space="preserve"> to </w:t>
      </w:r>
      <w:r w:rsidRPr="005E4ADB">
        <w:rPr>
          <w:rFonts w:ascii="Arial" w:hAnsi="Arial" w:cs="Arial"/>
          <w:i/>
        </w:rPr>
        <w:t>Mixed Use Areas</w:t>
      </w:r>
      <w:r w:rsidRPr="005E4ADB">
        <w:rPr>
          <w:rFonts w:ascii="Arial" w:hAnsi="Arial" w:cs="Arial"/>
        </w:rPr>
        <w:t xml:space="preserve"> and confirm the list of permitted uses that had been proposed in OPA 231 SASP </w:t>
      </w:r>
      <w:proofErr w:type="gramStart"/>
      <w:r w:rsidRPr="005E4ADB">
        <w:rPr>
          <w:rFonts w:ascii="Arial" w:hAnsi="Arial" w:cs="Arial"/>
        </w:rPr>
        <w:t>447;</w:t>
      </w:r>
      <w:proofErr w:type="gramEnd"/>
    </w:p>
    <w:p w14:paraId="1A4C9169" w14:textId="77777777"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lastRenderedPageBreak/>
        <w:t>d)</w:t>
      </w:r>
      <w:r w:rsidRPr="005E4ADB">
        <w:rPr>
          <w:rFonts w:ascii="Arial" w:hAnsi="Arial" w:cs="Arial"/>
        </w:rPr>
        <w:tab/>
        <w:t xml:space="preserve">Add community facilities and daycares to the list of permitted uses in Area 'B', the latter only to be permitted once the use at 35 Cawthra Avenue has ceased and not been </w:t>
      </w:r>
      <w:proofErr w:type="gramStart"/>
      <w:r w:rsidRPr="005E4ADB">
        <w:rPr>
          <w:rFonts w:ascii="Arial" w:hAnsi="Arial" w:cs="Arial"/>
        </w:rPr>
        <w:t>replaced;</w:t>
      </w:r>
      <w:proofErr w:type="gramEnd"/>
    </w:p>
    <w:p w14:paraId="06733952" w14:textId="77777777"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t>e)</w:t>
      </w:r>
      <w:r w:rsidRPr="005E4ADB">
        <w:rPr>
          <w:rFonts w:ascii="Arial" w:hAnsi="Arial" w:cs="Arial"/>
        </w:rPr>
        <w:tab/>
        <w:t xml:space="preserve">Confirm the timing of uses in Area 'B', specifically that 4,000 square </w:t>
      </w:r>
      <w:proofErr w:type="spellStart"/>
      <w:r w:rsidRPr="005E4ADB">
        <w:rPr>
          <w:rFonts w:ascii="Arial" w:hAnsi="Arial" w:cs="Arial"/>
        </w:rPr>
        <w:t>metres</w:t>
      </w:r>
      <w:proofErr w:type="spellEnd"/>
      <w:r w:rsidRPr="005E4ADB">
        <w:rPr>
          <w:rFonts w:ascii="Arial" w:hAnsi="Arial" w:cs="Arial"/>
        </w:rPr>
        <w:t xml:space="preserve"> of commercial and/or office space will be constructed prior to or concurrent with any residential development in Area 'A</w:t>
      </w:r>
      <w:proofErr w:type="gramStart"/>
      <w:r w:rsidRPr="005E4ADB">
        <w:rPr>
          <w:rFonts w:ascii="Arial" w:hAnsi="Arial" w:cs="Arial"/>
        </w:rPr>
        <w:t>';</w:t>
      </w:r>
      <w:proofErr w:type="gramEnd"/>
    </w:p>
    <w:p w14:paraId="0D6ABFE8" w14:textId="15BC983A"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t>f)</w:t>
      </w:r>
      <w:r w:rsidRPr="005E4ADB">
        <w:rPr>
          <w:rFonts w:ascii="Arial" w:hAnsi="Arial" w:cs="Arial"/>
        </w:rPr>
        <w:tab/>
        <w:t xml:space="preserve">Confirm the built form of uses in Area 'B', specifically that development occur along 50% of the Lloyd Avenue frontage and at a minimum height of 10 </w:t>
      </w:r>
      <w:proofErr w:type="spellStart"/>
      <w:r w:rsidRPr="005E4ADB">
        <w:rPr>
          <w:rFonts w:ascii="Arial" w:hAnsi="Arial" w:cs="Arial"/>
        </w:rPr>
        <w:t>metres</w:t>
      </w:r>
      <w:proofErr w:type="spellEnd"/>
      <w:r w:rsidRPr="005E4ADB">
        <w:rPr>
          <w:rFonts w:ascii="Arial" w:hAnsi="Arial" w:cs="Arial"/>
        </w:rPr>
        <w:t xml:space="preserve"> to help mitigate potential land use </w:t>
      </w:r>
      <w:proofErr w:type="gramStart"/>
      <w:r w:rsidRPr="005E4ADB">
        <w:rPr>
          <w:rFonts w:ascii="Arial" w:hAnsi="Arial" w:cs="Arial"/>
        </w:rPr>
        <w:t>conflicts;</w:t>
      </w:r>
      <w:proofErr w:type="gramEnd"/>
    </w:p>
    <w:p w14:paraId="5350D4D6" w14:textId="77777777" w:rsidR="008F16F1" w:rsidRPr="005E4ADB" w:rsidRDefault="008F16F1" w:rsidP="005E4ADB">
      <w:pPr>
        <w:spacing w:beforeLines="150" w:before="360" w:afterLines="150" w:after="360" w:line="360" w:lineRule="auto"/>
        <w:ind w:left="1439" w:hanging="730"/>
        <w:rPr>
          <w:rFonts w:ascii="Arial" w:hAnsi="Arial" w:cs="Arial"/>
        </w:rPr>
      </w:pPr>
      <w:r w:rsidRPr="005E4ADB">
        <w:rPr>
          <w:rFonts w:ascii="Arial" w:hAnsi="Arial" w:cs="Arial"/>
        </w:rPr>
        <w:t>g)</w:t>
      </w:r>
      <w:r w:rsidRPr="005E4ADB">
        <w:rPr>
          <w:rFonts w:ascii="Arial" w:hAnsi="Arial" w:cs="Arial"/>
        </w:rPr>
        <w:tab/>
        <w:t xml:space="preserve">Create a new Area 'C', and </w:t>
      </w:r>
      <w:proofErr w:type="spellStart"/>
      <w:r w:rsidRPr="005E4ADB">
        <w:rPr>
          <w:rFonts w:ascii="Arial" w:hAnsi="Arial" w:cs="Arial"/>
        </w:rPr>
        <w:t>redesignate</w:t>
      </w:r>
      <w:proofErr w:type="spellEnd"/>
      <w:r w:rsidRPr="005E4ADB">
        <w:rPr>
          <w:rFonts w:ascii="Arial" w:hAnsi="Arial" w:cs="Arial"/>
        </w:rPr>
        <w:t xml:space="preserve"> the area from </w:t>
      </w:r>
      <w:r w:rsidRPr="005E4ADB">
        <w:rPr>
          <w:rFonts w:ascii="Arial" w:hAnsi="Arial" w:cs="Arial"/>
          <w:i/>
        </w:rPr>
        <w:t>Employment Areas</w:t>
      </w:r>
      <w:r w:rsidRPr="005E4ADB">
        <w:rPr>
          <w:rFonts w:ascii="Arial" w:hAnsi="Arial" w:cs="Arial"/>
        </w:rPr>
        <w:t xml:space="preserve"> to </w:t>
      </w:r>
      <w:r w:rsidRPr="005E4ADB">
        <w:rPr>
          <w:rFonts w:ascii="Arial" w:hAnsi="Arial" w:cs="Arial"/>
          <w:i/>
        </w:rPr>
        <w:t xml:space="preserve">Parks and Open Space Areas - Parks </w:t>
      </w:r>
      <w:r w:rsidRPr="005E4ADB">
        <w:rPr>
          <w:rFonts w:ascii="Arial" w:hAnsi="Arial" w:cs="Arial"/>
        </w:rPr>
        <w:t xml:space="preserve">for the provision of a public park with frontage on the two public streets and in a manner that links to the existing </w:t>
      </w:r>
      <w:proofErr w:type="spellStart"/>
      <w:r w:rsidRPr="005E4ADB">
        <w:rPr>
          <w:rFonts w:ascii="Arial" w:hAnsi="Arial" w:cs="Arial"/>
        </w:rPr>
        <w:t>Keele-Mulock</w:t>
      </w:r>
      <w:proofErr w:type="spellEnd"/>
      <w:r w:rsidRPr="005E4ADB">
        <w:rPr>
          <w:rFonts w:ascii="Arial" w:hAnsi="Arial" w:cs="Arial"/>
        </w:rPr>
        <w:t xml:space="preserve"> parkette to the west; and,</w:t>
      </w:r>
    </w:p>
    <w:p w14:paraId="5F02005D" w14:textId="01CA6BC8" w:rsidR="008F16F1" w:rsidRPr="002A50EA" w:rsidRDefault="008F16F1" w:rsidP="005E4ADB">
      <w:pPr>
        <w:spacing w:beforeLines="150" w:before="360" w:afterLines="150" w:after="360" w:line="360" w:lineRule="auto"/>
        <w:ind w:left="1439" w:hanging="730"/>
      </w:pPr>
      <w:r w:rsidRPr="005E4ADB">
        <w:rPr>
          <w:rFonts w:ascii="Arial" w:hAnsi="Arial" w:cs="Arial"/>
        </w:rPr>
        <w:t>h)</w:t>
      </w:r>
      <w:r w:rsidRPr="005E4ADB">
        <w:rPr>
          <w:rFonts w:ascii="Arial" w:hAnsi="Arial" w:cs="Arial"/>
        </w:rPr>
        <w:tab/>
        <w:t>Replace the building standards and requirements for a "Holding" by</w:t>
      </w:r>
      <w:r w:rsidR="008C35AA" w:rsidRPr="005E4ADB">
        <w:rPr>
          <w:rFonts w:ascii="Arial" w:hAnsi="Arial" w:cs="Arial"/>
        </w:rPr>
        <w:t>-</w:t>
      </w:r>
      <w:r w:rsidRPr="005E4ADB">
        <w:rPr>
          <w:rFonts w:ascii="Arial" w:hAnsi="Arial" w:cs="Arial"/>
        </w:rPr>
        <w:t xml:space="preserve">law that had been proposed in OPA 231 SASP 447 with policies that more clearly articulate the studies and process that will be used to determine permitted building heights, envelope, and uses. </w:t>
      </w:r>
    </w:p>
    <w:p w14:paraId="22EFAF52" w14:textId="6025A1DF" w:rsidR="008F16F1" w:rsidRDefault="005274EB" w:rsidP="00ED00FC">
      <w:pPr>
        <w:pStyle w:val="ListParagraph"/>
      </w:pPr>
      <w:r w:rsidRPr="008F16F1">
        <w:t xml:space="preserve">The planning affidavit of Christina </w:t>
      </w:r>
      <w:proofErr w:type="spellStart"/>
      <w:r w:rsidRPr="008F16F1">
        <w:t>Heydorn</w:t>
      </w:r>
      <w:proofErr w:type="spellEnd"/>
      <w:r w:rsidRPr="008F16F1">
        <w:t>, Tab 2 of the motion materials for this site, states that:</w:t>
      </w:r>
    </w:p>
    <w:p w14:paraId="40343A92" w14:textId="77777777" w:rsidR="008F16F1" w:rsidRPr="005E4ADB" w:rsidRDefault="008F16F1" w:rsidP="005E4ADB">
      <w:pPr>
        <w:spacing w:beforeLines="150" w:before="360" w:afterLines="150" w:after="360" w:line="360" w:lineRule="auto"/>
        <w:ind w:left="1440" w:hanging="720"/>
        <w:rPr>
          <w:rFonts w:ascii="Arial" w:hAnsi="Arial" w:cs="Arial"/>
        </w:rPr>
      </w:pPr>
      <w:r w:rsidRPr="005E4ADB">
        <w:rPr>
          <w:rFonts w:ascii="Arial" w:hAnsi="Arial" w:cs="Arial"/>
        </w:rPr>
        <w:t>i)</w:t>
      </w:r>
      <w:r w:rsidRPr="005E4ADB">
        <w:rPr>
          <w:rFonts w:ascii="Arial" w:hAnsi="Arial" w:cs="Arial"/>
        </w:rPr>
        <w:tab/>
        <w:t>The proposed modifications to</w:t>
      </w:r>
      <w:r w:rsidRPr="005E4ADB">
        <w:rPr>
          <w:rFonts w:ascii="Arial" w:hAnsi="Arial" w:cs="Arial"/>
          <w:lang w:val="en-CA"/>
        </w:rPr>
        <w:t xml:space="preserve"> </w:t>
      </w:r>
      <w:r w:rsidRPr="005E4ADB">
        <w:rPr>
          <w:rFonts w:ascii="Arial" w:hAnsi="Arial" w:cs="Arial"/>
        </w:rPr>
        <w:t>OPA 231 represents good planning as they maintain the opportunity to increase residential and employment densities on the Lands to support transit, and provide for a mix of residential, commercial, and community facilities where appropriate.</w:t>
      </w:r>
    </w:p>
    <w:p w14:paraId="2EB7CC94" w14:textId="77777777" w:rsidR="008F16F1" w:rsidRPr="005E4ADB" w:rsidRDefault="008F16F1" w:rsidP="005E4ADB">
      <w:pPr>
        <w:spacing w:beforeLines="150" w:before="360" w:afterLines="150" w:after="360" w:line="360" w:lineRule="auto"/>
        <w:ind w:left="1440" w:hanging="720"/>
        <w:rPr>
          <w:rFonts w:ascii="Arial" w:hAnsi="Arial" w:cs="Arial"/>
        </w:rPr>
      </w:pPr>
      <w:r w:rsidRPr="005E4ADB">
        <w:rPr>
          <w:rFonts w:ascii="Arial" w:hAnsi="Arial" w:cs="Arial"/>
        </w:rPr>
        <w:t>ii)</w:t>
      </w:r>
      <w:r w:rsidRPr="005E4ADB">
        <w:rPr>
          <w:rFonts w:ascii="Arial" w:hAnsi="Arial" w:cs="Arial"/>
        </w:rPr>
        <w:tab/>
        <w:t xml:space="preserve">A portion of the lands would be retained for non-residential space. A minimum of 4,000 square </w:t>
      </w:r>
      <w:proofErr w:type="spellStart"/>
      <w:r w:rsidRPr="005E4ADB">
        <w:rPr>
          <w:rFonts w:ascii="Arial" w:hAnsi="Arial" w:cs="Arial"/>
        </w:rPr>
        <w:t>metres</w:t>
      </w:r>
      <w:proofErr w:type="spellEnd"/>
      <w:r w:rsidRPr="005E4ADB">
        <w:rPr>
          <w:rFonts w:ascii="Arial" w:hAnsi="Arial" w:cs="Arial"/>
        </w:rPr>
        <w:t xml:space="preserve"> of office/commercial space will be constructed prior to </w:t>
      </w:r>
      <w:r w:rsidRPr="005E4ADB">
        <w:rPr>
          <w:rFonts w:ascii="Arial" w:hAnsi="Arial" w:cs="Arial"/>
        </w:rPr>
        <w:lastRenderedPageBreak/>
        <w:t>or concurrent with proposed residential uses and in a form that will mitigate potential land use conflicts.</w:t>
      </w:r>
    </w:p>
    <w:p w14:paraId="5C3025ED" w14:textId="77777777" w:rsidR="008F16F1" w:rsidRPr="005E4ADB" w:rsidRDefault="008F16F1" w:rsidP="005E4ADB">
      <w:pPr>
        <w:spacing w:beforeLines="150" w:before="360" w:afterLines="150" w:after="360" w:line="360" w:lineRule="auto"/>
        <w:ind w:left="720"/>
        <w:rPr>
          <w:rFonts w:ascii="Arial" w:hAnsi="Arial" w:cs="Arial"/>
        </w:rPr>
      </w:pPr>
      <w:r w:rsidRPr="005E4ADB">
        <w:rPr>
          <w:rFonts w:ascii="Arial" w:hAnsi="Arial" w:cs="Arial"/>
        </w:rPr>
        <w:t>iii)</w:t>
      </w:r>
      <w:r w:rsidRPr="005E4ADB">
        <w:rPr>
          <w:rFonts w:ascii="Arial" w:hAnsi="Arial" w:cs="Arial"/>
        </w:rPr>
        <w:tab/>
        <w:t xml:space="preserve">A portion of the lands would be used for a new public park. </w:t>
      </w:r>
    </w:p>
    <w:p w14:paraId="3E2BDEF9" w14:textId="77777777" w:rsidR="008F16F1" w:rsidRPr="005E4ADB" w:rsidRDefault="008F16F1" w:rsidP="005E4ADB">
      <w:pPr>
        <w:spacing w:beforeLines="150" w:before="360" w:afterLines="150" w:after="360" w:line="360" w:lineRule="auto"/>
        <w:ind w:left="1440" w:hanging="720"/>
        <w:rPr>
          <w:rFonts w:ascii="Arial" w:hAnsi="Arial" w:cs="Arial"/>
        </w:rPr>
      </w:pPr>
      <w:r w:rsidRPr="005E4ADB">
        <w:rPr>
          <w:rFonts w:ascii="Arial" w:hAnsi="Arial" w:cs="Arial"/>
        </w:rPr>
        <w:t>iv)</w:t>
      </w:r>
      <w:r w:rsidRPr="005E4ADB">
        <w:rPr>
          <w:rFonts w:ascii="Arial" w:hAnsi="Arial" w:cs="Arial"/>
        </w:rPr>
        <w:tab/>
        <w:t xml:space="preserve">The proposed modifications clarify and strengthen the compatibility and mitigation policies by describing the studies and process necessary to determine appropriate building height, envelope and use. </w:t>
      </w:r>
    </w:p>
    <w:p w14:paraId="555E3600" w14:textId="62F5F2D5" w:rsidR="008C35AA" w:rsidRDefault="005274EB" w:rsidP="00ED00FC">
      <w:pPr>
        <w:pStyle w:val="ListParagraph"/>
      </w:pPr>
      <w:r w:rsidRPr="008F16F1">
        <w:t xml:space="preserve">Ms. </w:t>
      </w:r>
      <w:proofErr w:type="spellStart"/>
      <w:r w:rsidRPr="008F16F1">
        <w:t>Heydorn’s</w:t>
      </w:r>
      <w:proofErr w:type="spellEnd"/>
      <w:r w:rsidRPr="008F16F1">
        <w:t xml:space="preserve"> opinion is that the modification to convert the designations and to modify SASP 447 represents good planning, conforms to the Growth Plan </w:t>
      </w:r>
      <w:r w:rsidR="008C35AA">
        <w:t xml:space="preserve">2006 </w:t>
      </w:r>
      <w:proofErr w:type="gramStart"/>
      <w:r w:rsidRPr="008F16F1">
        <w:t>and also</w:t>
      </w:r>
      <w:proofErr w:type="gramEnd"/>
      <w:r w:rsidRPr="008F16F1">
        <w:t xml:space="preserve"> to the Growth Plan</w:t>
      </w:r>
      <w:r w:rsidR="008C35AA">
        <w:t xml:space="preserve"> 2020</w:t>
      </w:r>
      <w:r w:rsidRPr="008F16F1">
        <w:t xml:space="preserve">, is consistent with the PPS </w:t>
      </w:r>
      <w:r w:rsidR="00B52830">
        <w:t>2020</w:t>
      </w:r>
      <w:r w:rsidR="005E4ADB">
        <w:t xml:space="preserve"> </w:t>
      </w:r>
      <w:r w:rsidRPr="008F16F1">
        <w:t>and conforms to the O</w:t>
      </w:r>
      <w:r w:rsidR="008C35AA">
        <w:t>P</w:t>
      </w:r>
      <w:r w:rsidRPr="008F16F1">
        <w:t xml:space="preserve">.  </w:t>
      </w:r>
    </w:p>
    <w:p w14:paraId="70C10FF7" w14:textId="6934437E" w:rsidR="008C35AA" w:rsidRDefault="005274EB" w:rsidP="00ED00FC">
      <w:pPr>
        <w:pStyle w:val="ListParagraph"/>
      </w:pPr>
      <w:r w:rsidRPr="008C35AA">
        <w:t>The Tribunal has read her affidavit and the supporting documents, agrees with her opinion, and approves these modifications</w:t>
      </w:r>
      <w:r w:rsidR="009A648B">
        <w:t xml:space="preserve"> which are appended as Attachment 1 to this Decision</w:t>
      </w:r>
      <w:r w:rsidRPr="008C35AA">
        <w:t>.</w:t>
      </w:r>
    </w:p>
    <w:p w14:paraId="389F8E35" w14:textId="150E28DE" w:rsidR="005274EB" w:rsidRPr="005E4ADB" w:rsidRDefault="005274EB" w:rsidP="00E33D72">
      <w:pPr>
        <w:rPr>
          <w:rFonts w:ascii="Arial" w:hAnsi="Arial" w:cs="Arial"/>
          <w:b/>
          <w:bCs/>
        </w:rPr>
      </w:pPr>
      <w:r w:rsidRPr="005E4ADB">
        <w:rPr>
          <w:rFonts w:ascii="Arial" w:hAnsi="Arial" w:cs="Arial"/>
          <w:b/>
          <w:bCs/>
        </w:rPr>
        <w:t>Downsview Secondary Plan Lands – Appeal 143</w:t>
      </w:r>
    </w:p>
    <w:p w14:paraId="5C1F6211" w14:textId="08B9B07D"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City seeks an order approving the settlement of Appeal No. 134 by way of the approval of the proposed land use designation changes and SASP 596, and by adding them to Chapter 7, Site and Area Specific Policies of the Official Plan.</w:t>
      </w:r>
    </w:p>
    <w:p w14:paraId="3B0205B6" w14:textId="77777777"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 xml:space="preserve">On July 28, 2014, Parc Downsview Park Inc. and Canada Lands Company CLC Inc. filed an appeal to OPA 231 respecting the </w:t>
      </w:r>
      <w:r w:rsidRPr="002A50EA">
        <w:rPr>
          <w:i/>
          <w:iCs/>
          <w:sz w:val="24"/>
          <w:szCs w:val="24"/>
        </w:rPr>
        <w:t>Core Employment Areas</w:t>
      </w:r>
      <w:r w:rsidRPr="002A50EA">
        <w:rPr>
          <w:sz w:val="24"/>
          <w:szCs w:val="24"/>
        </w:rPr>
        <w:t xml:space="preserve"> designation on the subject Lands.</w:t>
      </w:r>
    </w:p>
    <w:p w14:paraId="57A1E14C" w14:textId="4AF48B1E"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Lands are approximately 307 hectares (579 acres) in area, and are located west of Allen Road, south of Sheppard Avenue West, east of the GO Transit Barrie railway line and north of Wilson Avenue and Hanover Road. Three Toronto Transit Commission (</w:t>
      </w:r>
      <w:r w:rsidR="009A648B">
        <w:rPr>
          <w:sz w:val="24"/>
          <w:szCs w:val="24"/>
        </w:rPr>
        <w:t>“</w:t>
      </w:r>
      <w:r w:rsidRPr="002A50EA">
        <w:rPr>
          <w:sz w:val="24"/>
          <w:szCs w:val="24"/>
        </w:rPr>
        <w:t>TTC</w:t>
      </w:r>
      <w:r w:rsidR="009A648B">
        <w:rPr>
          <w:sz w:val="24"/>
          <w:szCs w:val="24"/>
        </w:rPr>
        <w:t>”</w:t>
      </w:r>
      <w:r w:rsidRPr="002A50EA">
        <w:rPr>
          <w:sz w:val="24"/>
          <w:szCs w:val="24"/>
        </w:rPr>
        <w:t xml:space="preserve">) subway stations - Wilson, Sheppard West and Downsview Park - and the Downsview Park </w:t>
      </w:r>
      <w:r w:rsidRPr="002A50EA">
        <w:rPr>
          <w:sz w:val="24"/>
          <w:szCs w:val="24"/>
        </w:rPr>
        <w:lastRenderedPageBreak/>
        <w:t>GO Station are located along the east and north peripheries of the Subject Lands. Highway 401 is less than 500 m</w:t>
      </w:r>
      <w:r w:rsidR="00B52830">
        <w:rPr>
          <w:sz w:val="24"/>
          <w:szCs w:val="24"/>
        </w:rPr>
        <w:t>etres</w:t>
      </w:r>
      <w:r w:rsidRPr="002A50EA">
        <w:rPr>
          <w:sz w:val="24"/>
          <w:szCs w:val="24"/>
        </w:rPr>
        <w:t xml:space="preserve"> from the south border of the Lands.</w:t>
      </w:r>
    </w:p>
    <w:p w14:paraId="784CF3B4" w14:textId="27BC7302"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Lands include the Downsview Airport and the Bombardier Aerospace campus (approximately 150 hectares/370 acres), which are owned by the Public Sector Pension Investment Board (</w:t>
      </w:r>
      <w:r w:rsidR="00B52830">
        <w:rPr>
          <w:sz w:val="24"/>
          <w:szCs w:val="24"/>
        </w:rPr>
        <w:t>“</w:t>
      </w:r>
      <w:r w:rsidRPr="002A50EA">
        <w:rPr>
          <w:sz w:val="24"/>
          <w:szCs w:val="24"/>
        </w:rPr>
        <w:t>PSP</w:t>
      </w:r>
      <w:r w:rsidR="00B52830">
        <w:rPr>
          <w:sz w:val="24"/>
          <w:szCs w:val="24"/>
        </w:rPr>
        <w:t>”</w:t>
      </w:r>
      <w:r w:rsidRPr="002A50EA">
        <w:rPr>
          <w:sz w:val="24"/>
          <w:szCs w:val="24"/>
        </w:rPr>
        <w:t>).</w:t>
      </w:r>
    </w:p>
    <w:p w14:paraId="3B2E2B17" w14:textId="6DFE5998"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Downsview Area Secondary Plan (</w:t>
      </w:r>
      <w:r w:rsidR="009A648B">
        <w:rPr>
          <w:sz w:val="24"/>
          <w:szCs w:val="24"/>
        </w:rPr>
        <w:t>“</w:t>
      </w:r>
      <w:r w:rsidRPr="002A50EA">
        <w:rPr>
          <w:sz w:val="24"/>
          <w:szCs w:val="24"/>
        </w:rPr>
        <w:t>Secondary Plan</w:t>
      </w:r>
      <w:r w:rsidR="009A648B">
        <w:rPr>
          <w:sz w:val="24"/>
          <w:szCs w:val="24"/>
        </w:rPr>
        <w:t>”</w:t>
      </w:r>
      <w:r w:rsidRPr="002A50EA">
        <w:rPr>
          <w:sz w:val="24"/>
          <w:szCs w:val="24"/>
        </w:rPr>
        <w:t>) was approved by the O</w:t>
      </w:r>
      <w:r w:rsidR="00B52830">
        <w:rPr>
          <w:sz w:val="24"/>
          <w:szCs w:val="24"/>
        </w:rPr>
        <w:t>MB</w:t>
      </w:r>
      <w:r w:rsidRPr="002A50EA">
        <w:rPr>
          <w:sz w:val="24"/>
          <w:szCs w:val="24"/>
        </w:rPr>
        <w:t xml:space="preserve"> in August 2011 and includes </w:t>
      </w:r>
      <w:proofErr w:type="gramStart"/>
      <w:r w:rsidRPr="002A50EA">
        <w:rPr>
          <w:sz w:val="24"/>
          <w:szCs w:val="24"/>
        </w:rPr>
        <w:t>all of</w:t>
      </w:r>
      <w:proofErr w:type="gramEnd"/>
      <w:r w:rsidRPr="002A50EA">
        <w:rPr>
          <w:sz w:val="24"/>
          <w:szCs w:val="24"/>
        </w:rPr>
        <w:t xml:space="preserve"> the Lands, as well as additional lands designated </w:t>
      </w:r>
      <w:r w:rsidRPr="002A50EA">
        <w:rPr>
          <w:i/>
          <w:sz w:val="24"/>
          <w:szCs w:val="24"/>
        </w:rPr>
        <w:t>Neighbourhoods</w:t>
      </w:r>
      <w:r w:rsidRPr="002A50EA">
        <w:rPr>
          <w:sz w:val="24"/>
          <w:szCs w:val="24"/>
        </w:rPr>
        <w:t xml:space="preserve">, </w:t>
      </w:r>
      <w:r w:rsidRPr="002A50EA">
        <w:rPr>
          <w:i/>
          <w:sz w:val="24"/>
          <w:szCs w:val="24"/>
        </w:rPr>
        <w:t>Apartment Neighbourhoods</w:t>
      </w:r>
      <w:r w:rsidRPr="002A50EA">
        <w:rPr>
          <w:sz w:val="24"/>
          <w:szCs w:val="24"/>
        </w:rPr>
        <w:t xml:space="preserve">, </w:t>
      </w:r>
      <w:r w:rsidRPr="002A50EA">
        <w:rPr>
          <w:i/>
          <w:sz w:val="24"/>
          <w:szCs w:val="24"/>
        </w:rPr>
        <w:t>Mixed Use Areas</w:t>
      </w:r>
      <w:r w:rsidRPr="002A50EA">
        <w:rPr>
          <w:sz w:val="24"/>
          <w:szCs w:val="24"/>
        </w:rPr>
        <w:t xml:space="preserve">, </w:t>
      </w:r>
      <w:r w:rsidRPr="002A50EA">
        <w:rPr>
          <w:i/>
          <w:sz w:val="24"/>
          <w:szCs w:val="24"/>
        </w:rPr>
        <w:t>Parks</w:t>
      </w:r>
      <w:r w:rsidRPr="002A50EA">
        <w:rPr>
          <w:sz w:val="24"/>
          <w:szCs w:val="24"/>
        </w:rPr>
        <w:t xml:space="preserve"> and </w:t>
      </w:r>
      <w:r w:rsidRPr="002A50EA">
        <w:rPr>
          <w:i/>
          <w:sz w:val="24"/>
          <w:szCs w:val="24"/>
        </w:rPr>
        <w:t>Natural Areas</w:t>
      </w:r>
      <w:r w:rsidRPr="002A50EA">
        <w:rPr>
          <w:sz w:val="24"/>
          <w:szCs w:val="24"/>
        </w:rPr>
        <w:t xml:space="preserve">. The subject Lands are designated </w:t>
      </w:r>
      <w:r w:rsidRPr="002A50EA">
        <w:rPr>
          <w:i/>
          <w:sz w:val="24"/>
          <w:szCs w:val="24"/>
        </w:rPr>
        <w:t>Employment Areas</w:t>
      </w:r>
      <w:r w:rsidRPr="002A50EA">
        <w:rPr>
          <w:sz w:val="24"/>
          <w:szCs w:val="24"/>
        </w:rPr>
        <w:t xml:space="preserve"> in the Secondary Plan.</w:t>
      </w:r>
    </w:p>
    <w:p w14:paraId="7537DE01" w14:textId="70F2F245"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 xml:space="preserve">Section 2 of the Secondary Plan states that the </w:t>
      </w:r>
      <w:r w:rsidR="00B52830">
        <w:rPr>
          <w:sz w:val="24"/>
          <w:szCs w:val="24"/>
        </w:rPr>
        <w:t>“</w:t>
      </w:r>
      <w:r w:rsidRPr="002A50EA">
        <w:rPr>
          <w:sz w:val="24"/>
          <w:szCs w:val="24"/>
        </w:rPr>
        <w:t>Secondary Plan promotes an urban character with a focus on providing for an increased scale of development on Avenues, and at and near major transit stations where it does not conflict with Bombardier Aerospace’s flight path requirements</w:t>
      </w:r>
      <w:r w:rsidR="009A648B">
        <w:rPr>
          <w:sz w:val="24"/>
          <w:szCs w:val="24"/>
        </w:rPr>
        <w:t>”</w:t>
      </w:r>
      <w:r w:rsidRPr="002A50EA">
        <w:rPr>
          <w:sz w:val="24"/>
          <w:szCs w:val="24"/>
        </w:rPr>
        <w:t>.</w:t>
      </w:r>
    </w:p>
    <w:p w14:paraId="7B4CC598" w14:textId="51C02111"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Secondary Plan identifies seven districts, including the Bombardier Aerospace, Department of National Defence, and a TTC district. Policy 2.2.1.b of the Secondary Plan states that the uses in this district are intended to remain and that their operations will continue.</w:t>
      </w:r>
    </w:p>
    <w:p w14:paraId="4B455486" w14:textId="77777777"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In 2018, Bombardier Incorporated ("Bombardier") sold the Downsview Airport and Bombardier Aerospace campus to PSP. Bombardier will be vacating their current location, and the Downsview Airport will be decommissioned in 2023.</w:t>
      </w:r>
    </w:p>
    <w:p w14:paraId="3DC87FB5" w14:textId="77777777"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In consideration of both the decommissioning of the Downsview Airport and Appeal No. 134 to OPA 231, City staff prepared a report for Council with confidential attachments that recommended 14 principles for the review of the Downsview Area Secondary Plan ("Principles").</w:t>
      </w:r>
    </w:p>
    <w:p w14:paraId="4FD8133A" w14:textId="418894C6"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lastRenderedPageBreak/>
        <w:t xml:space="preserve">City Council adopted the Principles on June 29, 2020.  Council instructed staff to advance negotiations with the Appellants </w:t>
      </w:r>
      <w:proofErr w:type="gramStart"/>
      <w:r w:rsidRPr="002A50EA">
        <w:rPr>
          <w:sz w:val="24"/>
          <w:szCs w:val="24"/>
        </w:rPr>
        <w:t>in an effort to</w:t>
      </w:r>
      <w:proofErr w:type="gramEnd"/>
      <w:r w:rsidRPr="002A50EA">
        <w:rPr>
          <w:sz w:val="24"/>
          <w:szCs w:val="24"/>
        </w:rPr>
        <w:t xml:space="preserve"> resolve Appeal No. 134 by applying the Principles as a basis for settlement discussions. Staff from Legal Services, City Planning, Economic Development and Culture, and Parks, Forestry and Recreation Divisions advanced settlement discussions with the Appellants </w:t>
      </w:r>
      <w:proofErr w:type="gramStart"/>
      <w:r w:rsidRPr="002A50EA">
        <w:rPr>
          <w:sz w:val="24"/>
          <w:szCs w:val="24"/>
        </w:rPr>
        <w:t>in an effort to</w:t>
      </w:r>
      <w:proofErr w:type="gramEnd"/>
      <w:r w:rsidRPr="002A50EA">
        <w:rPr>
          <w:sz w:val="24"/>
          <w:szCs w:val="24"/>
        </w:rPr>
        <w:t xml:space="preserve"> resolve the appeal.</w:t>
      </w:r>
    </w:p>
    <w:p w14:paraId="2F66750F" w14:textId="2F853E17"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 xml:space="preserve">On January 22, 2021, the Appellants submitted a “with prejudice” settlement offer to the City based on proposed modifications to OPA 231. </w:t>
      </w:r>
    </w:p>
    <w:p w14:paraId="08A583E3" w14:textId="77777777"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Proposed Settlement can be summarized as follows:</w:t>
      </w:r>
    </w:p>
    <w:p w14:paraId="50C16139" w14:textId="0BC4AF85" w:rsidR="005274EB" w:rsidRPr="002A50EA" w:rsidRDefault="00093536" w:rsidP="00093536">
      <w:pPr>
        <w:pStyle w:val="AffidavitParagraphs"/>
        <w:numPr>
          <w:ilvl w:val="0"/>
          <w:numId w:val="0"/>
        </w:numPr>
        <w:spacing w:beforeLines="150" w:before="360" w:afterLines="150" w:after="360"/>
        <w:ind w:left="1440" w:hanging="720"/>
        <w:jc w:val="left"/>
        <w:rPr>
          <w:sz w:val="24"/>
          <w:szCs w:val="24"/>
        </w:rPr>
      </w:pPr>
      <w:r>
        <w:rPr>
          <w:sz w:val="24"/>
          <w:szCs w:val="24"/>
        </w:rPr>
        <w:t>i)</w:t>
      </w:r>
      <w:r>
        <w:rPr>
          <w:sz w:val="24"/>
          <w:szCs w:val="24"/>
        </w:rPr>
        <w:tab/>
      </w:r>
      <w:r w:rsidR="005274EB" w:rsidRPr="002A50EA">
        <w:rPr>
          <w:sz w:val="24"/>
          <w:szCs w:val="24"/>
        </w:rPr>
        <w:t xml:space="preserve">The OP land use designation for the Lands is changed from </w:t>
      </w:r>
      <w:r w:rsidR="005274EB" w:rsidRPr="002A50EA">
        <w:rPr>
          <w:i/>
          <w:sz w:val="24"/>
          <w:szCs w:val="24"/>
        </w:rPr>
        <w:t>Core Employment Areas</w:t>
      </w:r>
      <w:r w:rsidR="005274EB" w:rsidRPr="002A50EA">
        <w:rPr>
          <w:sz w:val="24"/>
          <w:szCs w:val="24"/>
        </w:rPr>
        <w:t xml:space="preserve"> to </w:t>
      </w:r>
      <w:r w:rsidR="005274EB" w:rsidRPr="002A50EA">
        <w:rPr>
          <w:i/>
          <w:sz w:val="24"/>
          <w:szCs w:val="24"/>
        </w:rPr>
        <w:t>General Employment Areas</w:t>
      </w:r>
      <w:r w:rsidR="005274EB" w:rsidRPr="002A50EA">
        <w:rPr>
          <w:sz w:val="24"/>
          <w:szCs w:val="24"/>
        </w:rPr>
        <w:t xml:space="preserve"> and </w:t>
      </w:r>
      <w:r w:rsidR="005274EB" w:rsidRPr="002A50EA">
        <w:rPr>
          <w:i/>
          <w:sz w:val="24"/>
          <w:szCs w:val="24"/>
        </w:rPr>
        <w:t xml:space="preserve">Regeneration </w:t>
      </w:r>
      <w:proofErr w:type="gramStart"/>
      <w:r w:rsidR="005274EB" w:rsidRPr="002A50EA">
        <w:rPr>
          <w:i/>
          <w:sz w:val="24"/>
          <w:szCs w:val="24"/>
        </w:rPr>
        <w:t>Areas</w:t>
      </w:r>
      <w:r w:rsidR="005274EB" w:rsidRPr="002A50EA">
        <w:rPr>
          <w:sz w:val="24"/>
          <w:szCs w:val="24"/>
        </w:rPr>
        <w:t>;</w:t>
      </w:r>
      <w:proofErr w:type="gramEnd"/>
    </w:p>
    <w:p w14:paraId="45B8DA7B" w14:textId="77777777" w:rsidR="00093536" w:rsidRDefault="00093536" w:rsidP="00093536">
      <w:pPr>
        <w:pStyle w:val="AffidavitParagraphs"/>
        <w:numPr>
          <w:ilvl w:val="0"/>
          <w:numId w:val="0"/>
        </w:numPr>
        <w:spacing w:beforeLines="150" w:before="360" w:afterLines="150" w:after="360"/>
        <w:ind w:left="1440" w:hanging="720"/>
        <w:jc w:val="left"/>
        <w:rPr>
          <w:sz w:val="24"/>
          <w:szCs w:val="24"/>
        </w:rPr>
      </w:pPr>
      <w:r>
        <w:rPr>
          <w:sz w:val="24"/>
          <w:szCs w:val="24"/>
        </w:rPr>
        <w:t>ii)</w:t>
      </w:r>
      <w:r>
        <w:rPr>
          <w:sz w:val="24"/>
          <w:szCs w:val="24"/>
        </w:rPr>
        <w:tab/>
      </w:r>
      <w:r w:rsidR="005274EB" w:rsidRPr="002A50EA">
        <w:rPr>
          <w:sz w:val="24"/>
          <w:szCs w:val="24"/>
        </w:rPr>
        <w:t xml:space="preserve">Map 2, Urban Structure, of the OP is amended by removing the Employment Areas overlay from the lands that are proposed to be re-designated from </w:t>
      </w:r>
      <w:r w:rsidR="005274EB" w:rsidRPr="002A50EA">
        <w:rPr>
          <w:i/>
          <w:iCs/>
          <w:sz w:val="24"/>
          <w:szCs w:val="24"/>
        </w:rPr>
        <w:t>Core Employment Areas</w:t>
      </w:r>
      <w:r w:rsidR="005274EB" w:rsidRPr="002A50EA">
        <w:rPr>
          <w:sz w:val="24"/>
          <w:szCs w:val="24"/>
        </w:rPr>
        <w:t xml:space="preserve"> to </w:t>
      </w:r>
      <w:r w:rsidR="005274EB" w:rsidRPr="002A50EA">
        <w:rPr>
          <w:i/>
          <w:iCs/>
          <w:sz w:val="24"/>
          <w:szCs w:val="24"/>
        </w:rPr>
        <w:t xml:space="preserve">Regeneration </w:t>
      </w:r>
      <w:proofErr w:type="gramStart"/>
      <w:r w:rsidR="005274EB" w:rsidRPr="002A50EA">
        <w:rPr>
          <w:i/>
          <w:iCs/>
          <w:sz w:val="24"/>
          <w:szCs w:val="24"/>
        </w:rPr>
        <w:t>Areas</w:t>
      </w:r>
      <w:r w:rsidR="005274EB" w:rsidRPr="002A50EA">
        <w:rPr>
          <w:sz w:val="24"/>
          <w:szCs w:val="24"/>
        </w:rPr>
        <w:t>;</w:t>
      </w:r>
      <w:proofErr w:type="gramEnd"/>
    </w:p>
    <w:p w14:paraId="2ACF626B" w14:textId="16DA40C7" w:rsidR="005274EB" w:rsidRPr="002A50EA" w:rsidRDefault="00093536" w:rsidP="00093536">
      <w:pPr>
        <w:pStyle w:val="AffidavitParagraphs"/>
        <w:numPr>
          <w:ilvl w:val="0"/>
          <w:numId w:val="0"/>
        </w:numPr>
        <w:spacing w:beforeLines="150" w:before="360" w:afterLines="150" w:after="360"/>
        <w:ind w:left="1440" w:hanging="720"/>
        <w:jc w:val="left"/>
        <w:rPr>
          <w:sz w:val="24"/>
          <w:szCs w:val="24"/>
        </w:rPr>
      </w:pPr>
      <w:r>
        <w:rPr>
          <w:sz w:val="24"/>
          <w:szCs w:val="24"/>
        </w:rPr>
        <w:t>iii)</w:t>
      </w:r>
      <w:r>
        <w:rPr>
          <w:sz w:val="24"/>
          <w:szCs w:val="24"/>
        </w:rPr>
        <w:tab/>
      </w:r>
      <w:r w:rsidR="005274EB" w:rsidRPr="002A50EA">
        <w:rPr>
          <w:sz w:val="24"/>
          <w:szCs w:val="24"/>
        </w:rPr>
        <w:t xml:space="preserve">A new SASP 596 is added to Chapter 7, Site and Area Specific Policies, of the OP. The proposed SASP 596 establishes both general and specific requirements for the Lands that must be addressed through the preparation of a revised Secondary Plan. This must include minimum amounts of non-residential uses, phasing of non-residential and residential uses, and numerous plans and technical studies in advance of the re-designation of lands from </w:t>
      </w:r>
      <w:r w:rsidR="005274EB" w:rsidRPr="002A50EA">
        <w:rPr>
          <w:i/>
          <w:iCs/>
          <w:sz w:val="24"/>
          <w:szCs w:val="24"/>
        </w:rPr>
        <w:t>Regeneration Areas</w:t>
      </w:r>
      <w:r w:rsidR="005274EB" w:rsidRPr="002A50EA">
        <w:rPr>
          <w:sz w:val="24"/>
          <w:szCs w:val="24"/>
        </w:rPr>
        <w:t xml:space="preserve"> to any other land use. </w:t>
      </w:r>
    </w:p>
    <w:p w14:paraId="16F318BD" w14:textId="77777777" w:rsidR="009A648B" w:rsidRDefault="005274EB" w:rsidP="009A648B">
      <w:pPr>
        <w:pStyle w:val="AffidavitParagraphs"/>
        <w:numPr>
          <w:ilvl w:val="0"/>
          <w:numId w:val="8"/>
        </w:numPr>
        <w:spacing w:beforeLines="150" w:before="360" w:afterLines="150" w:after="360"/>
        <w:ind w:left="0" w:firstLine="0"/>
        <w:jc w:val="left"/>
        <w:rPr>
          <w:sz w:val="24"/>
          <w:szCs w:val="24"/>
        </w:rPr>
      </w:pPr>
      <w:r w:rsidRPr="002A50EA">
        <w:rPr>
          <w:sz w:val="24"/>
          <w:szCs w:val="24"/>
        </w:rPr>
        <w:t xml:space="preserve">Council accepted the Proposed Settlement in February 2021, with modifications. Steven Dixon provided an affidavit in support of this settlement.  Tab 2 of Exhibit 6 states: </w:t>
      </w:r>
    </w:p>
    <w:p w14:paraId="70FF7FC8" w14:textId="025877A8" w:rsidR="005274EB" w:rsidRPr="009A648B" w:rsidRDefault="005274EB" w:rsidP="009A648B">
      <w:pPr>
        <w:pStyle w:val="AffidavitParagraphs"/>
        <w:numPr>
          <w:ilvl w:val="0"/>
          <w:numId w:val="0"/>
        </w:numPr>
        <w:spacing w:before="0" w:afterLines="50" w:after="120" w:line="240" w:lineRule="auto"/>
        <w:ind w:left="1418" w:right="1418"/>
        <w:jc w:val="left"/>
        <w:rPr>
          <w:sz w:val="20"/>
          <w:szCs w:val="20"/>
        </w:rPr>
      </w:pPr>
      <w:r w:rsidRPr="009A648B">
        <w:rPr>
          <w:sz w:val="20"/>
          <w:szCs w:val="20"/>
        </w:rPr>
        <w:t>The proposed modifications to OPA 231 respecting the Subject Lands represent good planning for the following collective reasons:</w:t>
      </w:r>
    </w:p>
    <w:p w14:paraId="14D5FE7D"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lastRenderedPageBreak/>
        <w:t xml:space="preserve">The Proposed Settlement designates approximately 50 hectares, or 22 per cent, of the Subject Lands as </w:t>
      </w:r>
      <w:r w:rsidRPr="009A648B">
        <w:rPr>
          <w:i/>
          <w:iCs/>
          <w:sz w:val="20"/>
          <w:szCs w:val="20"/>
        </w:rPr>
        <w:t>General Employment Areas</w:t>
      </w:r>
      <w:r w:rsidRPr="009A648B">
        <w:rPr>
          <w:sz w:val="20"/>
          <w:szCs w:val="20"/>
        </w:rPr>
        <w:t xml:space="preserve">. The remainder of the lands are designated </w:t>
      </w:r>
      <w:r w:rsidRPr="009A648B">
        <w:rPr>
          <w:i/>
          <w:iCs/>
          <w:sz w:val="20"/>
          <w:szCs w:val="20"/>
        </w:rPr>
        <w:t>Regeneration Areas</w:t>
      </w:r>
      <w:r w:rsidRPr="009A648B">
        <w:rPr>
          <w:sz w:val="20"/>
          <w:szCs w:val="20"/>
        </w:rPr>
        <w:t>.</w:t>
      </w:r>
    </w:p>
    <w:p w14:paraId="7090CB5D"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 xml:space="preserve">The Official Plan states that the </w:t>
      </w:r>
      <w:r w:rsidRPr="009A648B">
        <w:rPr>
          <w:i/>
          <w:iCs/>
          <w:sz w:val="20"/>
          <w:szCs w:val="20"/>
        </w:rPr>
        <w:t>Regeneration Areas</w:t>
      </w:r>
      <w:r w:rsidRPr="009A648B">
        <w:rPr>
          <w:sz w:val="20"/>
          <w:szCs w:val="20"/>
        </w:rPr>
        <w:t xml:space="preserve"> designation "is applied to areas with significant vacant lands and/or buildings and in need of revitalization as a means of fostering growth and physical change." With the decommissioning of the Downsview Airport in 2023, a large area of land will be vacant </w:t>
      </w:r>
      <w:proofErr w:type="gramStart"/>
      <w:r w:rsidRPr="009A648B">
        <w:rPr>
          <w:sz w:val="20"/>
          <w:szCs w:val="20"/>
        </w:rPr>
        <w:t>in close proximity to</w:t>
      </w:r>
      <w:proofErr w:type="gramEnd"/>
      <w:r w:rsidRPr="009A648B">
        <w:rPr>
          <w:sz w:val="20"/>
          <w:szCs w:val="20"/>
        </w:rPr>
        <w:t xml:space="preserve"> three TTC subway stations and one GO Transit station.</w:t>
      </w:r>
    </w:p>
    <w:p w14:paraId="7DD69356"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 xml:space="preserve">Official Plan Policy 4.7.2 states that development should not proceed in </w:t>
      </w:r>
      <w:r w:rsidRPr="009A648B">
        <w:rPr>
          <w:i/>
          <w:iCs/>
          <w:sz w:val="20"/>
          <w:szCs w:val="20"/>
        </w:rPr>
        <w:t>Regeneration Areas</w:t>
      </w:r>
      <w:r w:rsidRPr="009A648B">
        <w:rPr>
          <w:sz w:val="20"/>
          <w:szCs w:val="20"/>
        </w:rPr>
        <w:t xml:space="preserve"> prior to the approval of a Secondary Plan for each Regeneration Area. The Proposed Settlement introduces a new SASP that requires the review and approval of the Downsview Area Secondary Plan prior to any re-designation of lands or development of non-employment uses.</w:t>
      </w:r>
    </w:p>
    <w:p w14:paraId="2BDF4174"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 xml:space="preserve">SASP 596, as proposed, will permit certain </w:t>
      </w:r>
      <w:r w:rsidRPr="009A648B">
        <w:rPr>
          <w:i/>
          <w:iCs/>
          <w:sz w:val="20"/>
          <w:szCs w:val="20"/>
        </w:rPr>
        <w:t>General Employment Areas</w:t>
      </w:r>
      <w:r w:rsidRPr="009A648B">
        <w:rPr>
          <w:sz w:val="20"/>
          <w:szCs w:val="20"/>
        </w:rPr>
        <w:t xml:space="preserve"> uses in the </w:t>
      </w:r>
      <w:r w:rsidRPr="009A648B">
        <w:rPr>
          <w:i/>
          <w:iCs/>
          <w:sz w:val="20"/>
          <w:szCs w:val="20"/>
        </w:rPr>
        <w:t>Regeneration Areas</w:t>
      </w:r>
      <w:r w:rsidRPr="009A648B">
        <w:rPr>
          <w:sz w:val="20"/>
          <w:szCs w:val="20"/>
        </w:rPr>
        <w:t xml:space="preserve"> designation on the Subject Lands in advance of the Secondary Plan review. This approach effectively maintains the employment function of the lands until a Secondary Plan review is complete. Additional </w:t>
      </w:r>
      <w:r w:rsidRPr="009A648B">
        <w:rPr>
          <w:i/>
          <w:iCs/>
          <w:sz w:val="20"/>
          <w:szCs w:val="20"/>
        </w:rPr>
        <w:t>General Employment Areas</w:t>
      </w:r>
      <w:r w:rsidRPr="009A648B">
        <w:rPr>
          <w:sz w:val="20"/>
          <w:szCs w:val="20"/>
        </w:rPr>
        <w:t xml:space="preserve"> lands may be added through the Secondary Plan review process.</w:t>
      </w:r>
    </w:p>
    <w:p w14:paraId="2EDED8AE"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The Proposed Settlement secures a minimum of 1,114,000 square metres of non-residential gross floor area ("GFA") on the subject lands. This represents an approximate 345 per cent increase from the existing employment GFA (approximately 322,525 square metres) on the Subject Lands.</w:t>
      </w:r>
    </w:p>
    <w:p w14:paraId="362B6760"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The Proposed Settlement prioritizes office, creative industries, scientific research and development, light manufacturing (including high-tech industrial) and processing uses for the minimum non-residential GFA required on the Subject Lands.</w:t>
      </w:r>
    </w:p>
    <w:p w14:paraId="3A299163"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The Proposed Settlement requires that the first 371,500 square metres (approximately one third) of non-residential GFA be developed prior to or concurrent with residential uses at a 1:1 ratio, such that the amount of residential GFA may not exceed the amount of non-residential GFA.</w:t>
      </w:r>
    </w:p>
    <w:p w14:paraId="67BB4FB0"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Subsequent phases of development on the Subject Lands require minimum amounts of non-residential GFA to be built prior to or concurrent with residential development.</w:t>
      </w:r>
    </w:p>
    <w:p w14:paraId="17ED1324" w14:textId="77777777" w:rsidR="005274EB" w:rsidRPr="009A648B" w:rsidRDefault="005274EB" w:rsidP="009A648B">
      <w:pPr>
        <w:pStyle w:val="AffidavitParagraphs"/>
        <w:numPr>
          <w:ilvl w:val="1"/>
          <w:numId w:val="8"/>
        </w:numPr>
        <w:spacing w:before="0" w:afterLines="50" w:after="120" w:line="240" w:lineRule="auto"/>
        <w:ind w:left="1418" w:right="1418" w:firstLine="0"/>
        <w:jc w:val="left"/>
        <w:rPr>
          <w:sz w:val="20"/>
          <w:szCs w:val="20"/>
        </w:rPr>
      </w:pPr>
      <w:r w:rsidRPr="009A648B">
        <w:rPr>
          <w:sz w:val="20"/>
          <w:szCs w:val="20"/>
        </w:rPr>
        <w:t>The Proposed Settlement requires a comprehensive planning and development framework for the Subject Lands that addresses key city building objectives such as creating complete and sustainable communities, intensifying employment and housing opportunities in close proximity to higher-order transit, increasing affordable housing options, providing additional community services and facilities, and increasing the public open space network.</w:t>
      </w:r>
    </w:p>
    <w:p w14:paraId="7D041DBF" w14:textId="6C82DBD7" w:rsidR="005274EB"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 xml:space="preserve">The settlement would result in a complete settlement of Appeal 134 to these proceedings.  In Mr. Dixon’s opinion, the proposed settlement has appropriate regard for matters of provincial interest identified in Section 2 of the </w:t>
      </w:r>
      <w:r w:rsidR="00093536" w:rsidRPr="003041FB">
        <w:rPr>
          <w:i/>
          <w:iCs/>
          <w:sz w:val="24"/>
          <w:szCs w:val="24"/>
        </w:rPr>
        <w:t xml:space="preserve">Planning </w:t>
      </w:r>
      <w:r w:rsidRPr="003041FB">
        <w:rPr>
          <w:i/>
          <w:iCs/>
          <w:sz w:val="24"/>
          <w:szCs w:val="24"/>
        </w:rPr>
        <w:t>Act</w:t>
      </w:r>
      <w:r w:rsidRPr="002A50EA">
        <w:rPr>
          <w:sz w:val="24"/>
          <w:szCs w:val="24"/>
        </w:rPr>
        <w:t xml:space="preserve"> and in particular: section 2 (d),</w:t>
      </w:r>
      <w:r w:rsidR="00093536">
        <w:rPr>
          <w:sz w:val="24"/>
          <w:szCs w:val="24"/>
        </w:rPr>
        <w:t xml:space="preserve"> </w:t>
      </w:r>
      <w:r w:rsidRPr="002A50EA">
        <w:rPr>
          <w:sz w:val="24"/>
          <w:szCs w:val="24"/>
        </w:rPr>
        <w:t xml:space="preserve">2 (h), 2 (i), 2 (j), 2 (k), 2(l), 2 (n), 2 (p), 2 (q), and 2 (r). It is consistent with the </w:t>
      </w:r>
      <w:r w:rsidRPr="002A50EA">
        <w:rPr>
          <w:sz w:val="24"/>
          <w:szCs w:val="24"/>
        </w:rPr>
        <w:lastRenderedPageBreak/>
        <w:t>PPS 2020, and in particular policies: 1.1.1, 1.3.1, 1.4.1, 1.5.1, 1.6.1, 1.6.2 1.6.7, 1.7.1, and 1.8.1, and conforms to the Growth Plan 2006, and in particular policies 2.2.2.1 (d),2.2.2.1 (e)  2.2.2.1 (f) 2.2.2.1 (g), 2.2.2.1 (h), 2.2.5.1, 2.2.5.2 and 2.2.6.2,  and conforms with the intent and purpose of the OP.</w:t>
      </w:r>
    </w:p>
    <w:p w14:paraId="7B81CFDD" w14:textId="6E7A0D31" w:rsidR="00C409F2" w:rsidRPr="002A50EA" w:rsidRDefault="005274EB" w:rsidP="008C35AA">
      <w:pPr>
        <w:pStyle w:val="AffidavitParagraphs"/>
        <w:numPr>
          <w:ilvl w:val="0"/>
          <w:numId w:val="8"/>
        </w:numPr>
        <w:spacing w:beforeLines="150" w:before="360" w:afterLines="150" w:after="360"/>
        <w:ind w:left="0" w:firstLine="0"/>
        <w:jc w:val="left"/>
        <w:rPr>
          <w:sz w:val="24"/>
          <w:szCs w:val="24"/>
        </w:rPr>
      </w:pPr>
      <w:r w:rsidRPr="002A50EA">
        <w:rPr>
          <w:sz w:val="24"/>
          <w:szCs w:val="24"/>
        </w:rPr>
        <w:t>The Tribunal has read Mr. Dixon’s affidavit in Exhibit 6 and agrees with his planning opinion and approves of the modification</w:t>
      </w:r>
      <w:r w:rsidR="009A648B">
        <w:rPr>
          <w:sz w:val="24"/>
          <w:szCs w:val="24"/>
        </w:rPr>
        <w:t xml:space="preserve"> which is appended as Attachment 4 to this Decision</w:t>
      </w:r>
      <w:r w:rsidR="00C409F2" w:rsidRPr="002A50EA">
        <w:rPr>
          <w:sz w:val="24"/>
          <w:szCs w:val="24"/>
        </w:rPr>
        <w:t xml:space="preserve">. </w:t>
      </w:r>
    </w:p>
    <w:p w14:paraId="39201A66" w14:textId="33AB7411" w:rsidR="00935095" w:rsidRPr="00AC548D" w:rsidRDefault="0048609C" w:rsidP="00AC548D">
      <w:pPr>
        <w:pStyle w:val="MemberSignature"/>
      </w:pPr>
      <w:r>
        <w:t>“</w:t>
      </w:r>
      <w:r w:rsidR="005274EB">
        <w:t>G. Burton</w:t>
      </w:r>
      <w:r w:rsidR="00935095" w:rsidRPr="00AC548D">
        <w:t>”</w:t>
      </w:r>
    </w:p>
    <w:p w14:paraId="1FA190DA" w14:textId="77777777" w:rsidR="00935095" w:rsidRPr="004E31D7" w:rsidRDefault="00935095" w:rsidP="004E31D7">
      <w:pPr>
        <w:pStyle w:val="MemberSignature"/>
        <w:ind w:left="0"/>
        <w:jc w:val="both"/>
        <w:rPr>
          <w:i w:val="0"/>
        </w:rPr>
      </w:pPr>
    </w:p>
    <w:p w14:paraId="143EADDA" w14:textId="77777777" w:rsidR="00935095" w:rsidRPr="004E31D7" w:rsidRDefault="00935095" w:rsidP="004E31D7">
      <w:pPr>
        <w:pStyle w:val="MemberSignature"/>
        <w:ind w:left="0"/>
        <w:jc w:val="left"/>
        <w:rPr>
          <w:i w:val="0"/>
        </w:rPr>
      </w:pPr>
    </w:p>
    <w:p w14:paraId="43A02F94" w14:textId="7C6D8C48" w:rsidR="00935095" w:rsidRPr="00AC548D" w:rsidRDefault="005274EB" w:rsidP="00AC548D">
      <w:pPr>
        <w:pStyle w:val="MemberSignatureNameandTitle"/>
      </w:pPr>
      <w:r>
        <w:t>G. BURTON</w:t>
      </w:r>
    </w:p>
    <w:p w14:paraId="734E211F" w14:textId="64E57CF1" w:rsidR="00935095" w:rsidRDefault="00847C0D" w:rsidP="00AC548D">
      <w:pPr>
        <w:pStyle w:val="MemberSignatureNameandTitle"/>
      </w:pPr>
      <w:r>
        <w:t>MEMBER</w:t>
      </w:r>
    </w:p>
    <w:p w14:paraId="52F71586" w14:textId="77777777" w:rsidR="005274EB" w:rsidRDefault="005274EB" w:rsidP="00AC548D">
      <w:pPr>
        <w:pStyle w:val="MemberSignatureNameandTitle"/>
      </w:pPr>
    </w:p>
    <w:p w14:paraId="7F0900F6" w14:textId="1776DB1A" w:rsidR="005274EB" w:rsidRDefault="005274EB" w:rsidP="00AC548D">
      <w:pPr>
        <w:pStyle w:val="MemberSignatureNameandTitle"/>
      </w:pPr>
    </w:p>
    <w:p w14:paraId="45C02021" w14:textId="2F7CE18C" w:rsidR="005274EB" w:rsidRDefault="005274EB" w:rsidP="00AC548D">
      <w:pPr>
        <w:pStyle w:val="MemberSignatureNameandTitle"/>
      </w:pPr>
      <w:r>
        <w:t>“D. S. C</w:t>
      </w:r>
      <w:r>
        <w:rPr>
          <w:caps w:val="0"/>
        </w:rPr>
        <w:t>olbourne</w:t>
      </w:r>
      <w:r>
        <w:t>”</w:t>
      </w:r>
    </w:p>
    <w:p w14:paraId="00D74401" w14:textId="77777777" w:rsidR="005274EB" w:rsidRDefault="005274EB" w:rsidP="00AC548D">
      <w:pPr>
        <w:pStyle w:val="MemberSignatureNameandTitle"/>
      </w:pPr>
    </w:p>
    <w:p w14:paraId="28B6893F" w14:textId="77777777" w:rsidR="005274EB" w:rsidRDefault="005274EB" w:rsidP="00AC548D">
      <w:pPr>
        <w:pStyle w:val="MemberSignatureNameandTitle"/>
      </w:pPr>
    </w:p>
    <w:p w14:paraId="0FA61C8C" w14:textId="5D588A17" w:rsidR="005274EB" w:rsidRDefault="005274EB" w:rsidP="00AC548D">
      <w:pPr>
        <w:pStyle w:val="MemberSignatureNameandTitle"/>
      </w:pPr>
      <w:r>
        <w:t>D.S. COLBOURNE</w:t>
      </w:r>
    </w:p>
    <w:p w14:paraId="1440493B" w14:textId="5B5907B6" w:rsidR="005274EB" w:rsidRDefault="005274EB" w:rsidP="00AC548D">
      <w:pPr>
        <w:pStyle w:val="MemberSignatureNameandTitle"/>
      </w:pPr>
      <w:r>
        <w:t>MEMBER</w:t>
      </w:r>
    </w:p>
    <w:p w14:paraId="0189B527" w14:textId="1AF73917" w:rsidR="009A648B" w:rsidRDefault="009A648B" w:rsidP="00AC548D">
      <w:pPr>
        <w:pStyle w:val="MemberSignatureNameandTitle"/>
      </w:pPr>
    </w:p>
    <w:p w14:paraId="1955E95F" w14:textId="606D2F50" w:rsidR="009A648B" w:rsidRDefault="009A648B" w:rsidP="00AC548D">
      <w:pPr>
        <w:pStyle w:val="MemberSignatureNameandTitle"/>
      </w:pPr>
    </w:p>
    <w:p w14:paraId="57BCF64D" w14:textId="59F8539D" w:rsidR="009A648B" w:rsidRDefault="009A648B" w:rsidP="00AC548D">
      <w:pPr>
        <w:pStyle w:val="MemberSignatureNameandTitle"/>
      </w:pPr>
    </w:p>
    <w:p w14:paraId="26AC98F6" w14:textId="0DBB4DA5" w:rsidR="009A648B" w:rsidRDefault="009A648B" w:rsidP="00AC548D">
      <w:pPr>
        <w:pStyle w:val="MemberSignatureNameandTitle"/>
      </w:pPr>
    </w:p>
    <w:p w14:paraId="659E5AF3" w14:textId="07DDE4AC" w:rsidR="009A648B" w:rsidRDefault="009A648B" w:rsidP="00AC548D">
      <w:pPr>
        <w:pStyle w:val="MemberSignatureNameandTitle"/>
      </w:pPr>
    </w:p>
    <w:p w14:paraId="669A4198" w14:textId="0DAB3FF4" w:rsidR="009A648B" w:rsidRDefault="009A648B" w:rsidP="00AC548D">
      <w:pPr>
        <w:pStyle w:val="MemberSignatureNameandTitle"/>
      </w:pPr>
    </w:p>
    <w:p w14:paraId="7DC11EA5" w14:textId="628FE838" w:rsidR="009A648B" w:rsidRDefault="009A648B" w:rsidP="00AC548D">
      <w:pPr>
        <w:pStyle w:val="MemberSignatureNameandTitle"/>
      </w:pPr>
    </w:p>
    <w:p w14:paraId="45CC8941" w14:textId="4FF66AD5" w:rsidR="009A648B" w:rsidRDefault="009A648B" w:rsidP="00AC548D">
      <w:pPr>
        <w:pStyle w:val="MemberSignatureNameandTitle"/>
      </w:pPr>
    </w:p>
    <w:p w14:paraId="3B6D4233" w14:textId="5522621C" w:rsidR="009A648B" w:rsidRDefault="009A648B" w:rsidP="00AC548D">
      <w:pPr>
        <w:pStyle w:val="MemberSignatureNameandTitle"/>
      </w:pPr>
    </w:p>
    <w:p w14:paraId="231A9DB2" w14:textId="61C70B26" w:rsidR="009A648B" w:rsidRDefault="009A648B" w:rsidP="00AC548D">
      <w:pPr>
        <w:pStyle w:val="MemberSignatureNameandTitle"/>
      </w:pPr>
    </w:p>
    <w:p w14:paraId="2C03AA31" w14:textId="650EBE2F" w:rsidR="009A648B" w:rsidRDefault="009A648B" w:rsidP="00AC548D">
      <w:pPr>
        <w:pStyle w:val="MemberSignatureNameandTitle"/>
      </w:pPr>
    </w:p>
    <w:p w14:paraId="01A310C2" w14:textId="3E4AE408" w:rsidR="009A648B" w:rsidRDefault="009A648B" w:rsidP="00AC548D">
      <w:pPr>
        <w:pStyle w:val="MemberSignatureNameandTitle"/>
      </w:pPr>
    </w:p>
    <w:p w14:paraId="5A1AE34B" w14:textId="39D87E3A" w:rsidR="009A648B" w:rsidRDefault="009A648B" w:rsidP="00AC548D">
      <w:pPr>
        <w:pStyle w:val="MemberSignatureNameandTitle"/>
      </w:pPr>
    </w:p>
    <w:p w14:paraId="53927869" w14:textId="77777777" w:rsidR="009A648B" w:rsidRPr="00AC548D" w:rsidRDefault="009A648B" w:rsidP="00AC548D">
      <w:pPr>
        <w:pStyle w:val="MemberSignatureNameandTitle"/>
      </w:pPr>
    </w:p>
    <w:p w14:paraId="4850AEC0" w14:textId="77777777" w:rsidR="003041FB" w:rsidRDefault="003041FB" w:rsidP="00585347">
      <w:pPr>
        <w:pStyle w:val="AttachmentTextaboveFooter"/>
      </w:pPr>
      <w:bookmarkStart w:id="4" w:name="_Hlk68600850"/>
      <w:bookmarkStart w:id="5" w:name="_Hlk44600017"/>
    </w:p>
    <w:p w14:paraId="23683A96" w14:textId="6AB1F6A9" w:rsidR="00585347" w:rsidRDefault="00585347" w:rsidP="00585347">
      <w:pPr>
        <w:pStyle w:val="AttachmentTextaboveFooter"/>
      </w:pPr>
      <w:r>
        <w:t>If there is an attachment referred to in this document,</w:t>
      </w:r>
    </w:p>
    <w:p w14:paraId="709C4DC1"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375FC6F8" w14:textId="77777777" w:rsidR="00585347" w:rsidRDefault="00585347" w:rsidP="00585347">
      <w:pPr>
        <w:pStyle w:val="Footer"/>
        <w:jc w:val="left"/>
      </w:pPr>
    </w:p>
    <w:bookmarkEnd w:id="4"/>
    <w:p w14:paraId="537BA07E" w14:textId="77777777" w:rsidR="00585347" w:rsidRDefault="00585347" w:rsidP="00585347">
      <w:pPr>
        <w:pStyle w:val="Footer"/>
        <w:rPr>
          <w:b/>
        </w:rPr>
      </w:pPr>
      <w:r>
        <w:rPr>
          <w:b/>
        </w:rPr>
        <w:t>Local Planning Appeal Tribunal</w:t>
      </w:r>
    </w:p>
    <w:p w14:paraId="48C8EFFE" w14:textId="77777777" w:rsidR="00585347" w:rsidRDefault="00585347" w:rsidP="00585347">
      <w:pPr>
        <w:pStyle w:val="Footer"/>
      </w:pPr>
      <w:r>
        <w:t>A constituent tribunal of Ontario Land Tribunals</w:t>
      </w:r>
    </w:p>
    <w:p w14:paraId="5FABC487" w14:textId="77777777" w:rsidR="00585347" w:rsidRDefault="00585347" w:rsidP="00585347">
      <w:pPr>
        <w:pStyle w:val="Footer"/>
      </w:pPr>
      <w:r>
        <w:t xml:space="preserve">Website: </w:t>
      </w:r>
      <w:hyperlink r:id="rId12" w:history="1">
        <w:r>
          <w:rPr>
            <w:rStyle w:val="Hyperlink"/>
            <w:color w:val="auto"/>
          </w:rPr>
          <w:t>www.olt.gov.on.ca</w:t>
        </w:r>
      </w:hyperlink>
      <w:r>
        <w:t xml:space="preserve">   Telephone: 416-212-6349   Toll Free: 1-866-448-2248</w:t>
      </w:r>
      <w:bookmarkEnd w:id="5"/>
    </w:p>
    <w:sectPr w:rsidR="00585347" w:rsidSect="00F3716B">
      <w:headerReference w:type="even" r:id="rId13"/>
      <w:headerReference w:type="default" r:id="rId14"/>
      <w:footerReference w:type="even" r:id="rId15"/>
      <w:footerReference w:type="default" r:id="rId16"/>
      <w:headerReference w:type="first" r:id="rId17"/>
      <w:footerReference w:type="first" r:id="rId18"/>
      <w:pgSz w:w="12240" w:h="15840" w:code="1"/>
      <w:pgMar w:top="1239" w:right="1041"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832B" w14:textId="77777777" w:rsidR="0053255B" w:rsidRDefault="0053255B">
      <w:r>
        <w:separator/>
      </w:r>
    </w:p>
  </w:endnote>
  <w:endnote w:type="continuationSeparator" w:id="0">
    <w:p w14:paraId="26420DFB" w14:textId="77777777" w:rsidR="0053255B" w:rsidRDefault="0053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08D8" w14:textId="77777777" w:rsidR="0053255B" w:rsidRDefault="00532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9B4E" w14:textId="77777777" w:rsidR="0053255B" w:rsidRDefault="00532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1B79" w14:textId="77777777" w:rsidR="0053255B" w:rsidRDefault="0053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993D" w14:textId="77777777" w:rsidR="0053255B" w:rsidRDefault="0053255B">
      <w:r>
        <w:separator/>
      </w:r>
    </w:p>
  </w:footnote>
  <w:footnote w:type="continuationSeparator" w:id="0">
    <w:p w14:paraId="747D3496" w14:textId="77777777" w:rsidR="0053255B" w:rsidRDefault="0053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AE75" w14:textId="77777777" w:rsidR="0053255B" w:rsidRDefault="00532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1D" w14:textId="08C2BA47" w:rsidR="0053255B" w:rsidRDefault="0053255B"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Pr>
        <w:rFonts w:ascii="Arial" w:hAnsi="Arial" w:cs="Arial"/>
        <w:noProof/>
      </w:rPr>
      <w:t>2</w:t>
    </w:r>
    <w:r w:rsidRPr="005E51AF">
      <w:rPr>
        <w:rFonts w:ascii="Arial" w:hAnsi="Arial" w:cs="Arial"/>
        <w:noProof/>
      </w:rPr>
      <w:fldChar w:fldCharType="end"/>
    </w:r>
    <w:r>
      <w:rPr>
        <w:rFonts w:ascii="Arial" w:hAnsi="Arial" w:cs="Arial"/>
        <w:noProof/>
      </w:rPr>
      <w:tab/>
      <w:t>PL140860</w:t>
    </w:r>
  </w:p>
  <w:p w14:paraId="0F17D57A" w14:textId="77777777" w:rsidR="0053255B" w:rsidRDefault="0053255B" w:rsidP="002D2254">
    <w:pPr>
      <w:pStyle w:val="Header"/>
      <w:tabs>
        <w:tab w:val="clear" w:pos="8640"/>
        <w:tab w:val="center" w:pos="4680"/>
        <w:tab w:val="left" w:pos="6804"/>
        <w:tab w:val="right" w:pos="9360"/>
      </w:tabs>
      <w:rPr>
        <w:rFonts w:ascii="Arial" w:hAnsi="Arial" w:cs="Arial"/>
        <w:noProof/>
      </w:rPr>
    </w:pPr>
  </w:p>
  <w:p w14:paraId="20657560" w14:textId="77777777" w:rsidR="0053255B" w:rsidRPr="005E51AF" w:rsidRDefault="0053255B"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39C5" w14:textId="77777777" w:rsidR="0053255B" w:rsidRDefault="00532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D0B"/>
    <w:multiLevelType w:val="hybridMultilevel"/>
    <w:tmpl w:val="D50E0472"/>
    <w:lvl w:ilvl="0" w:tplc="CCE4C5FE">
      <w:start w:val="1"/>
      <w:numFmt w:val="decimal"/>
      <w:pStyle w:val="ListParagraph"/>
      <w:lvlText w:val="[%1]"/>
      <w:lvlJc w:val="left"/>
      <w:pPr>
        <w:ind w:left="786" w:hanging="360"/>
      </w:pPr>
      <w:rPr>
        <w:rFonts w:hint="default"/>
        <w:b w:val="0"/>
        <w:bCs w:val="0"/>
        <w:i w:val="0"/>
        <w:iCs w:val="0"/>
        <w:sz w:val="24"/>
        <w:szCs w:val="24"/>
      </w:rPr>
    </w:lvl>
    <w:lvl w:ilvl="1" w:tplc="61B84EBE">
      <w:start w:val="1"/>
      <w:numFmt w:val="lowerRoman"/>
      <w:lvlText w:val="%2)"/>
      <w:lvlJc w:val="left"/>
      <w:pPr>
        <w:ind w:left="1440" w:hanging="360"/>
      </w:pPr>
      <w:rPr>
        <w:rFonts w:ascii="Arial" w:eastAsia="Times New Roman" w:hAnsi="Arial" w:cs="Arial"/>
      </w:rPr>
    </w:lvl>
    <w:lvl w:ilvl="2" w:tplc="606C81DC">
      <w:start w:val="1"/>
      <w:numFmt w:val="lowerLetter"/>
      <w:lvlText w:val="%3)"/>
      <w:lvlJc w:val="left"/>
      <w:pPr>
        <w:ind w:left="2880" w:hanging="90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7D692A"/>
    <w:multiLevelType w:val="hybridMultilevel"/>
    <w:tmpl w:val="89761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6744C6"/>
    <w:multiLevelType w:val="multilevel"/>
    <w:tmpl w:val="4A728E60"/>
    <w:styleLink w:val="List0"/>
    <w:lvl w:ilvl="0">
      <w:start w:val="1"/>
      <w:numFmt w:val="decimal"/>
      <w:lvlText w:val="%1."/>
      <w:lvlJc w:val="left"/>
      <w:pPr>
        <w:ind w:left="5103" w:firstLine="0"/>
      </w:pPr>
      <w:rPr>
        <w:rFonts w:ascii="Arial" w:eastAsia="Arial" w:hAnsi="Arial" w:cs="Arial"/>
        <w:position w:val="0"/>
      </w:rPr>
    </w:lvl>
    <w:lvl w:ilvl="1">
      <w:start w:val="1"/>
      <w:numFmt w:val="lowerLetter"/>
      <w:lvlText w:val="%2."/>
      <w:lvlJc w:val="left"/>
      <w:pPr>
        <w:ind w:left="5103" w:firstLine="0"/>
      </w:pPr>
      <w:rPr>
        <w:rFonts w:ascii="Arial" w:eastAsia="Arial" w:hAnsi="Arial" w:cs="Arial"/>
        <w:position w:val="0"/>
      </w:rPr>
    </w:lvl>
    <w:lvl w:ilvl="2">
      <w:start w:val="1"/>
      <w:numFmt w:val="lowerRoman"/>
      <w:lvlText w:val="%3."/>
      <w:lvlJc w:val="left"/>
      <w:pPr>
        <w:ind w:left="5103" w:firstLine="0"/>
      </w:pPr>
      <w:rPr>
        <w:rFonts w:ascii="Arial" w:eastAsia="Arial" w:hAnsi="Arial" w:cs="Arial"/>
        <w:position w:val="0"/>
      </w:rPr>
    </w:lvl>
    <w:lvl w:ilvl="3">
      <w:start w:val="1"/>
      <w:numFmt w:val="decimal"/>
      <w:lvlText w:val="%4."/>
      <w:lvlJc w:val="left"/>
      <w:pPr>
        <w:ind w:left="5103" w:firstLine="0"/>
      </w:pPr>
      <w:rPr>
        <w:rFonts w:ascii="Arial" w:eastAsia="Arial" w:hAnsi="Arial" w:cs="Arial"/>
        <w:position w:val="0"/>
      </w:rPr>
    </w:lvl>
    <w:lvl w:ilvl="4">
      <w:start w:val="1"/>
      <w:numFmt w:val="lowerLetter"/>
      <w:lvlText w:val="%5."/>
      <w:lvlJc w:val="left"/>
      <w:pPr>
        <w:ind w:left="5103" w:firstLine="0"/>
      </w:pPr>
      <w:rPr>
        <w:rFonts w:ascii="Arial" w:eastAsia="Arial" w:hAnsi="Arial" w:cs="Arial"/>
        <w:position w:val="0"/>
      </w:rPr>
    </w:lvl>
    <w:lvl w:ilvl="5">
      <w:start w:val="1"/>
      <w:numFmt w:val="lowerRoman"/>
      <w:lvlText w:val="%6."/>
      <w:lvlJc w:val="left"/>
      <w:pPr>
        <w:ind w:left="5103" w:firstLine="0"/>
      </w:pPr>
      <w:rPr>
        <w:rFonts w:ascii="Arial" w:eastAsia="Arial" w:hAnsi="Arial" w:cs="Arial"/>
        <w:position w:val="0"/>
      </w:rPr>
    </w:lvl>
    <w:lvl w:ilvl="6">
      <w:start w:val="1"/>
      <w:numFmt w:val="decimal"/>
      <w:lvlText w:val="%7."/>
      <w:lvlJc w:val="left"/>
      <w:pPr>
        <w:ind w:left="5103" w:firstLine="0"/>
      </w:pPr>
      <w:rPr>
        <w:rFonts w:ascii="Arial" w:eastAsia="Arial" w:hAnsi="Arial" w:cs="Arial"/>
        <w:position w:val="0"/>
      </w:rPr>
    </w:lvl>
    <w:lvl w:ilvl="7">
      <w:start w:val="1"/>
      <w:numFmt w:val="lowerLetter"/>
      <w:lvlText w:val="%8."/>
      <w:lvlJc w:val="left"/>
      <w:pPr>
        <w:ind w:left="5103" w:firstLine="0"/>
      </w:pPr>
      <w:rPr>
        <w:rFonts w:ascii="Arial" w:eastAsia="Arial" w:hAnsi="Arial" w:cs="Arial"/>
        <w:position w:val="0"/>
      </w:rPr>
    </w:lvl>
    <w:lvl w:ilvl="8">
      <w:start w:val="1"/>
      <w:numFmt w:val="lowerRoman"/>
      <w:lvlText w:val="%9."/>
      <w:lvlJc w:val="left"/>
      <w:pPr>
        <w:ind w:left="5103" w:firstLine="0"/>
      </w:pPr>
      <w:rPr>
        <w:rFonts w:ascii="Arial" w:eastAsia="Arial" w:hAnsi="Arial" w:cs="Arial"/>
        <w:position w:val="0"/>
      </w:rPr>
    </w:lvl>
  </w:abstractNum>
  <w:abstractNum w:abstractNumId="4" w15:restartNumberingAfterBreak="0">
    <w:nsid w:val="36300A35"/>
    <w:multiLevelType w:val="hybridMultilevel"/>
    <w:tmpl w:val="5DA265CE"/>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DF56DC2"/>
    <w:multiLevelType w:val="hybridMultilevel"/>
    <w:tmpl w:val="7B40E68C"/>
    <w:lvl w:ilvl="0" w:tplc="C05C1A50">
      <w:start w:val="1"/>
      <w:numFmt w:val="decimal"/>
      <w:pStyle w:val="AffidavitParagraphs"/>
      <w:lvlText w:val="%1."/>
      <w:lvlJc w:val="left"/>
      <w:pPr>
        <w:tabs>
          <w:tab w:val="num" w:pos="502"/>
        </w:tabs>
        <w:ind w:left="502"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7">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6" w15:restartNumberingAfterBreak="0">
    <w:nsid w:val="610C470D"/>
    <w:multiLevelType w:val="multilevel"/>
    <w:tmpl w:val="E4485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4C4BAB"/>
    <w:multiLevelType w:val="hybridMultilevel"/>
    <w:tmpl w:val="35C06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FF814EA"/>
    <w:multiLevelType w:val="multilevel"/>
    <w:tmpl w:val="C1067FA0"/>
    <w:styleLink w:val="List1"/>
    <w:lvl w:ilvl="0">
      <w:start w:val="3"/>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4"/>
  </w:num>
  <w:num w:numId="6">
    <w:abstractNumId w:val="1"/>
  </w:num>
  <w:num w:numId="7">
    <w:abstractNumId w:val="3"/>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lvlOverride w:ilvl="0">
      <w:startOverride w:val="85"/>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70F3"/>
    <w:rsid w:val="00017DFC"/>
    <w:rsid w:val="00022EAD"/>
    <w:rsid w:val="00031C6E"/>
    <w:rsid w:val="0003783B"/>
    <w:rsid w:val="000424A6"/>
    <w:rsid w:val="00052084"/>
    <w:rsid w:val="00054A9F"/>
    <w:rsid w:val="00056F73"/>
    <w:rsid w:val="0006526A"/>
    <w:rsid w:val="00075342"/>
    <w:rsid w:val="00076196"/>
    <w:rsid w:val="0008105B"/>
    <w:rsid w:val="00081B93"/>
    <w:rsid w:val="00093536"/>
    <w:rsid w:val="00094E62"/>
    <w:rsid w:val="000A5BAE"/>
    <w:rsid w:val="000B39F8"/>
    <w:rsid w:val="000B4BFB"/>
    <w:rsid w:val="000C00A2"/>
    <w:rsid w:val="000C21BB"/>
    <w:rsid w:val="000C25F1"/>
    <w:rsid w:val="000C480C"/>
    <w:rsid w:val="000C7608"/>
    <w:rsid w:val="000D09B3"/>
    <w:rsid w:val="000D6F9D"/>
    <w:rsid w:val="000D7BBD"/>
    <w:rsid w:val="000F1CE9"/>
    <w:rsid w:val="000F6357"/>
    <w:rsid w:val="000F7957"/>
    <w:rsid w:val="00100AF6"/>
    <w:rsid w:val="0010191A"/>
    <w:rsid w:val="00104001"/>
    <w:rsid w:val="00110612"/>
    <w:rsid w:val="001220E4"/>
    <w:rsid w:val="0013161B"/>
    <w:rsid w:val="00131984"/>
    <w:rsid w:val="00137797"/>
    <w:rsid w:val="00146ED9"/>
    <w:rsid w:val="00150616"/>
    <w:rsid w:val="00150852"/>
    <w:rsid w:val="001551CC"/>
    <w:rsid w:val="00155D0A"/>
    <w:rsid w:val="001562BE"/>
    <w:rsid w:val="001617E7"/>
    <w:rsid w:val="001634FB"/>
    <w:rsid w:val="001656BC"/>
    <w:rsid w:val="001702F3"/>
    <w:rsid w:val="00172CE7"/>
    <w:rsid w:val="001765FB"/>
    <w:rsid w:val="001808B6"/>
    <w:rsid w:val="00182765"/>
    <w:rsid w:val="00182B0E"/>
    <w:rsid w:val="00182F19"/>
    <w:rsid w:val="00185E46"/>
    <w:rsid w:val="00190DF3"/>
    <w:rsid w:val="001A3C06"/>
    <w:rsid w:val="001B5CE4"/>
    <w:rsid w:val="001D67CE"/>
    <w:rsid w:val="001D6F93"/>
    <w:rsid w:val="001E764F"/>
    <w:rsid w:val="001F179F"/>
    <w:rsid w:val="0020298E"/>
    <w:rsid w:val="00205167"/>
    <w:rsid w:val="00211F03"/>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366"/>
    <w:rsid w:val="00293E85"/>
    <w:rsid w:val="002959D2"/>
    <w:rsid w:val="002A1132"/>
    <w:rsid w:val="002A393B"/>
    <w:rsid w:val="002A50EA"/>
    <w:rsid w:val="002B11FD"/>
    <w:rsid w:val="002B47E9"/>
    <w:rsid w:val="002C00E1"/>
    <w:rsid w:val="002C7CBA"/>
    <w:rsid w:val="002D2254"/>
    <w:rsid w:val="002D23D0"/>
    <w:rsid w:val="002D38E7"/>
    <w:rsid w:val="002E6D64"/>
    <w:rsid w:val="002E7C9F"/>
    <w:rsid w:val="002F12B6"/>
    <w:rsid w:val="002F37EF"/>
    <w:rsid w:val="002F4E11"/>
    <w:rsid w:val="002F73E5"/>
    <w:rsid w:val="003026FC"/>
    <w:rsid w:val="003041FB"/>
    <w:rsid w:val="003051EA"/>
    <w:rsid w:val="00307DEE"/>
    <w:rsid w:val="00316394"/>
    <w:rsid w:val="00323369"/>
    <w:rsid w:val="00324440"/>
    <w:rsid w:val="003274CD"/>
    <w:rsid w:val="00340879"/>
    <w:rsid w:val="003437B3"/>
    <w:rsid w:val="00345480"/>
    <w:rsid w:val="003506EA"/>
    <w:rsid w:val="00350E1B"/>
    <w:rsid w:val="00354C2E"/>
    <w:rsid w:val="00361830"/>
    <w:rsid w:val="003620BF"/>
    <w:rsid w:val="00367CB0"/>
    <w:rsid w:val="00375F31"/>
    <w:rsid w:val="0038484F"/>
    <w:rsid w:val="00385FC9"/>
    <w:rsid w:val="003862C1"/>
    <w:rsid w:val="00386BBE"/>
    <w:rsid w:val="00391DD7"/>
    <w:rsid w:val="003B236D"/>
    <w:rsid w:val="003B298B"/>
    <w:rsid w:val="003B7CE2"/>
    <w:rsid w:val="003D1234"/>
    <w:rsid w:val="003E05F0"/>
    <w:rsid w:val="003F266C"/>
    <w:rsid w:val="00401F7B"/>
    <w:rsid w:val="00403715"/>
    <w:rsid w:val="0041577D"/>
    <w:rsid w:val="00420FFD"/>
    <w:rsid w:val="004233D2"/>
    <w:rsid w:val="00433AA7"/>
    <w:rsid w:val="004403B2"/>
    <w:rsid w:val="00441A9B"/>
    <w:rsid w:val="004507E6"/>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4F1C80"/>
    <w:rsid w:val="00505DF1"/>
    <w:rsid w:val="005064E9"/>
    <w:rsid w:val="00513CCD"/>
    <w:rsid w:val="0051499C"/>
    <w:rsid w:val="005176E6"/>
    <w:rsid w:val="00522C48"/>
    <w:rsid w:val="005274EB"/>
    <w:rsid w:val="00530917"/>
    <w:rsid w:val="0053255B"/>
    <w:rsid w:val="0053773B"/>
    <w:rsid w:val="0055024F"/>
    <w:rsid w:val="005554F9"/>
    <w:rsid w:val="00570E58"/>
    <w:rsid w:val="00575802"/>
    <w:rsid w:val="00581834"/>
    <w:rsid w:val="00581FFB"/>
    <w:rsid w:val="005826C8"/>
    <w:rsid w:val="005832B8"/>
    <w:rsid w:val="00585347"/>
    <w:rsid w:val="00585632"/>
    <w:rsid w:val="0058684A"/>
    <w:rsid w:val="005A6B29"/>
    <w:rsid w:val="005A767F"/>
    <w:rsid w:val="005B0EFC"/>
    <w:rsid w:val="005B2223"/>
    <w:rsid w:val="005C46AA"/>
    <w:rsid w:val="005C7251"/>
    <w:rsid w:val="005C7AA9"/>
    <w:rsid w:val="005D1ED7"/>
    <w:rsid w:val="005E1637"/>
    <w:rsid w:val="005E4ADB"/>
    <w:rsid w:val="005E51AF"/>
    <w:rsid w:val="005F182A"/>
    <w:rsid w:val="005F1F5D"/>
    <w:rsid w:val="005F7A16"/>
    <w:rsid w:val="006002DC"/>
    <w:rsid w:val="0060505C"/>
    <w:rsid w:val="00611B55"/>
    <w:rsid w:val="00614648"/>
    <w:rsid w:val="00616822"/>
    <w:rsid w:val="00627521"/>
    <w:rsid w:val="006306A8"/>
    <w:rsid w:val="0063575A"/>
    <w:rsid w:val="0063578E"/>
    <w:rsid w:val="00640174"/>
    <w:rsid w:val="006419E7"/>
    <w:rsid w:val="00641AD3"/>
    <w:rsid w:val="00646BFB"/>
    <w:rsid w:val="00647B4B"/>
    <w:rsid w:val="00647ECC"/>
    <w:rsid w:val="00650EFB"/>
    <w:rsid w:val="006510E9"/>
    <w:rsid w:val="00653B50"/>
    <w:rsid w:val="00655F95"/>
    <w:rsid w:val="00656CC7"/>
    <w:rsid w:val="00657E0B"/>
    <w:rsid w:val="00657FF0"/>
    <w:rsid w:val="00662391"/>
    <w:rsid w:val="00663C56"/>
    <w:rsid w:val="00665DAE"/>
    <w:rsid w:val="006664C3"/>
    <w:rsid w:val="006745E1"/>
    <w:rsid w:val="00677294"/>
    <w:rsid w:val="006802A5"/>
    <w:rsid w:val="0069113A"/>
    <w:rsid w:val="006A119C"/>
    <w:rsid w:val="006A19B7"/>
    <w:rsid w:val="006A2B5B"/>
    <w:rsid w:val="006B33E3"/>
    <w:rsid w:val="006B3FF4"/>
    <w:rsid w:val="006C6D4C"/>
    <w:rsid w:val="006D09B4"/>
    <w:rsid w:val="006D1DFD"/>
    <w:rsid w:val="006E1F00"/>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5C2D"/>
    <w:rsid w:val="00783908"/>
    <w:rsid w:val="00783E2E"/>
    <w:rsid w:val="007941D3"/>
    <w:rsid w:val="007A1709"/>
    <w:rsid w:val="007A2C3D"/>
    <w:rsid w:val="007B41D0"/>
    <w:rsid w:val="007C08BD"/>
    <w:rsid w:val="007C217E"/>
    <w:rsid w:val="007D2AFF"/>
    <w:rsid w:val="007E0C30"/>
    <w:rsid w:val="007F7583"/>
    <w:rsid w:val="00802055"/>
    <w:rsid w:val="008046EB"/>
    <w:rsid w:val="0080724D"/>
    <w:rsid w:val="00815774"/>
    <w:rsid w:val="008173CF"/>
    <w:rsid w:val="00823753"/>
    <w:rsid w:val="008316DB"/>
    <w:rsid w:val="0083211C"/>
    <w:rsid w:val="00835A80"/>
    <w:rsid w:val="00837AE6"/>
    <w:rsid w:val="00843C6A"/>
    <w:rsid w:val="00847C0D"/>
    <w:rsid w:val="00862489"/>
    <w:rsid w:val="00865727"/>
    <w:rsid w:val="00866681"/>
    <w:rsid w:val="00890E5D"/>
    <w:rsid w:val="0089782A"/>
    <w:rsid w:val="008A1A0C"/>
    <w:rsid w:val="008A3586"/>
    <w:rsid w:val="008B3EB4"/>
    <w:rsid w:val="008B667D"/>
    <w:rsid w:val="008B6A2C"/>
    <w:rsid w:val="008C09C4"/>
    <w:rsid w:val="008C35AA"/>
    <w:rsid w:val="008C7470"/>
    <w:rsid w:val="008D3B01"/>
    <w:rsid w:val="008E10BC"/>
    <w:rsid w:val="008E147D"/>
    <w:rsid w:val="008E5B11"/>
    <w:rsid w:val="008F16F1"/>
    <w:rsid w:val="00900C5B"/>
    <w:rsid w:val="00902134"/>
    <w:rsid w:val="00907DA4"/>
    <w:rsid w:val="009148E3"/>
    <w:rsid w:val="0092760B"/>
    <w:rsid w:val="00930FD3"/>
    <w:rsid w:val="009333AA"/>
    <w:rsid w:val="00935095"/>
    <w:rsid w:val="00935ABA"/>
    <w:rsid w:val="009360FC"/>
    <w:rsid w:val="00951EE2"/>
    <w:rsid w:val="00954D73"/>
    <w:rsid w:val="0095571C"/>
    <w:rsid w:val="00955E01"/>
    <w:rsid w:val="0096422B"/>
    <w:rsid w:val="009650D8"/>
    <w:rsid w:val="009748FB"/>
    <w:rsid w:val="00976AA8"/>
    <w:rsid w:val="00976E5F"/>
    <w:rsid w:val="009773EC"/>
    <w:rsid w:val="00981E7A"/>
    <w:rsid w:val="00984F3A"/>
    <w:rsid w:val="00990F55"/>
    <w:rsid w:val="009A1884"/>
    <w:rsid w:val="009A31C9"/>
    <w:rsid w:val="009A34A1"/>
    <w:rsid w:val="009A648B"/>
    <w:rsid w:val="009A689A"/>
    <w:rsid w:val="009A6D63"/>
    <w:rsid w:val="009A73F6"/>
    <w:rsid w:val="009C20B2"/>
    <w:rsid w:val="009C4D62"/>
    <w:rsid w:val="009D0B82"/>
    <w:rsid w:val="009D5078"/>
    <w:rsid w:val="009E0558"/>
    <w:rsid w:val="009E0DF7"/>
    <w:rsid w:val="009E1C08"/>
    <w:rsid w:val="009E202F"/>
    <w:rsid w:val="009E40F3"/>
    <w:rsid w:val="009E6983"/>
    <w:rsid w:val="009F040C"/>
    <w:rsid w:val="009F3047"/>
    <w:rsid w:val="00A07D8A"/>
    <w:rsid w:val="00A11CE2"/>
    <w:rsid w:val="00A20E8C"/>
    <w:rsid w:val="00A26F2D"/>
    <w:rsid w:val="00A402D2"/>
    <w:rsid w:val="00A45D63"/>
    <w:rsid w:val="00A47406"/>
    <w:rsid w:val="00A550FC"/>
    <w:rsid w:val="00A614F1"/>
    <w:rsid w:val="00A7018C"/>
    <w:rsid w:val="00A70B89"/>
    <w:rsid w:val="00A70E2F"/>
    <w:rsid w:val="00A74FEA"/>
    <w:rsid w:val="00A76E5B"/>
    <w:rsid w:val="00A81716"/>
    <w:rsid w:val="00A81DB3"/>
    <w:rsid w:val="00A84EF0"/>
    <w:rsid w:val="00A86E97"/>
    <w:rsid w:val="00A94CF0"/>
    <w:rsid w:val="00A955CF"/>
    <w:rsid w:val="00AA1090"/>
    <w:rsid w:val="00AA1241"/>
    <w:rsid w:val="00AA432A"/>
    <w:rsid w:val="00AA607D"/>
    <w:rsid w:val="00AA6E2C"/>
    <w:rsid w:val="00AB07FC"/>
    <w:rsid w:val="00AB17A9"/>
    <w:rsid w:val="00AB519E"/>
    <w:rsid w:val="00AB7E2E"/>
    <w:rsid w:val="00AC517A"/>
    <w:rsid w:val="00AC548D"/>
    <w:rsid w:val="00AC630B"/>
    <w:rsid w:val="00AD29BF"/>
    <w:rsid w:val="00AE075F"/>
    <w:rsid w:val="00AE1098"/>
    <w:rsid w:val="00AE1446"/>
    <w:rsid w:val="00AE28D1"/>
    <w:rsid w:val="00AE6DE0"/>
    <w:rsid w:val="00B02433"/>
    <w:rsid w:val="00B12A97"/>
    <w:rsid w:val="00B13C3D"/>
    <w:rsid w:val="00B157E1"/>
    <w:rsid w:val="00B16A05"/>
    <w:rsid w:val="00B17BED"/>
    <w:rsid w:val="00B225A1"/>
    <w:rsid w:val="00B25ACB"/>
    <w:rsid w:val="00B25ECF"/>
    <w:rsid w:val="00B268A7"/>
    <w:rsid w:val="00B35686"/>
    <w:rsid w:val="00B364DA"/>
    <w:rsid w:val="00B423ED"/>
    <w:rsid w:val="00B51EB2"/>
    <w:rsid w:val="00B51EBA"/>
    <w:rsid w:val="00B5261C"/>
    <w:rsid w:val="00B52830"/>
    <w:rsid w:val="00B5585B"/>
    <w:rsid w:val="00B5628D"/>
    <w:rsid w:val="00B62606"/>
    <w:rsid w:val="00B6431E"/>
    <w:rsid w:val="00B67AB9"/>
    <w:rsid w:val="00B70285"/>
    <w:rsid w:val="00B702CE"/>
    <w:rsid w:val="00B71EDE"/>
    <w:rsid w:val="00B721A7"/>
    <w:rsid w:val="00B73739"/>
    <w:rsid w:val="00B77B07"/>
    <w:rsid w:val="00B818DE"/>
    <w:rsid w:val="00B91D9A"/>
    <w:rsid w:val="00B92BA3"/>
    <w:rsid w:val="00BA28A5"/>
    <w:rsid w:val="00BA5F87"/>
    <w:rsid w:val="00BA79F7"/>
    <w:rsid w:val="00BB1683"/>
    <w:rsid w:val="00BB6613"/>
    <w:rsid w:val="00BB66A5"/>
    <w:rsid w:val="00BC66D9"/>
    <w:rsid w:val="00BD2CE3"/>
    <w:rsid w:val="00BE0FA0"/>
    <w:rsid w:val="00BF23CB"/>
    <w:rsid w:val="00BF3612"/>
    <w:rsid w:val="00BF497A"/>
    <w:rsid w:val="00BF7426"/>
    <w:rsid w:val="00C02B28"/>
    <w:rsid w:val="00C1171C"/>
    <w:rsid w:val="00C300F2"/>
    <w:rsid w:val="00C321C9"/>
    <w:rsid w:val="00C409F2"/>
    <w:rsid w:val="00C5671C"/>
    <w:rsid w:val="00C801A0"/>
    <w:rsid w:val="00C838B9"/>
    <w:rsid w:val="00C92977"/>
    <w:rsid w:val="00C940BC"/>
    <w:rsid w:val="00CC269B"/>
    <w:rsid w:val="00CC29F3"/>
    <w:rsid w:val="00CC5C59"/>
    <w:rsid w:val="00CC6F62"/>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858B9"/>
    <w:rsid w:val="00D91064"/>
    <w:rsid w:val="00D9357D"/>
    <w:rsid w:val="00DA3393"/>
    <w:rsid w:val="00DB023D"/>
    <w:rsid w:val="00DB16DE"/>
    <w:rsid w:val="00DB45DF"/>
    <w:rsid w:val="00DB49FE"/>
    <w:rsid w:val="00DD1441"/>
    <w:rsid w:val="00DD35F5"/>
    <w:rsid w:val="00DD6665"/>
    <w:rsid w:val="00DE3661"/>
    <w:rsid w:val="00DE62BC"/>
    <w:rsid w:val="00DF75FB"/>
    <w:rsid w:val="00E11D71"/>
    <w:rsid w:val="00E12DE7"/>
    <w:rsid w:val="00E15446"/>
    <w:rsid w:val="00E23212"/>
    <w:rsid w:val="00E27193"/>
    <w:rsid w:val="00E33D72"/>
    <w:rsid w:val="00E3420C"/>
    <w:rsid w:val="00E40778"/>
    <w:rsid w:val="00E4342D"/>
    <w:rsid w:val="00E43CD1"/>
    <w:rsid w:val="00E45C87"/>
    <w:rsid w:val="00E5336E"/>
    <w:rsid w:val="00E54213"/>
    <w:rsid w:val="00E555EE"/>
    <w:rsid w:val="00E65759"/>
    <w:rsid w:val="00E73226"/>
    <w:rsid w:val="00E743D2"/>
    <w:rsid w:val="00E770C9"/>
    <w:rsid w:val="00E77E48"/>
    <w:rsid w:val="00E77E50"/>
    <w:rsid w:val="00E8779D"/>
    <w:rsid w:val="00E87A9B"/>
    <w:rsid w:val="00E97D24"/>
    <w:rsid w:val="00E97F04"/>
    <w:rsid w:val="00EA73B7"/>
    <w:rsid w:val="00EB3E73"/>
    <w:rsid w:val="00EC181A"/>
    <w:rsid w:val="00EC2949"/>
    <w:rsid w:val="00ED00FC"/>
    <w:rsid w:val="00EE4399"/>
    <w:rsid w:val="00EE4BA3"/>
    <w:rsid w:val="00EE62E6"/>
    <w:rsid w:val="00EF168D"/>
    <w:rsid w:val="00EF4FA7"/>
    <w:rsid w:val="00EF6354"/>
    <w:rsid w:val="00EF63EC"/>
    <w:rsid w:val="00EF7E45"/>
    <w:rsid w:val="00F07BF7"/>
    <w:rsid w:val="00F1315F"/>
    <w:rsid w:val="00F13970"/>
    <w:rsid w:val="00F206C1"/>
    <w:rsid w:val="00F20B8D"/>
    <w:rsid w:val="00F3716B"/>
    <w:rsid w:val="00F376E5"/>
    <w:rsid w:val="00F404B1"/>
    <w:rsid w:val="00F408C2"/>
    <w:rsid w:val="00F46275"/>
    <w:rsid w:val="00F46708"/>
    <w:rsid w:val="00F548C9"/>
    <w:rsid w:val="00F62C56"/>
    <w:rsid w:val="00F71AB8"/>
    <w:rsid w:val="00F76E36"/>
    <w:rsid w:val="00F801FB"/>
    <w:rsid w:val="00F82F6D"/>
    <w:rsid w:val="00F90029"/>
    <w:rsid w:val="00F9597B"/>
    <w:rsid w:val="00FA016B"/>
    <w:rsid w:val="00FA6295"/>
    <w:rsid w:val="00FD10D9"/>
    <w:rsid w:val="00FD395A"/>
    <w:rsid w:val="00FD4182"/>
    <w:rsid w:val="00FD43D5"/>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1D8745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link w:val="Heading1Char"/>
    <w:uiPriority w:val="9"/>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uiPriority w:val="9"/>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274EB"/>
    <w:pPr>
      <w:spacing w:before="200" w:line="276" w:lineRule="auto"/>
      <w:outlineLvl w:val="3"/>
    </w:pPr>
    <w:rPr>
      <w:rFonts w:asciiTheme="majorHAnsi" w:eastAsiaTheme="majorEastAsia" w:hAnsiTheme="majorHAnsi" w:cstheme="majorBidi"/>
      <w:b/>
      <w:bCs/>
      <w:iCs/>
      <w:sz w:val="26"/>
      <w:szCs w:val="22"/>
      <w:lang w:val="en-CA"/>
    </w:rPr>
  </w:style>
  <w:style w:type="paragraph" w:styleId="Heading5">
    <w:name w:val="heading 5"/>
    <w:basedOn w:val="Normal"/>
    <w:next w:val="Normal"/>
    <w:link w:val="Heading5Char"/>
    <w:uiPriority w:val="9"/>
    <w:unhideWhenUsed/>
    <w:qFormat/>
    <w:rsid w:val="005274EB"/>
    <w:pPr>
      <w:spacing w:before="200" w:line="276" w:lineRule="auto"/>
      <w:outlineLvl w:val="4"/>
    </w:pPr>
    <w:rPr>
      <w:rFonts w:asciiTheme="majorHAnsi" w:eastAsiaTheme="majorEastAsia" w:hAnsiTheme="majorHAnsi" w:cstheme="majorBidi"/>
      <w:b/>
      <w:bCs/>
      <w:szCs w:val="22"/>
      <w:lang w:val="en-CA"/>
    </w:rPr>
  </w:style>
  <w:style w:type="paragraph" w:styleId="Heading6">
    <w:name w:val="heading 6"/>
    <w:basedOn w:val="Normal"/>
    <w:next w:val="Normal"/>
    <w:link w:val="Heading6Char"/>
    <w:uiPriority w:val="9"/>
    <w:semiHidden/>
    <w:unhideWhenUsed/>
    <w:rsid w:val="005274EB"/>
    <w:pPr>
      <w:spacing w:line="271" w:lineRule="auto"/>
      <w:outlineLvl w:val="5"/>
    </w:pPr>
    <w:rPr>
      <w:rFonts w:asciiTheme="majorHAnsi" w:eastAsiaTheme="majorEastAsia" w:hAnsiTheme="majorHAnsi" w:cstheme="majorBidi"/>
      <w:b/>
      <w:bCs/>
      <w:i/>
      <w:iCs/>
      <w:color w:val="7F7F7F" w:themeColor="text1" w:themeTint="80"/>
      <w:szCs w:val="22"/>
      <w:lang w:val="en-CA"/>
    </w:rPr>
  </w:style>
  <w:style w:type="paragraph" w:styleId="Heading7">
    <w:name w:val="heading 7"/>
    <w:basedOn w:val="Normal"/>
    <w:next w:val="Normal"/>
    <w:link w:val="Heading7Char"/>
    <w:uiPriority w:val="9"/>
    <w:semiHidden/>
    <w:unhideWhenUsed/>
    <w:qFormat/>
    <w:rsid w:val="005274EB"/>
    <w:pPr>
      <w:spacing w:line="276" w:lineRule="auto"/>
      <w:outlineLvl w:val="6"/>
    </w:pPr>
    <w:rPr>
      <w:rFonts w:asciiTheme="majorHAnsi" w:eastAsiaTheme="majorEastAsia" w:hAnsiTheme="majorHAnsi" w:cstheme="majorBidi"/>
      <w:i/>
      <w:iCs/>
      <w:sz w:val="22"/>
      <w:szCs w:val="22"/>
      <w:lang w:val="en-CA"/>
    </w:rPr>
  </w:style>
  <w:style w:type="paragraph" w:styleId="Heading8">
    <w:name w:val="heading 8"/>
    <w:basedOn w:val="Normal"/>
    <w:next w:val="Normal"/>
    <w:link w:val="Heading8Char"/>
    <w:uiPriority w:val="9"/>
    <w:semiHidden/>
    <w:unhideWhenUsed/>
    <w:qFormat/>
    <w:rsid w:val="005274EB"/>
    <w:pPr>
      <w:spacing w:line="276" w:lineRule="auto"/>
      <w:outlineLvl w:val="7"/>
    </w:pPr>
    <w:rPr>
      <w:rFonts w:asciiTheme="majorHAnsi" w:eastAsiaTheme="majorEastAsia" w:hAnsiTheme="majorHAnsi" w:cstheme="majorBidi"/>
      <w:sz w:val="20"/>
      <w:szCs w:val="20"/>
      <w:lang w:val="en-CA"/>
    </w:rPr>
  </w:style>
  <w:style w:type="paragraph" w:styleId="Heading9">
    <w:name w:val="heading 9"/>
    <w:basedOn w:val="Normal"/>
    <w:next w:val="Normal"/>
    <w:link w:val="Heading9Char"/>
    <w:uiPriority w:val="9"/>
    <w:semiHidden/>
    <w:unhideWhenUsed/>
    <w:qFormat/>
    <w:rsid w:val="005274EB"/>
    <w:pPr>
      <w:spacing w:line="276" w:lineRule="auto"/>
      <w:outlineLvl w:val="8"/>
    </w:pPr>
    <w:rPr>
      <w:rFonts w:asciiTheme="majorHAnsi" w:eastAsiaTheme="majorEastAsia" w:hAnsiTheme="majorHAnsi" w:cstheme="majorBidi"/>
      <w:i/>
      <w:iCs/>
      <w:spacing w:val="5"/>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link w:val="BalloonTextChar"/>
    <w:uiPriority w:val="99"/>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ED00FC"/>
    <w:pPr>
      <w:numPr>
        <w:numId w:val="8"/>
      </w:numPr>
      <w:spacing w:beforeLines="150" w:before="360" w:afterLines="150" w:after="360" w:line="360" w:lineRule="auto"/>
      <w:ind w:left="0" w:right="-22" w:firstLine="0"/>
      <w:contextualSpacing w:val="0"/>
    </w:pPr>
    <w:rPr>
      <w:rFonts w:ascii="Arial" w:eastAsia="Arial" w:hAnsi="Arial" w:cs="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1"/>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character" w:customStyle="1" w:styleId="Heading4Char">
    <w:name w:val="Heading 4 Char"/>
    <w:basedOn w:val="DefaultParagraphFont"/>
    <w:link w:val="Heading4"/>
    <w:uiPriority w:val="9"/>
    <w:rsid w:val="005274EB"/>
    <w:rPr>
      <w:rFonts w:asciiTheme="majorHAnsi" w:eastAsiaTheme="majorEastAsia" w:hAnsiTheme="majorHAnsi" w:cstheme="majorBidi"/>
      <w:b/>
      <w:bCs/>
      <w:iCs/>
      <w:sz w:val="26"/>
      <w:szCs w:val="22"/>
      <w:lang w:eastAsia="en-US"/>
    </w:rPr>
  </w:style>
  <w:style w:type="character" w:customStyle="1" w:styleId="Heading5Char">
    <w:name w:val="Heading 5 Char"/>
    <w:basedOn w:val="DefaultParagraphFont"/>
    <w:link w:val="Heading5"/>
    <w:uiPriority w:val="9"/>
    <w:rsid w:val="005274EB"/>
    <w:rPr>
      <w:rFonts w:asciiTheme="majorHAnsi" w:eastAsiaTheme="majorEastAsia" w:hAnsiTheme="majorHAnsi" w:cstheme="majorBidi"/>
      <w:b/>
      <w:bCs/>
      <w:sz w:val="24"/>
      <w:szCs w:val="22"/>
      <w:lang w:eastAsia="en-US"/>
    </w:rPr>
  </w:style>
  <w:style w:type="character" w:customStyle="1" w:styleId="Heading6Char">
    <w:name w:val="Heading 6 Char"/>
    <w:basedOn w:val="DefaultParagraphFont"/>
    <w:link w:val="Heading6"/>
    <w:uiPriority w:val="9"/>
    <w:semiHidden/>
    <w:rsid w:val="005274EB"/>
    <w:rPr>
      <w:rFonts w:asciiTheme="majorHAnsi" w:eastAsiaTheme="majorEastAsia" w:hAnsiTheme="majorHAnsi" w:cstheme="majorBidi"/>
      <w:b/>
      <w:bCs/>
      <w:i/>
      <w:iCs/>
      <w:color w:val="7F7F7F" w:themeColor="text1" w:themeTint="80"/>
      <w:sz w:val="24"/>
      <w:szCs w:val="22"/>
      <w:lang w:eastAsia="en-US"/>
    </w:rPr>
  </w:style>
  <w:style w:type="character" w:customStyle="1" w:styleId="Heading7Char">
    <w:name w:val="Heading 7 Char"/>
    <w:basedOn w:val="DefaultParagraphFont"/>
    <w:link w:val="Heading7"/>
    <w:uiPriority w:val="9"/>
    <w:semiHidden/>
    <w:rsid w:val="005274EB"/>
    <w:rPr>
      <w:rFonts w:asciiTheme="majorHAnsi" w:eastAsiaTheme="majorEastAsia" w:hAnsiTheme="majorHAnsi" w:cstheme="majorBidi"/>
      <w:i/>
      <w:iCs/>
      <w:sz w:val="22"/>
      <w:szCs w:val="22"/>
      <w:lang w:eastAsia="en-US"/>
    </w:rPr>
  </w:style>
  <w:style w:type="character" w:customStyle="1" w:styleId="Heading8Char">
    <w:name w:val="Heading 8 Char"/>
    <w:basedOn w:val="DefaultParagraphFont"/>
    <w:link w:val="Heading8"/>
    <w:uiPriority w:val="9"/>
    <w:semiHidden/>
    <w:rsid w:val="005274EB"/>
    <w:rPr>
      <w:rFonts w:asciiTheme="majorHAnsi" w:eastAsiaTheme="majorEastAsia" w:hAnsiTheme="majorHAnsi" w:cstheme="majorBidi"/>
      <w:lang w:eastAsia="en-US"/>
    </w:rPr>
  </w:style>
  <w:style w:type="character" w:customStyle="1" w:styleId="Heading9Char">
    <w:name w:val="Heading 9 Char"/>
    <w:basedOn w:val="DefaultParagraphFont"/>
    <w:link w:val="Heading9"/>
    <w:uiPriority w:val="9"/>
    <w:semiHidden/>
    <w:rsid w:val="005274EB"/>
    <w:rPr>
      <w:rFonts w:asciiTheme="majorHAnsi" w:eastAsiaTheme="majorEastAsia" w:hAnsiTheme="majorHAnsi" w:cstheme="majorBidi"/>
      <w:i/>
      <w:iCs/>
      <w:spacing w:val="5"/>
      <w:lang w:eastAsia="en-US"/>
    </w:rPr>
  </w:style>
  <w:style w:type="character" w:customStyle="1" w:styleId="Heading1Char">
    <w:name w:val="Heading 1 Char"/>
    <w:basedOn w:val="DefaultParagraphFont"/>
    <w:link w:val="Heading1"/>
    <w:uiPriority w:val="9"/>
    <w:rsid w:val="005274EB"/>
    <w:rPr>
      <w:rFonts w:ascii="Arial" w:hAnsi="Arial"/>
      <w:b/>
      <w:bCs/>
      <w:caps/>
      <w:sz w:val="24"/>
      <w:szCs w:val="24"/>
      <w:lang w:eastAsia="en-US"/>
    </w:rPr>
  </w:style>
  <w:style w:type="paragraph" w:styleId="Title">
    <w:name w:val="Title"/>
    <w:basedOn w:val="Normal"/>
    <w:next w:val="Normal"/>
    <w:link w:val="TitleChar"/>
    <w:uiPriority w:val="10"/>
    <w:qFormat/>
    <w:rsid w:val="005274EB"/>
    <w:pPr>
      <w:pBdr>
        <w:bottom w:val="single" w:sz="4" w:space="1" w:color="auto"/>
      </w:pBdr>
      <w:spacing w:after="200" w:line="360" w:lineRule="auto"/>
      <w:contextualSpacing/>
    </w:pPr>
    <w:rPr>
      <w:rFonts w:asciiTheme="majorHAnsi" w:eastAsiaTheme="majorEastAsia" w:hAnsiTheme="majorHAnsi" w:cstheme="majorBidi"/>
      <w:b/>
      <w:spacing w:val="5"/>
      <w:sz w:val="36"/>
      <w:szCs w:val="52"/>
      <w:lang w:val="en-CA"/>
    </w:rPr>
  </w:style>
  <w:style w:type="character" w:customStyle="1" w:styleId="TitleChar">
    <w:name w:val="Title Char"/>
    <w:basedOn w:val="DefaultParagraphFont"/>
    <w:link w:val="Title"/>
    <w:uiPriority w:val="10"/>
    <w:rsid w:val="005274EB"/>
    <w:rPr>
      <w:rFonts w:asciiTheme="majorHAnsi" w:eastAsiaTheme="majorEastAsia" w:hAnsiTheme="majorHAnsi" w:cstheme="majorBidi"/>
      <w:b/>
      <w:spacing w:val="5"/>
      <w:sz w:val="36"/>
      <w:szCs w:val="52"/>
      <w:lang w:eastAsia="en-US"/>
    </w:rPr>
  </w:style>
  <w:style w:type="paragraph" w:styleId="Subtitle">
    <w:name w:val="Subtitle"/>
    <w:basedOn w:val="Normal"/>
    <w:next w:val="Normal"/>
    <w:link w:val="SubtitleChar"/>
    <w:uiPriority w:val="11"/>
    <w:qFormat/>
    <w:rsid w:val="005274EB"/>
    <w:pPr>
      <w:spacing w:after="600" w:line="276" w:lineRule="auto"/>
    </w:pPr>
    <w:rPr>
      <w:rFonts w:asciiTheme="majorHAnsi" w:eastAsiaTheme="majorEastAsia" w:hAnsiTheme="majorHAnsi" w:cstheme="majorBidi"/>
      <w:b/>
      <w:i/>
      <w:iCs/>
      <w:spacing w:val="13"/>
      <w:sz w:val="32"/>
      <w:lang w:val="en-CA"/>
    </w:rPr>
  </w:style>
  <w:style w:type="character" w:customStyle="1" w:styleId="SubtitleChar">
    <w:name w:val="Subtitle Char"/>
    <w:basedOn w:val="DefaultParagraphFont"/>
    <w:link w:val="Subtitle"/>
    <w:uiPriority w:val="11"/>
    <w:rsid w:val="005274EB"/>
    <w:rPr>
      <w:rFonts w:asciiTheme="majorHAnsi" w:eastAsiaTheme="majorEastAsia" w:hAnsiTheme="majorHAnsi" w:cstheme="majorBidi"/>
      <w:b/>
      <w:i/>
      <w:iCs/>
      <w:spacing w:val="13"/>
      <w:sz w:val="32"/>
      <w:szCs w:val="24"/>
      <w:lang w:eastAsia="en-US"/>
    </w:rPr>
  </w:style>
  <w:style w:type="character" w:styleId="Strong">
    <w:name w:val="Strong"/>
    <w:uiPriority w:val="22"/>
    <w:rsid w:val="005274EB"/>
    <w:rPr>
      <w:b/>
      <w:bCs/>
    </w:rPr>
  </w:style>
  <w:style w:type="character" w:styleId="Emphasis">
    <w:name w:val="Emphasis"/>
    <w:uiPriority w:val="20"/>
    <w:rsid w:val="005274EB"/>
    <w:rPr>
      <w:b/>
      <w:bCs/>
      <w:i/>
      <w:iCs/>
      <w:spacing w:val="10"/>
      <w:bdr w:val="none" w:sz="0" w:space="0" w:color="auto"/>
      <w:shd w:val="clear" w:color="auto" w:fill="auto"/>
    </w:rPr>
  </w:style>
  <w:style w:type="paragraph" w:styleId="NoSpacing">
    <w:name w:val="No Spacing"/>
    <w:uiPriority w:val="1"/>
    <w:rsid w:val="005274EB"/>
    <w:rPr>
      <w:rFonts w:asciiTheme="minorHAnsi" w:eastAsiaTheme="minorHAnsi" w:hAnsiTheme="minorHAnsi" w:cstheme="minorBidi"/>
      <w:sz w:val="24"/>
      <w:szCs w:val="22"/>
      <w:lang w:eastAsia="en-US"/>
    </w:rPr>
  </w:style>
  <w:style w:type="paragraph" w:styleId="Quote">
    <w:name w:val="Quote"/>
    <w:basedOn w:val="Normal"/>
    <w:next w:val="Normal"/>
    <w:link w:val="QuoteChar"/>
    <w:uiPriority w:val="29"/>
    <w:rsid w:val="005274EB"/>
    <w:pPr>
      <w:spacing w:before="200" w:line="276" w:lineRule="auto"/>
      <w:ind w:left="360" w:right="360"/>
    </w:pPr>
    <w:rPr>
      <w:rFonts w:asciiTheme="minorHAnsi" w:eastAsiaTheme="minorHAnsi" w:hAnsiTheme="minorHAnsi" w:cstheme="minorBidi"/>
      <w:i/>
      <w:iCs/>
      <w:szCs w:val="22"/>
      <w:lang w:val="en-CA"/>
    </w:rPr>
  </w:style>
  <w:style w:type="character" w:customStyle="1" w:styleId="QuoteChar">
    <w:name w:val="Quote Char"/>
    <w:basedOn w:val="DefaultParagraphFont"/>
    <w:link w:val="Quote"/>
    <w:uiPriority w:val="29"/>
    <w:rsid w:val="005274EB"/>
    <w:rPr>
      <w:rFonts w:asciiTheme="minorHAnsi" w:eastAsiaTheme="minorHAnsi" w:hAnsiTheme="minorHAnsi" w:cstheme="minorBidi"/>
      <w:i/>
      <w:iCs/>
      <w:sz w:val="24"/>
      <w:szCs w:val="22"/>
      <w:lang w:eastAsia="en-US"/>
    </w:rPr>
  </w:style>
  <w:style w:type="paragraph" w:styleId="IntenseQuote">
    <w:name w:val="Intense Quote"/>
    <w:basedOn w:val="Normal"/>
    <w:next w:val="Normal"/>
    <w:link w:val="IntenseQuoteChar"/>
    <w:uiPriority w:val="30"/>
    <w:rsid w:val="005274EB"/>
    <w:pPr>
      <w:pBdr>
        <w:bottom w:val="single" w:sz="4" w:space="1" w:color="auto"/>
      </w:pBdr>
      <w:spacing w:before="200" w:after="280" w:line="276" w:lineRule="auto"/>
      <w:ind w:left="1008" w:right="1152"/>
      <w:jc w:val="both"/>
    </w:pPr>
    <w:rPr>
      <w:rFonts w:asciiTheme="minorHAnsi" w:eastAsiaTheme="minorHAnsi" w:hAnsiTheme="minorHAnsi" w:cstheme="minorBidi"/>
      <w:b/>
      <w:bCs/>
      <w:i/>
      <w:iCs/>
      <w:szCs w:val="22"/>
      <w:lang w:val="en-CA"/>
    </w:rPr>
  </w:style>
  <w:style w:type="character" w:customStyle="1" w:styleId="IntenseQuoteChar">
    <w:name w:val="Intense Quote Char"/>
    <w:basedOn w:val="DefaultParagraphFont"/>
    <w:link w:val="IntenseQuote"/>
    <w:uiPriority w:val="30"/>
    <w:rsid w:val="005274EB"/>
    <w:rPr>
      <w:rFonts w:asciiTheme="minorHAnsi" w:eastAsiaTheme="minorHAnsi" w:hAnsiTheme="minorHAnsi" w:cstheme="minorBidi"/>
      <w:b/>
      <w:bCs/>
      <w:i/>
      <w:iCs/>
      <w:sz w:val="24"/>
      <w:szCs w:val="22"/>
      <w:lang w:eastAsia="en-US"/>
    </w:rPr>
  </w:style>
  <w:style w:type="character" w:styleId="SubtleEmphasis">
    <w:name w:val="Subtle Emphasis"/>
    <w:uiPriority w:val="19"/>
    <w:rsid w:val="005274EB"/>
    <w:rPr>
      <w:i/>
      <w:iCs/>
    </w:rPr>
  </w:style>
  <w:style w:type="character" w:styleId="IntenseEmphasis">
    <w:name w:val="Intense Emphasis"/>
    <w:uiPriority w:val="21"/>
    <w:rsid w:val="005274EB"/>
    <w:rPr>
      <w:b/>
      <w:bCs/>
    </w:rPr>
  </w:style>
  <w:style w:type="character" w:styleId="SubtleReference">
    <w:name w:val="Subtle Reference"/>
    <w:uiPriority w:val="31"/>
    <w:rsid w:val="005274EB"/>
    <w:rPr>
      <w:smallCaps/>
    </w:rPr>
  </w:style>
  <w:style w:type="character" w:styleId="IntenseReference">
    <w:name w:val="Intense Reference"/>
    <w:uiPriority w:val="32"/>
    <w:rsid w:val="005274EB"/>
    <w:rPr>
      <w:smallCaps/>
      <w:spacing w:val="5"/>
      <w:u w:val="single"/>
    </w:rPr>
  </w:style>
  <w:style w:type="character" w:styleId="BookTitle">
    <w:name w:val="Book Title"/>
    <w:uiPriority w:val="33"/>
    <w:rsid w:val="005274EB"/>
    <w:rPr>
      <w:i/>
      <w:iCs/>
      <w:smallCaps/>
      <w:spacing w:val="5"/>
    </w:rPr>
  </w:style>
  <w:style w:type="paragraph" w:styleId="TOCHeading">
    <w:name w:val="TOC Heading"/>
    <w:basedOn w:val="Heading1"/>
    <w:next w:val="Normal"/>
    <w:uiPriority w:val="39"/>
    <w:semiHidden/>
    <w:unhideWhenUsed/>
    <w:qFormat/>
    <w:rsid w:val="005274EB"/>
    <w:pPr>
      <w:keepNext w:val="0"/>
      <w:spacing w:before="480" w:line="276" w:lineRule="auto"/>
      <w:contextualSpacing/>
      <w:outlineLvl w:val="9"/>
    </w:pPr>
    <w:rPr>
      <w:rFonts w:asciiTheme="majorHAnsi" w:eastAsiaTheme="majorEastAsia" w:hAnsiTheme="majorHAnsi" w:cstheme="majorBidi"/>
      <w:caps w:val="0"/>
      <w:sz w:val="36"/>
      <w:szCs w:val="28"/>
      <w:lang w:bidi="en-US"/>
    </w:rPr>
  </w:style>
  <w:style w:type="character" w:customStyle="1" w:styleId="BalloonTextChar">
    <w:name w:val="Balloon Text Char"/>
    <w:basedOn w:val="DefaultParagraphFont"/>
    <w:link w:val="BalloonText"/>
    <w:uiPriority w:val="99"/>
    <w:semiHidden/>
    <w:rsid w:val="005274EB"/>
    <w:rPr>
      <w:rFonts w:ascii="Tahoma" w:hAnsi="Tahoma" w:cs="Tahoma"/>
      <w:sz w:val="16"/>
      <w:szCs w:val="16"/>
      <w:lang w:val="en-US" w:eastAsia="en-US"/>
    </w:rPr>
  </w:style>
  <w:style w:type="paragraph" w:customStyle="1" w:styleId="Body">
    <w:name w:val="Body"/>
    <w:rsid w:val="005274EB"/>
    <w:rPr>
      <w:rFonts w:eastAsia="Arial Unicode MS" w:hAnsi="Arial Unicode MS" w:cs="Arial Unicode MS"/>
      <w:color w:val="000000"/>
      <w:sz w:val="24"/>
      <w:szCs w:val="24"/>
      <w:u w:color="000000"/>
      <w:lang w:val="de-DE"/>
    </w:rPr>
  </w:style>
  <w:style w:type="character" w:customStyle="1" w:styleId="AffidavitParagraphsChar">
    <w:name w:val="Affidavit Paragraphs Char"/>
    <w:basedOn w:val="DefaultParagraphFont"/>
    <w:link w:val="AffidavitParagraphs"/>
    <w:locked/>
    <w:rsid w:val="005274EB"/>
    <w:rPr>
      <w:rFonts w:ascii="Arial" w:hAnsi="Arial" w:cs="Arial"/>
      <w:sz w:val="23"/>
      <w:szCs w:val="23"/>
    </w:rPr>
  </w:style>
  <w:style w:type="paragraph" w:customStyle="1" w:styleId="AffidavitParagraphs">
    <w:name w:val="Affidavit Paragraphs"/>
    <w:basedOn w:val="Normal"/>
    <w:link w:val="AffidavitParagraphsChar"/>
    <w:qFormat/>
    <w:rsid w:val="005274EB"/>
    <w:pPr>
      <w:numPr>
        <w:numId w:val="2"/>
      </w:numPr>
      <w:tabs>
        <w:tab w:val="clear" w:pos="502"/>
        <w:tab w:val="num" w:pos="810"/>
      </w:tabs>
      <w:spacing w:before="240" w:after="240" w:line="360" w:lineRule="auto"/>
      <w:ind w:left="810" w:hanging="810"/>
      <w:jc w:val="both"/>
    </w:pPr>
    <w:rPr>
      <w:rFonts w:ascii="Arial" w:hAnsi="Arial" w:cs="Arial"/>
      <w:sz w:val="23"/>
      <w:szCs w:val="23"/>
      <w:lang w:val="en-CA" w:eastAsia="en-CA"/>
    </w:rPr>
  </w:style>
  <w:style w:type="character" w:customStyle="1" w:styleId="AffidavitHeadingsChar">
    <w:name w:val="Affidavit Headings Char"/>
    <w:basedOn w:val="DefaultParagraphFont"/>
    <w:link w:val="AffidavitHeadings"/>
    <w:locked/>
    <w:rsid w:val="005274EB"/>
    <w:rPr>
      <w:rFonts w:ascii="Arial" w:hAnsi="Arial" w:cs="Arial"/>
      <w:b/>
      <w:sz w:val="23"/>
      <w:szCs w:val="23"/>
    </w:rPr>
  </w:style>
  <w:style w:type="paragraph" w:customStyle="1" w:styleId="AffidavitHeadings">
    <w:name w:val="Affidavit Headings"/>
    <w:basedOn w:val="Normal"/>
    <w:link w:val="AffidavitHeadingsChar"/>
    <w:qFormat/>
    <w:rsid w:val="005274EB"/>
    <w:pPr>
      <w:spacing w:before="240" w:after="240"/>
      <w:jc w:val="both"/>
    </w:pPr>
    <w:rPr>
      <w:rFonts w:ascii="Arial" w:hAnsi="Arial" w:cs="Arial"/>
      <w:b/>
      <w:sz w:val="23"/>
      <w:szCs w:val="23"/>
      <w:lang w:val="en-CA" w:eastAsia="en-CA"/>
    </w:rPr>
  </w:style>
  <w:style w:type="numbering" w:customStyle="1" w:styleId="List1">
    <w:name w:val="List 1"/>
    <w:rsid w:val="005274EB"/>
    <w:pPr>
      <w:numPr>
        <w:numId w:val="3"/>
      </w:numPr>
    </w:pPr>
  </w:style>
  <w:style w:type="character" w:customStyle="1" w:styleId="footnotedescriptionChar">
    <w:name w:val="footnote description Char"/>
    <w:basedOn w:val="DefaultParagraphFont"/>
    <w:link w:val="footnotedescription"/>
    <w:locked/>
    <w:rsid w:val="005274EB"/>
    <w:rPr>
      <w:color w:val="000000"/>
    </w:rPr>
  </w:style>
  <w:style w:type="paragraph" w:customStyle="1" w:styleId="footnotedescription">
    <w:name w:val="footnote description"/>
    <w:basedOn w:val="Normal"/>
    <w:link w:val="footnotedescriptionChar"/>
    <w:rsid w:val="005274EB"/>
    <w:pPr>
      <w:spacing w:line="252" w:lineRule="auto"/>
    </w:pPr>
    <w:rPr>
      <w:color w:val="000000"/>
      <w:sz w:val="20"/>
      <w:szCs w:val="20"/>
      <w:lang w:val="en-CA" w:eastAsia="en-CA"/>
    </w:rPr>
  </w:style>
  <w:style w:type="numbering" w:customStyle="1" w:styleId="List0">
    <w:name w:val="List 0"/>
    <w:rsid w:val="005274EB"/>
    <w:pPr>
      <w:numPr>
        <w:numId w:val="7"/>
      </w:numPr>
    </w:pPr>
  </w:style>
  <w:style w:type="character" w:styleId="FollowedHyperlink">
    <w:name w:val="FollowedHyperlink"/>
    <w:basedOn w:val="DefaultParagraphFont"/>
    <w:uiPriority w:val="99"/>
    <w:semiHidden/>
    <w:unhideWhenUsed/>
    <w:rsid w:val="00527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867983022">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165168527">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0272ACB800D44B97632FE2FE2D20B4" ma:contentTypeVersion="8" ma:contentTypeDescription="Create a new document." ma:contentTypeScope="" ma:versionID="9c752642653d8fb0dabd1fd8857d3690">
  <xsd:schema xmlns:xsd="http://www.w3.org/2001/XMLSchema" xmlns:xs="http://www.w3.org/2001/XMLSchema" xmlns:p="http://schemas.microsoft.com/office/2006/metadata/properties" xmlns:ns3="df3e29b0-d34e-42a7-b290-ba1c8cd870a5" xmlns:ns4="cd5b55a4-356b-41b5-98c7-99a94b4660bd" targetNamespace="http://schemas.microsoft.com/office/2006/metadata/properties" ma:root="true" ma:fieldsID="296feb7b314809170d0b545139531dbc" ns3:_="" ns4:_="">
    <xsd:import namespace="df3e29b0-d34e-42a7-b290-ba1c8cd870a5"/>
    <xsd:import namespace="cd5b55a4-356b-41b5-98c7-99a94b466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9b0-d34e-42a7-b290-ba1c8cd8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b55a4-356b-41b5-98c7-99a94b466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566B-481A-4EFB-98A1-5EDF608C78EB}">
  <ds:schemaRefs>
    <ds:schemaRef ds:uri="http://schemas.microsoft.com/office/2006/documentManagement/types"/>
    <ds:schemaRef ds:uri="cd5b55a4-356b-41b5-98c7-99a94b4660b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f3e29b0-d34e-42a7-b290-ba1c8cd870a5"/>
    <ds:schemaRef ds:uri="http://www.w3.org/XML/1998/namespace"/>
    <ds:schemaRef ds:uri="http://purl.org/dc/dcmitype/"/>
  </ds:schemaRefs>
</ds:datastoreItem>
</file>

<file path=customXml/itemProps2.xml><?xml version="1.0" encoding="utf-8"?>
<ds:datastoreItem xmlns:ds="http://schemas.openxmlformats.org/officeDocument/2006/customXml" ds:itemID="{F23EA6FB-274C-42FB-9CE2-111D53275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9b0-d34e-42a7-b290-ba1c8cd870a5"/>
    <ds:schemaRef ds:uri="cd5b55a4-356b-41b5-98c7-99a94b46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EE15E-1569-4E02-ABDB-7D85D09CC8B8}">
  <ds:schemaRefs>
    <ds:schemaRef ds:uri="http://schemas.microsoft.com/sharepoint/v3/contenttype/forms"/>
  </ds:schemaRefs>
</ds:datastoreItem>
</file>

<file path=customXml/itemProps4.xml><?xml version="1.0" encoding="utf-8"?>
<ds:datastoreItem xmlns:ds="http://schemas.openxmlformats.org/officeDocument/2006/customXml" ds:itemID="{CCB91681-7165-41AB-9E66-BA89574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9411</Words>
  <Characters>49406</Characters>
  <Application>Microsoft Office Word</Application>
  <DocSecurity>0</DocSecurity>
  <Lines>411</Lines>
  <Paragraphs>117</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2021-04-08T14:05:00Z</cp:lastPrinted>
  <dcterms:created xsi:type="dcterms:W3CDTF">2021-04-08T14:05:00Z</dcterms:created>
  <dcterms:modified xsi:type="dcterms:W3CDTF">2021-04-08T14:16:00Z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0x010100090272ACB800D44B97632FE2FE2D20B4</vt:lpwstr>
  </property>
</Properties>
</file>