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tblLayout w:type="fixed"/>
        <w:tblLook w:val="0000" w:firstRow="0" w:lastRow="0" w:firstColumn="0" w:lastColumn="0" w:noHBand="0" w:noVBand="0"/>
      </w:tblPr>
      <w:tblGrid>
        <w:gridCol w:w="5954"/>
        <w:gridCol w:w="3544"/>
      </w:tblGrid>
      <w:tr w:rsidR="006D09B4" w:rsidRPr="005D7E92" w14:paraId="6747BA04" w14:textId="77777777" w:rsidTr="0013555E">
        <w:trPr>
          <w:trHeight w:val="281"/>
        </w:trPr>
        <w:tc>
          <w:tcPr>
            <w:tcW w:w="5954" w:type="dxa"/>
          </w:tcPr>
          <w:p w14:paraId="7CFC3FD0" w14:textId="77777777" w:rsidR="006D09B4" w:rsidRPr="001E764F" w:rsidRDefault="006D09B4" w:rsidP="005D7E92">
            <w:pPr>
              <w:rPr>
                <w:rFonts w:ascii="Arial" w:hAnsi="Arial" w:cs="Arial"/>
                <w:b/>
                <w:sz w:val="16"/>
                <w:szCs w:val="16"/>
              </w:rPr>
            </w:pPr>
          </w:p>
        </w:tc>
        <w:tc>
          <w:tcPr>
            <w:tcW w:w="3544" w:type="dxa"/>
            <w:vMerge w:val="restart"/>
          </w:tcPr>
          <w:p w14:paraId="74291641" w14:textId="4E2E1386" w:rsidR="006D09B4" w:rsidRPr="005D7E92" w:rsidRDefault="008F44B0" w:rsidP="0013555E">
            <w:pPr>
              <w:jc w:val="right"/>
              <w:rPr>
                <w:rFonts w:ascii="Arial" w:hAnsi="Arial" w:cs="Arial"/>
                <w:b/>
                <w:noProof/>
                <w:sz w:val="32"/>
                <w:szCs w:val="32"/>
                <w:lang w:val="en-CA" w:eastAsia="en-CA"/>
              </w:rPr>
            </w:pPr>
            <w:r>
              <w:rPr>
                <w:noProof/>
                <w:lang w:val="en-CA" w:eastAsia="en-CA"/>
              </w:rPr>
              <w:drawing>
                <wp:inline distT="0" distB="0" distL="0" distR="0" wp14:anchorId="12DED0BE" wp14:editId="49B209C8">
                  <wp:extent cx="1190625"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tc>
      </w:tr>
      <w:tr w:rsidR="006D09B4" w:rsidRPr="005D7E92" w14:paraId="1DB113B5" w14:textId="77777777" w:rsidTr="0013555E">
        <w:tc>
          <w:tcPr>
            <w:tcW w:w="5954" w:type="dxa"/>
          </w:tcPr>
          <w:p w14:paraId="45B815C7" w14:textId="77777777" w:rsidR="006D09B4" w:rsidRPr="005D7E92" w:rsidRDefault="0026544D" w:rsidP="005D7E92">
            <w:pPr>
              <w:rPr>
                <w:rFonts w:ascii="Arial" w:hAnsi="Arial" w:cs="Arial"/>
                <w:b/>
                <w:sz w:val="32"/>
                <w:szCs w:val="32"/>
              </w:rPr>
            </w:pPr>
            <w:r w:rsidRPr="005D7E92">
              <w:rPr>
                <w:rFonts w:ascii="Arial" w:hAnsi="Arial" w:cs="Arial"/>
                <w:b/>
                <w:sz w:val="32"/>
                <w:szCs w:val="32"/>
              </w:rPr>
              <w:t>Ontario Land</w:t>
            </w:r>
            <w:r w:rsidR="00BB66A5" w:rsidRPr="005D7E92">
              <w:rPr>
                <w:rFonts w:ascii="Arial" w:hAnsi="Arial" w:cs="Arial"/>
                <w:b/>
                <w:sz w:val="32"/>
                <w:szCs w:val="32"/>
              </w:rPr>
              <w:t xml:space="preserve"> Tribunal</w:t>
            </w:r>
          </w:p>
        </w:tc>
        <w:tc>
          <w:tcPr>
            <w:tcW w:w="3544" w:type="dxa"/>
            <w:vMerge/>
          </w:tcPr>
          <w:p w14:paraId="42284377" w14:textId="77777777" w:rsidR="006D09B4" w:rsidRPr="005D7E92" w:rsidRDefault="006D09B4" w:rsidP="005D7E92">
            <w:pPr>
              <w:rPr>
                <w:rFonts w:ascii="Arial" w:hAnsi="Arial" w:cs="Arial"/>
                <w:b/>
                <w:sz w:val="32"/>
                <w:szCs w:val="32"/>
              </w:rPr>
            </w:pPr>
          </w:p>
        </w:tc>
      </w:tr>
      <w:tr w:rsidR="006D09B4" w:rsidRPr="005D7E92" w14:paraId="6725DC1D" w14:textId="77777777" w:rsidTr="0013555E">
        <w:tc>
          <w:tcPr>
            <w:tcW w:w="5954" w:type="dxa"/>
          </w:tcPr>
          <w:p w14:paraId="2D4DDAAD" w14:textId="77777777" w:rsidR="004D5D5D" w:rsidRPr="005D7E92" w:rsidRDefault="00FE1AB5" w:rsidP="005D7E92">
            <w:pPr>
              <w:rPr>
                <w:rFonts w:ascii="Arial" w:hAnsi="Arial" w:cs="Arial"/>
                <w:sz w:val="32"/>
                <w:szCs w:val="32"/>
                <w:lang w:val="fr-CA"/>
              </w:rPr>
            </w:pPr>
            <w:r w:rsidRPr="005D7E92">
              <w:rPr>
                <w:rFonts w:ascii="Arial" w:hAnsi="Arial" w:cs="Arial"/>
                <w:sz w:val="32"/>
                <w:szCs w:val="32"/>
                <w:lang w:val="fr-CA"/>
              </w:rPr>
              <w:t xml:space="preserve">Tribunal </w:t>
            </w:r>
            <w:r w:rsidR="0010677E" w:rsidRPr="005D7E92">
              <w:rPr>
                <w:rFonts w:ascii="Arial" w:hAnsi="Arial" w:cs="Arial"/>
                <w:sz w:val="32"/>
                <w:szCs w:val="32"/>
                <w:lang w:val="fr-CA"/>
              </w:rPr>
              <w:t xml:space="preserve">ontarien de l’aménagement </w:t>
            </w:r>
          </w:p>
          <w:p w14:paraId="1ECAE31C" w14:textId="77777777" w:rsidR="0010677E" w:rsidRPr="005D7E92" w:rsidRDefault="0010677E" w:rsidP="005D7E92">
            <w:pPr>
              <w:rPr>
                <w:rFonts w:ascii="Arial" w:hAnsi="Arial" w:cs="Arial"/>
                <w:sz w:val="32"/>
                <w:szCs w:val="32"/>
                <w:lang w:val="fr-CA"/>
              </w:rPr>
            </w:pPr>
            <w:r w:rsidRPr="005D7E92">
              <w:rPr>
                <w:rFonts w:ascii="Arial" w:hAnsi="Arial" w:cs="Arial"/>
                <w:sz w:val="32"/>
                <w:szCs w:val="32"/>
                <w:lang w:val="fr-CA"/>
              </w:rPr>
              <w:t>du territoire</w:t>
            </w:r>
          </w:p>
          <w:p w14:paraId="68776EDA" w14:textId="77777777" w:rsidR="006D09B4" w:rsidRPr="005D7E92" w:rsidRDefault="006D09B4" w:rsidP="005D7E92">
            <w:pPr>
              <w:rPr>
                <w:rFonts w:ascii="Arial" w:hAnsi="Arial" w:cs="Arial"/>
                <w:sz w:val="32"/>
                <w:szCs w:val="32"/>
                <w:lang w:val="fr-CA"/>
              </w:rPr>
            </w:pPr>
          </w:p>
          <w:p w14:paraId="48E49E8D" w14:textId="77777777" w:rsidR="006D09B4" w:rsidRPr="005D7E92" w:rsidRDefault="006D09B4" w:rsidP="005D7E92">
            <w:pPr>
              <w:rPr>
                <w:rFonts w:ascii="Arial" w:hAnsi="Arial" w:cs="Arial"/>
                <w:sz w:val="32"/>
                <w:szCs w:val="32"/>
                <w:lang w:val="fr-CA"/>
              </w:rPr>
            </w:pPr>
          </w:p>
        </w:tc>
        <w:tc>
          <w:tcPr>
            <w:tcW w:w="3544" w:type="dxa"/>
            <w:vMerge/>
          </w:tcPr>
          <w:p w14:paraId="05A35CA5" w14:textId="77777777" w:rsidR="006D09B4" w:rsidRPr="005D7E92" w:rsidRDefault="006D09B4" w:rsidP="005D7E92">
            <w:pPr>
              <w:rPr>
                <w:rFonts w:ascii="Arial" w:hAnsi="Arial" w:cs="Arial"/>
                <w:sz w:val="32"/>
                <w:szCs w:val="32"/>
                <w:lang w:val="fr-CA"/>
              </w:rPr>
            </w:pPr>
          </w:p>
        </w:tc>
      </w:tr>
    </w:tbl>
    <w:p w14:paraId="327A2AE3" w14:textId="77777777" w:rsidR="00AB07FC" w:rsidRPr="005D7E92" w:rsidRDefault="00AB07FC" w:rsidP="002159B4">
      <w:pPr>
        <w:rPr>
          <w:rFonts w:ascii="Arial" w:hAnsi="Arial" w:cs="Arial"/>
          <w:lang w:val="fr-CA"/>
        </w:rPr>
      </w:pPr>
      <w:bookmarkStart w:id="0" w:name="Appearances"/>
    </w:p>
    <w:tbl>
      <w:tblPr>
        <w:tblW w:w="10260" w:type="dxa"/>
        <w:tblInd w:w="-90" w:type="dxa"/>
        <w:tblLook w:val="04A0" w:firstRow="1" w:lastRow="0" w:firstColumn="1" w:lastColumn="0" w:noHBand="0" w:noVBand="1"/>
      </w:tblPr>
      <w:tblGrid>
        <w:gridCol w:w="1818"/>
        <w:gridCol w:w="3942"/>
        <w:gridCol w:w="1890"/>
        <w:gridCol w:w="2610"/>
      </w:tblGrid>
      <w:tr w:rsidR="00EA73B7" w:rsidRPr="00C67F37" w14:paraId="06AE3942" w14:textId="77777777" w:rsidTr="002316D1">
        <w:trPr>
          <w:trHeight w:val="260"/>
        </w:trPr>
        <w:tc>
          <w:tcPr>
            <w:tcW w:w="1818" w:type="dxa"/>
            <w:shd w:val="clear" w:color="auto" w:fill="auto"/>
            <w:vAlign w:val="center"/>
          </w:tcPr>
          <w:p w14:paraId="13CC24F4" w14:textId="77777777" w:rsidR="00EA73B7" w:rsidRPr="00C67F37" w:rsidRDefault="00EA73B7" w:rsidP="00017A12">
            <w:pPr>
              <w:rPr>
                <w:rFonts w:ascii="Arial" w:hAnsi="Arial" w:cs="Arial"/>
              </w:rPr>
            </w:pPr>
            <w:r w:rsidRPr="00C67F37">
              <w:rPr>
                <w:rFonts w:ascii="Arial" w:hAnsi="Arial" w:cs="Arial"/>
                <w:b/>
              </w:rPr>
              <w:t>ISSUE DATE:</w:t>
            </w:r>
          </w:p>
        </w:tc>
        <w:tc>
          <w:tcPr>
            <w:tcW w:w="3942" w:type="dxa"/>
            <w:shd w:val="clear" w:color="auto" w:fill="auto"/>
            <w:vAlign w:val="center"/>
          </w:tcPr>
          <w:p w14:paraId="19B259FE" w14:textId="6B2252B2" w:rsidR="00EA73B7" w:rsidRPr="00C67F37" w:rsidRDefault="009B2815" w:rsidP="00017A12">
            <w:pPr>
              <w:rPr>
                <w:rFonts w:ascii="Arial" w:hAnsi="Arial" w:cs="Arial"/>
              </w:rPr>
            </w:pPr>
            <w:r>
              <w:rPr>
                <w:rFonts w:ascii="Arial" w:hAnsi="Arial" w:cs="Arial"/>
              </w:rPr>
              <w:t>February 25, 2022</w:t>
            </w:r>
          </w:p>
        </w:tc>
        <w:tc>
          <w:tcPr>
            <w:tcW w:w="1890" w:type="dxa"/>
            <w:shd w:val="clear" w:color="auto" w:fill="auto"/>
            <w:vAlign w:val="center"/>
          </w:tcPr>
          <w:p w14:paraId="6A332556" w14:textId="6F05C456" w:rsidR="00EA73B7" w:rsidRPr="00C67F37" w:rsidRDefault="00EA73B7" w:rsidP="00017A12">
            <w:pPr>
              <w:rPr>
                <w:rFonts w:ascii="Arial" w:hAnsi="Arial" w:cs="Arial"/>
              </w:rPr>
            </w:pPr>
            <w:r w:rsidRPr="00C67F37">
              <w:rPr>
                <w:rFonts w:ascii="Arial" w:hAnsi="Arial" w:cs="Arial"/>
                <w:b/>
              </w:rPr>
              <w:fldChar w:fldCharType="begin"/>
            </w:r>
            <w:r w:rsidRPr="00C67F37">
              <w:rPr>
                <w:rFonts w:ascii="Arial" w:hAnsi="Arial" w:cs="Arial"/>
                <w:b/>
              </w:rPr>
              <w:instrText xml:space="preserve"> SEQ CHAPTER \h \r 1</w:instrText>
            </w:r>
            <w:r w:rsidRPr="00C67F37">
              <w:rPr>
                <w:rFonts w:ascii="Arial" w:hAnsi="Arial" w:cs="Arial"/>
                <w:b/>
              </w:rPr>
              <w:fldChar w:fldCharType="end"/>
            </w:r>
            <w:r w:rsidRPr="00C67F37">
              <w:rPr>
                <w:rFonts w:ascii="Arial" w:hAnsi="Arial" w:cs="Arial"/>
                <w:b/>
              </w:rPr>
              <w:t>CASE NO(S).:</w:t>
            </w:r>
          </w:p>
        </w:tc>
        <w:tc>
          <w:tcPr>
            <w:tcW w:w="2610" w:type="dxa"/>
            <w:shd w:val="clear" w:color="auto" w:fill="auto"/>
            <w:vAlign w:val="center"/>
          </w:tcPr>
          <w:p w14:paraId="472C39B2" w14:textId="5C290EC8" w:rsidR="00EA73B7" w:rsidRPr="00C67F37" w:rsidRDefault="002316D1" w:rsidP="002316D1">
            <w:pPr>
              <w:ind w:left="255"/>
              <w:rPr>
                <w:rFonts w:ascii="Arial" w:hAnsi="Arial" w:cs="Arial"/>
              </w:rPr>
            </w:pPr>
            <w:r>
              <w:rPr>
                <w:rFonts w:ascii="Arial" w:hAnsi="Arial" w:cs="Arial"/>
              </w:rPr>
              <w:t>PL140860</w:t>
            </w:r>
          </w:p>
        </w:tc>
      </w:tr>
    </w:tbl>
    <w:p w14:paraId="348E1971" w14:textId="45588834" w:rsidR="00B268A7" w:rsidRPr="00C67F37" w:rsidRDefault="00B268A7" w:rsidP="00017A12">
      <w:pPr>
        <w:rPr>
          <w:rFonts w:ascii="Arial" w:hAnsi="Arial" w:cs="Arial"/>
        </w:rPr>
      </w:pPr>
    </w:p>
    <w:p w14:paraId="706DFD84" w14:textId="77777777" w:rsidR="00A040CA" w:rsidRPr="00C67F37" w:rsidRDefault="00A040CA" w:rsidP="00017A12">
      <w:pPr>
        <w:rPr>
          <w:rFonts w:ascii="Arial" w:hAnsi="Arial" w:cs="Arial"/>
        </w:rPr>
      </w:pPr>
    </w:p>
    <w:tbl>
      <w:tblPr>
        <w:tblW w:w="9606" w:type="dxa"/>
        <w:tblInd w:w="-90" w:type="dxa"/>
        <w:tblLook w:val="04A0" w:firstRow="1" w:lastRow="0" w:firstColumn="1" w:lastColumn="0" w:noHBand="0" w:noVBand="1"/>
      </w:tblPr>
      <w:tblGrid>
        <w:gridCol w:w="3870"/>
        <w:gridCol w:w="5736"/>
      </w:tblGrid>
      <w:tr w:rsidR="002A1D87" w14:paraId="3553CEF6" w14:textId="77777777" w:rsidTr="002A1D87">
        <w:trPr>
          <w:cantSplit/>
          <w:trHeight w:val="732"/>
        </w:trPr>
        <w:tc>
          <w:tcPr>
            <w:tcW w:w="9606" w:type="dxa"/>
            <w:gridSpan w:val="2"/>
            <w:hideMark/>
          </w:tcPr>
          <w:p w14:paraId="43231E72" w14:textId="77777777" w:rsidR="002A1D87" w:rsidRDefault="002A1D87">
            <w:pPr>
              <w:rPr>
                <w:rFonts w:ascii="Arial" w:hAnsi="Arial" w:cs="Arial"/>
                <w:sz w:val="22"/>
                <w:szCs w:val="22"/>
                <w:lang w:val="en-CA" w:eastAsia="en-CA"/>
              </w:rPr>
            </w:pPr>
            <w:r>
              <w:rPr>
                <w:rFonts w:ascii="Arial" w:hAnsi="Arial" w:cs="Arial"/>
                <w:b/>
              </w:rPr>
              <w:t xml:space="preserve">PROCEEDING COMMENCED UNDER </w:t>
            </w:r>
            <w:r>
              <w:rPr>
                <w:rFonts w:ascii="Arial" w:hAnsi="Arial" w:cs="Arial"/>
              </w:rPr>
              <w:t xml:space="preserve">subsection 17(36) of the </w:t>
            </w:r>
            <w:r>
              <w:rPr>
                <w:rFonts w:ascii="Arial" w:hAnsi="Arial" w:cs="Arial"/>
                <w:i/>
              </w:rPr>
              <w:t>Planning Act</w:t>
            </w:r>
            <w:r>
              <w:rPr>
                <w:rFonts w:ascii="Arial" w:hAnsi="Arial" w:cs="Arial"/>
              </w:rPr>
              <w:t>, R.S.O. 1990, c. P.13, as amended</w:t>
            </w:r>
          </w:p>
        </w:tc>
      </w:tr>
      <w:tr w:rsidR="002A1D87" w14:paraId="1AF3DCEA" w14:textId="77777777" w:rsidTr="002A1D87">
        <w:tc>
          <w:tcPr>
            <w:tcW w:w="3870" w:type="dxa"/>
            <w:hideMark/>
          </w:tcPr>
          <w:p w14:paraId="6B377B25" w14:textId="77777777" w:rsidR="002A1D87" w:rsidRDefault="002A1D87">
            <w:pPr>
              <w:rPr>
                <w:rFonts w:ascii="Arial" w:hAnsi="Arial" w:cs="Arial"/>
              </w:rPr>
            </w:pPr>
            <w:r>
              <w:rPr>
                <w:rFonts w:ascii="Arial" w:hAnsi="Arial" w:cs="Arial"/>
              </w:rPr>
              <w:t>Appellant:</w:t>
            </w:r>
          </w:p>
        </w:tc>
        <w:tc>
          <w:tcPr>
            <w:tcW w:w="5736" w:type="dxa"/>
            <w:hideMark/>
          </w:tcPr>
          <w:p w14:paraId="4A7C3B18" w14:textId="77777777" w:rsidR="002A1D87" w:rsidRDefault="002A1D87">
            <w:pPr>
              <w:rPr>
                <w:rFonts w:ascii="Arial" w:hAnsi="Arial" w:cs="Arial"/>
              </w:rPr>
            </w:pPr>
            <w:r>
              <w:rPr>
                <w:rFonts w:ascii="Arial" w:hAnsi="Arial" w:cs="Arial"/>
              </w:rPr>
              <w:t>10 QEW Inc.</w:t>
            </w:r>
          </w:p>
        </w:tc>
      </w:tr>
      <w:tr w:rsidR="002A1D87" w14:paraId="3589EED3" w14:textId="77777777" w:rsidTr="002A1D87">
        <w:tc>
          <w:tcPr>
            <w:tcW w:w="3870" w:type="dxa"/>
            <w:hideMark/>
          </w:tcPr>
          <w:p w14:paraId="186EC4A4" w14:textId="77777777" w:rsidR="002A1D87" w:rsidRDefault="002A1D87">
            <w:pPr>
              <w:rPr>
                <w:rFonts w:ascii="Arial" w:hAnsi="Arial" w:cs="Arial"/>
              </w:rPr>
            </w:pPr>
            <w:r>
              <w:rPr>
                <w:rFonts w:ascii="Arial" w:hAnsi="Arial" w:cs="Arial"/>
              </w:rPr>
              <w:t>Appellant:</w:t>
            </w:r>
          </w:p>
        </w:tc>
        <w:tc>
          <w:tcPr>
            <w:tcW w:w="5736" w:type="dxa"/>
            <w:hideMark/>
          </w:tcPr>
          <w:p w14:paraId="6C7A93ED" w14:textId="77777777" w:rsidR="002A1D87" w:rsidRDefault="002A1D87">
            <w:pPr>
              <w:rPr>
                <w:rFonts w:ascii="Arial" w:hAnsi="Arial" w:cs="Arial"/>
              </w:rPr>
            </w:pPr>
            <w:r>
              <w:rPr>
                <w:rFonts w:ascii="Arial" w:hAnsi="Arial" w:cs="Arial"/>
              </w:rPr>
              <w:t>100 Metropolitan Portfolio Inc.</w:t>
            </w:r>
          </w:p>
        </w:tc>
      </w:tr>
      <w:tr w:rsidR="002A1D87" w14:paraId="25B9896B" w14:textId="77777777" w:rsidTr="002A1D87">
        <w:tc>
          <w:tcPr>
            <w:tcW w:w="3870" w:type="dxa"/>
            <w:hideMark/>
          </w:tcPr>
          <w:p w14:paraId="079BD4B8" w14:textId="77777777" w:rsidR="002A1D87" w:rsidRDefault="002A1D87">
            <w:pPr>
              <w:rPr>
                <w:rFonts w:ascii="Arial" w:hAnsi="Arial" w:cs="Arial"/>
              </w:rPr>
            </w:pPr>
            <w:r>
              <w:rPr>
                <w:rFonts w:ascii="Arial" w:hAnsi="Arial" w:cs="Arial"/>
              </w:rPr>
              <w:t>Appellant:</w:t>
            </w:r>
          </w:p>
        </w:tc>
        <w:tc>
          <w:tcPr>
            <w:tcW w:w="5736" w:type="dxa"/>
            <w:hideMark/>
          </w:tcPr>
          <w:p w14:paraId="003C55F0" w14:textId="77777777" w:rsidR="002A1D87" w:rsidRDefault="002A1D87">
            <w:pPr>
              <w:rPr>
                <w:rFonts w:ascii="Arial" w:hAnsi="Arial" w:cs="Arial"/>
              </w:rPr>
            </w:pPr>
            <w:r>
              <w:rPr>
                <w:rFonts w:ascii="Arial" w:hAnsi="Arial" w:cs="Arial"/>
              </w:rPr>
              <w:t>1095909 Ontario Limited (Wynn Group of Companies)</w:t>
            </w:r>
          </w:p>
        </w:tc>
      </w:tr>
      <w:tr w:rsidR="002A1D87" w14:paraId="3C3E4702" w14:textId="77777777" w:rsidTr="002A1D87">
        <w:tc>
          <w:tcPr>
            <w:tcW w:w="3870" w:type="dxa"/>
            <w:hideMark/>
          </w:tcPr>
          <w:p w14:paraId="59D98E4F" w14:textId="77777777" w:rsidR="002A1D87" w:rsidRDefault="002A1D87">
            <w:pPr>
              <w:rPr>
                <w:rFonts w:ascii="Arial" w:hAnsi="Arial" w:cs="Arial"/>
              </w:rPr>
            </w:pPr>
            <w:r>
              <w:rPr>
                <w:rFonts w:ascii="Arial" w:hAnsi="Arial" w:cs="Arial"/>
              </w:rPr>
              <w:t xml:space="preserve">Appellant: </w:t>
            </w:r>
          </w:p>
        </w:tc>
        <w:tc>
          <w:tcPr>
            <w:tcW w:w="5736" w:type="dxa"/>
            <w:hideMark/>
          </w:tcPr>
          <w:p w14:paraId="0A355D05" w14:textId="77777777" w:rsidR="002A1D87" w:rsidRDefault="002A1D87">
            <w:pPr>
              <w:rPr>
                <w:rFonts w:ascii="Arial" w:hAnsi="Arial" w:cs="Arial"/>
              </w:rPr>
            </w:pPr>
            <w:r>
              <w:rPr>
                <w:rFonts w:ascii="Arial" w:hAnsi="Arial" w:cs="Arial"/>
              </w:rPr>
              <w:t>1107051 Ontario Ltd.; and others</w:t>
            </w:r>
          </w:p>
        </w:tc>
      </w:tr>
      <w:tr w:rsidR="002A1D87" w14:paraId="2FF0CE10" w14:textId="77777777" w:rsidTr="002A1D87">
        <w:tc>
          <w:tcPr>
            <w:tcW w:w="3870" w:type="dxa"/>
            <w:hideMark/>
          </w:tcPr>
          <w:p w14:paraId="3C36E86D" w14:textId="77777777" w:rsidR="002A1D87" w:rsidRDefault="002A1D87">
            <w:pPr>
              <w:rPr>
                <w:rFonts w:ascii="Arial" w:hAnsi="Arial" w:cs="Arial"/>
              </w:rPr>
            </w:pPr>
            <w:r>
              <w:rPr>
                <w:rFonts w:ascii="Arial" w:hAnsi="Arial" w:cs="Arial"/>
              </w:rPr>
              <w:t>Subject:</w:t>
            </w:r>
          </w:p>
        </w:tc>
        <w:tc>
          <w:tcPr>
            <w:tcW w:w="5736" w:type="dxa"/>
            <w:hideMark/>
          </w:tcPr>
          <w:p w14:paraId="217F6921" w14:textId="77777777" w:rsidR="002A1D87" w:rsidRDefault="002A1D87">
            <w:pPr>
              <w:rPr>
                <w:rFonts w:ascii="Arial" w:hAnsi="Arial" w:cs="Arial"/>
              </w:rPr>
            </w:pPr>
            <w:r>
              <w:rPr>
                <w:rFonts w:ascii="Arial" w:hAnsi="Arial" w:cs="Arial"/>
              </w:rPr>
              <w:t>Proposed Official Plan Amendment No. 231</w:t>
            </w:r>
          </w:p>
        </w:tc>
      </w:tr>
      <w:tr w:rsidR="002A1D87" w14:paraId="767231A7" w14:textId="77777777" w:rsidTr="002A1D87">
        <w:tc>
          <w:tcPr>
            <w:tcW w:w="3870" w:type="dxa"/>
            <w:hideMark/>
          </w:tcPr>
          <w:p w14:paraId="441E02B2" w14:textId="77777777" w:rsidR="002A1D87" w:rsidRDefault="002A1D87">
            <w:pPr>
              <w:rPr>
                <w:rFonts w:ascii="Arial" w:hAnsi="Arial" w:cs="Arial"/>
              </w:rPr>
            </w:pPr>
            <w:r>
              <w:rPr>
                <w:rFonts w:ascii="Arial" w:hAnsi="Arial" w:cs="Arial"/>
              </w:rPr>
              <w:t xml:space="preserve">Municipality: </w:t>
            </w:r>
          </w:p>
        </w:tc>
        <w:tc>
          <w:tcPr>
            <w:tcW w:w="5736" w:type="dxa"/>
            <w:hideMark/>
          </w:tcPr>
          <w:p w14:paraId="4E5A3A0F" w14:textId="77777777" w:rsidR="002A1D87" w:rsidRDefault="002A1D87">
            <w:pPr>
              <w:rPr>
                <w:rFonts w:ascii="Arial" w:hAnsi="Arial" w:cs="Arial"/>
              </w:rPr>
            </w:pPr>
            <w:r>
              <w:rPr>
                <w:rFonts w:ascii="Arial" w:hAnsi="Arial" w:cs="Arial"/>
              </w:rPr>
              <w:t>City of Toronto</w:t>
            </w:r>
          </w:p>
        </w:tc>
      </w:tr>
      <w:tr w:rsidR="002A1D87" w14:paraId="16916527" w14:textId="77777777" w:rsidTr="002A1D87">
        <w:tc>
          <w:tcPr>
            <w:tcW w:w="3870" w:type="dxa"/>
            <w:hideMark/>
          </w:tcPr>
          <w:p w14:paraId="15E7DC91" w14:textId="77777777" w:rsidR="002A1D87" w:rsidRDefault="002A1D87">
            <w:pPr>
              <w:rPr>
                <w:rFonts w:ascii="Arial" w:hAnsi="Arial" w:cs="Arial"/>
              </w:rPr>
            </w:pPr>
            <w:r>
              <w:rPr>
                <w:rFonts w:ascii="Arial" w:hAnsi="Arial" w:cs="Arial"/>
              </w:rPr>
              <w:t xml:space="preserve">OLT Case No.: </w:t>
            </w:r>
          </w:p>
        </w:tc>
        <w:tc>
          <w:tcPr>
            <w:tcW w:w="5736" w:type="dxa"/>
            <w:hideMark/>
          </w:tcPr>
          <w:p w14:paraId="7B0554C1" w14:textId="77777777" w:rsidR="002A1D87" w:rsidRDefault="002A1D87">
            <w:pPr>
              <w:rPr>
                <w:rFonts w:ascii="Arial" w:hAnsi="Arial" w:cs="Arial"/>
              </w:rPr>
            </w:pPr>
            <w:r>
              <w:rPr>
                <w:rFonts w:ascii="Arial" w:hAnsi="Arial" w:cs="Arial"/>
              </w:rPr>
              <w:t>PL140860</w:t>
            </w:r>
          </w:p>
        </w:tc>
      </w:tr>
      <w:tr w:rsidR="002A1D87" w14:paraId="36A8DAC1" w14:textId="77777777" w:rsidTr="002A1D87">
        <w:tc>
          <w:tcPr>
            <w:tcW w:w="3870" w:type="dxa"/>
            <w:hideMark/>
          </w:tcPr>
          <w:p w14:paraId="62E25884" w14:textId="77777777" w:rsidR="002A1D87" w:rsidRDefault="002A1D87">
            <w:pPr>
              <w:rPr>
                <w:rFonts w:ascii="Arial" w:hAnsi="Arial" w:cs="Arial"/>
              </w:rPr>
            </w:pPr>
            <w:r>
              <w:rPr>
                <w:rFonts w:ascii="Arial" w:hAnsi="Arial" w:cs="Arial"/>
              </w:rPr>
              <w:t xml:space="preserve">OLT File No.: </w:t>
            </w:r>
          </w:p>
        </w:tc>
        <w:tc>
          <w:tcPr>
            <w:tcW w:w="5736" w:type="dxa"/>
            <w:hideMark/>
          </w:tcPr>
          <w:p w14:paraId="206AA782" w14:textId="77777777" w:rsidR="002A1D87" w:rsidRDefault="002A1D87">
            <w:pPr>
              <w:rPr>
                <w:rFonts w:ascii="Arial" w:hAnsi="Arial" w:cs="Arial"/>
              </w:rPr>
            </w:pPr>
            <w:r>
              <w:rPr>
                <w:rFonts w:ascii="Arial" w:hAnsi="Arial" w:cs="Arial"/>
              </w:rPr>
              <w:t>PL140860</w:t>
            </w:r>
          </w:p>
        </w:tc>
      </w:tr>
      <w:tr w:rsidR="002A1D87" w14:paraId="5F167EF4" w14:textId="77777777" w:rsidTr="002A1D87">
        <w:tc>
          <w:tcPr>
            <w:tcW w:w="3870" w:type="dxa"/>
            <w:hideMark/>
          </w:tcPr>
          <w:p w14:paraId="06DCDE41" w14:textId="77777777" w:rsidR="002A1D87" w:rsidRDefault="002A1D87">
            <w:pPr>
              <w:rPr>
                <w:rFonts w:ascii="Arial" w:hAnsi="Arial" w:cs="Arial"/>
              </w:rPr>
            </w:pPr>
            <w:r>
              <w:rPr>
                <w:rFonts w:ascii="Arial" w:hAnsi="Arial" w:cs="Arial"/>
              </w:rPr>
              <w:t xml:space="preserve">OLT Case Name: </w:t>
            </w:r>
          </w:p>
        </w:tc>
        <w:tc>
          <w:tcPr>
            <w:tcW w:w="5736" w:type="dxa"/>
            <w:hideMark/>
          </w:tcPr>
          <w:p w14:paraId="624729AB" w14:textId="77777777" w:rsidR="002A1D87" w:rsidRDefault="002A1D87">
            <w:pPr>
              <w:rPr>
                <w:rFonts w:ascii="Arial" w:hAnsi="Arial" w:cs="Arial"/>
              </w:rPr>
            </w:pPr>
            <w:r>
              <w:rPr>
                <w:rFonts w:ascii="Arial" w:hAnsi="Arial" w:cs="Arial"/>
              </w:rPr>
              <w:t>A. Mantella &amp; Sons Limited v. Toronto (City)</w:t>
            </w:r>
          </w:p>
        </w:tc>
      </w:tr>
    </w:tbl>
    <w:p w14:paraId="4CE409E0" w14:textId="77777777" w:rsidR="00967C98" w:rsidRPr="00C67F37" w:rsidRDefault="00967C98" w:rsidP="00017A12">
      <w:pPr>
        <w:rPr>
          <w:rFonts w:ascii="Arial" w:hAnsi="Arial" w:cs="Arial"/>
        </w:rPr>
      </w:pPr>
    </w:p>
    <w:p w14:paraId="2D11A4D1" w14:textId="77777777" w:rsidR="002368D1" w:rsidRPr="00C67F37" w:rsidRDefault="002368D1" w:rsidP="00017A12">
      <w:pPr>
        <w:rPr>
          <w:rFonts w:ascii="Arial" w:hAnsi="Arial" w:cs="Arial"/>
        </w:rPr>
      </w:pPr>
    </w:p>
    <w:tbl>
      <w:tblPr>
        <w:tblW w:w="9990" w:type="dxa"/>
        <w:tblInd w:w="-90" w:type="dxa"/>
        <w:tblLook w:val="0000" w:firstRow="0" w:lastRow="0" w:firstColumn="0" w:lastColumn="0" w:noHBand="0" w:noVBand="0"/>
      </w:tblPr>
      <w:tblGrid>
        <w:gridCol w:w="3870"/>
        <w:gridCol w:w="6120"/>
      </w:tblGrid>
      <w:tr w:rsidR="00017A12" w:rsidRPr="00C67F37" w14:paraId="11F88282" w14:textId="77777777" w:rsidTr="00D60859">
        <w:tc>
          <w:tcPr>
            <w:tcW w:w="3870" w:type="dxa"/>
          </w:tcPr>
          <w:p w14:paraId="2AB9C92F" w14:textId="77777777" w:rsidR="00017A12" w:rsidRPr="00C67F37" w:rsidRDefault="00017A12" w:rsidP="00017A12">
            <w:pPr>
              <w:rPr>
                <w:rFonts w:ascii="Arial" w:hAnsi="Arial" w:cs="Arial"/>
              </w:rPr>
            </w:pPr>
            <w:r w:rsidRPr="00C67F37">
              <w:rPr>
                <w:rFonts w:ascii="Arial" w:hAnsi="Arial" w:cs="Arial"/>
                <w:b/>
              </w:rPr>
              <w:t>Heard:</w:t>
            </w:r>
          </w:p>
        </w:tc>
        <w:tc>
          <w:tcPr>
            <w:tcW w:w="6120" w:type="dxa"/>
          </w:tcPr>
          <w:p w14:paraId="3467ECE9" w14:textId="48284306" w:rsidR="00017A12" w:rsidRPr="00C67F37" w:rsidRDefault="00D84C0C" w:rsidP="00017A12">
            <w:pPr>
              <w:rPr>
                <w:rFonts w:ascii="Arial" w:hAnsi="Arial" w:cs="Arial"/>
              </w:rPr>
            </w:pPr>
            <w:r>
              <w:rPr>
                <w:rFonts w:ascii="Arial" w:hAnsi="Arial" w:cs="Arial"/>
              </w:rPr>
              <w:t>December 6 to 17</w:t>
            </w:r>
            <w:r w:rsidR="002368D1" w:rsidRPr="00C67F37">
              <w:rPr>
                <w:rFonts w:ascii="Arial" w:hAnsi="Arial" w:cs="Arial"/>
              </w:rPr>
              <w:t xml:space="preserve">, </w:t>
            </w:r>
            <w:r w:rsidR="00421C41" w:rsidRPr="00C67F37">
              <w:rPr>
                <w:rFonts w:ascii="Arial" w:hAnsi="Arial" w:cs="Arial"/>
              </w:rPr>
              <w:t>202</w:t>
            </w:r>
            <w:r>
              <w:rPr>
                <w:rFonts w:ascii="Arial" w:hAnsi="Arial" w:cs="Arial"/>
              </w:rPr>
              <w:t>1</w:t>
            </w:r>
            <w:r w:rsidR="00421C41" w:rsidRPr="00C67F37">
              <w:rPr>
                <w:rFonts w:ascii="Arial" w:hAnsi="Arial" w:cs="Arial"/>
              </w:rPr>
              <w:t xml:space="preserve"> by </w:t>
            </w:r>
            <w:r w:rsidR="00310D85">
              <w:rPr>
                <w:rFonts w:ascii="Arial" w:hAnsi="Arial" w:cs="Arial"/>
              </w:rPr>
              <w:t>Video Hearing</w:t>
            </w:r>
          </w:p>
        </w:tc>
      </w:tr>
    </w:tbl>
    <w:p w14:paraId="05B3833B" w14:textId="77777777" w:rsidR="00B268A7" w:rsidRDefault="00B268A7" w:rsidP="00017A12">
      <w:pPr>
        <w:rPr>
          <w:rFonts w:ascii="Arial" w:hAnsi="Arial" w:cs="Arial"/>
        </w:rPr>
      </w:pPr>
    </w:p>
    <w:bookmarkEnd w:id="0"/>
    <w:p w14:paraId="3143903F" w14:textId="770762E3" w:rsidR="00CF7E9D" w:rsidRDefault="00CF7E9D"/>
    <w:tbl>
      <w:tblPr>
        <w:tblW w:w="9450" w:type="dxa"/>
        <w:tblInd w:w="-90" w:type="dxa"/>
        <w:tblLook w:val="0000" w:firstRow="0" w:lastRow="0" w:firstColumn="0" w:lastColumn="0" w:noHBand="0" w:noVBand="0"/>
      </w:tblPr>
      <w:tblGrid>
        <w:gridCol w:w="3870"/>
        <w:gridCol w:w="5580"/>
      </w:tblGrid>
      <w:tr w:rsidR="0089782A" w:rsidRPr="00967C98" w14:paraId="71D70646" w14:textId="77777777" w:rsidTr="00D60859">
        <w:tc>
          <w:tcPr>
            <w:tcW w:w="3870" w:type="dxa"/>
          </w:tcPr>
          <w:p w14:paraId="63A9137F" w14:textId="10FF67F3" w:rsidR="0089782A" w:rsidRPr="00967C98" w:rsidRDefault="0089782A" w:rsidP="00017A12">
            <w:pPr>
              <w:rPr>
                <w:rFonts w:ascii="Arial" w:hAnsi="Arial" w:cs="Arial"/>
              </w:rPr>
            </w:pPr>
            <w:r w:rsidRPr="00967C98">
              <w:rPr>
                <w:rFonts w:ascii="Arial" w:hAnsi="Arial" w:cs="Arial"/>
                <w:b/>
              </w:rPr>
              <w:t>APPEARANCES:</w:t>
            </w:r>
          </w:p>
        </w:tc>
        <w:tc>
          <w:tcPr>
            <w:tcW w:w="5580" w:type="dxa"/>
          </w:tcPr>
          <w:p w14:paraId="685DCEE5" w14:textId="77777777" w:rsidR="0089782A" w:rsidRPr="00967C98" w:rsidRDefault="0089782A" w:rsidP="00017A12">
            <w:pPr>
              <w:rPr>
                <w:rFonts w:ascii="Arial" w:hAnsi="Arial" w:cs="Arial"/>
              </w:rPr>
            </w:pPr>
          </w:p>
        </w:tc>
      </w:tr>
      <w:tr w:rsidR="0089782A" w:rsidRPr="00967C98" w14:paraId="28A46EF4" w14:textId="77777777" w:rsidTr="00D60859">
        <w:tc>
          <w:tcPr>
            <w:tcW w:w="3870" w:type="dxa"/>
          </w:tcPr>
          <w:p w14:paraId="61189886" w14:textId="77777777" w:rsidR="0089782A" w:rsidRPr="00967C98" w:rsidRDefault="0089782A" w:rsidP="00017A12">
            <w:pPr>
              <w:rPr>
                <w:rFonts w:ascii="Arial" w:hAnsi="Arial" w:cs="Arial"/>
              </w:rPr>
            </w:pPr>
          </w:p>
        </w:tc>
        <w:tc>
          <w:tcPr>
            <w:tcW w:w="5580" w:type="dxa"/>
          </w:tcPr>
          <w:p w14:paraId="07A03881" w14:textId="77777777" w:rsidR="0089782A" w:rsidRPr="00967C98" w:rsidRDefault="0089782A" w:rsidP="00017A12">
            <w:pPr>
              <w:rPr>
                <w:rFonts w:ascii="Arial" w:hAnsi="Arial" w:cs="Arial"/>
              </w:rPr>
            </w:pPr>
          </w:p>
        </w:tc>
      </w:tr>
      <w:tr w:rsidR="008046EB" w:rsidRPr="00967C98" w14:paraId="0B7D2CD8" w14:textId="77777777" w:rsidTr="00D60859">
        <w:tc>
          <w:tcPr>
            <w:tcW w:w="3870" w:type="dxa"/>
          </w:tcPr>
          <w:p w14:paraId="4741420F" w14:textId="77658BA7" w:rsidR="008046EB" w:rsidRPr="00967C98" w:rsidRDefault="008046EB" w:rsidP="00017A12">
            <w:pPr>
              <w:rPr>
                <w:rFonts w:ascii="Arial" w:hAnsi="Arial" w:cs="Arial"/>
              </w:rPr>
            </w:pPr>
            <w:bookmarkStart w:id="1" w:name="Parties"/>
            <w:bookmarkStart w:id="2" w:name="_Hlk95926283"/>
            <w:r w:rsidRPr="00967C98">
              <w:rPr>
                <w:rFonts w:ascii="Arial" w:hAnsi="Arial" w:cs="Arial"/>
                <w:b/>
                <w:u w:val="single"/>
              </w:rPr>
              <w:t>Parties</w:t>
            </w:r>
            <w:bookmarkEnd w:id="1"/>
          </w:p>
        </w:tc>
        <w:tc>
          <w:tcPr>
            <w:tcW w:w="5580" w:type="dxa"/>
          </w:tcPr>
          <w:p w14:paraId="2D9014DD" w14:textId="6A5F1B60" w:rsidR="008046EB" w:rsidRPr="00967C98" w:rsidRDefault="00310D85" w:rsidP="00017A12">
            <w:pPr>
              <w:rPr>
                <w:rFonts w:ascii="Arial" w:hAnsi="Arial" w:cs="Arial"/>
              </w:rPr>
            </w:pPr>
            <w:r>
              <w:rPr>
                <w:rFonts w:ascii="Arial" w:hAnsi="Arial" w:cs="Arial"/>
                <w:b/>
                <w:u w:val="single"/>
              </w:rPr>
              <w:t>Counsel</w:t>
            </w:r>
          </w:p>
        </w:tc>
      </w:tr>
      <w:tr w:rsidR="00B90CA5" w:rsidRPr="00967C98" w14:paraId="54287EDC" w14:textId="77777777" w:rsidTr="00D60859">
        <w:tc>
          <w:tcPr>
            <w:tcW w:w="3870" w:type="dxa"/>
          </w:tcPr>
          <w:p w14:paraId="5C2E03AE" w14:textId="77777777" w:rsidR="00B90CA5" w:rsidRPr="00967C98" w:rsidRDefault="00B90CA5" w:rsidP="00B90CA5">
            <w:pPr>
              <w:rPr>
                <w:rFonts w:ascii="Arial" w:hAnsi="Arial" w:cs="Arial"/>
              </w:rPr>
            </w:pPr>
          </w:p>
        </w:tc>
        <w:tc>
          <w:tcPr>
            <w:tcW w:w="5580" w:type="dxa"/>
          </w:tcPr>
          <w:p w14:paraId="6C50004D" w14:textId="77777777" w:rsidR="00B90CA5" w:rsidRPr="00967C98" w:rsidRDefault="00B90CA5" w:rsidP="00B90CA5">
            <w:pPr>
              <w:rPr>
                <w:rFonts w:ascii="Arial" w:hAnsi="Arial" w:cs="Arial"/>
              </w:rPr>
            </w:pPr>
          </w:p>
        </w:tc>
      </w:tr>
      <w:tr w:rsidR="00BB7C71" w:rsidRPr="00967C98" w14:paraId="14292BAE" w14:textId="77777777" w:rsidTr="00D60859">
        <w:tc>
          <w:tcPr>
            <w:tcW w:w="3870" w:type="dxa"/>
          </w:tcPr>
          <w:p w14:paraId="2CE00833" w14:textId="0758D630" w:rsidR="00BB7C71" w:rsidRPr="00967C98" w:rsidRDefault="00D84C0C" w:rsidP="00B90CA5">
            <w:pPr>
              <w:rPr>
                <w:rFonts w:ascii="Arial" w:hAnsi="Arial" w:cs="Arial"/>
              </w:rPr>
            </w:pPr>
            <w:r>
              <w:rPr>
                <w:rFonts w:ascii="Arial" w:hAnsi="Arial" w:cs="Arial"/>
              </w:rPr>
              <w:t>City of Toronto</w:t>
            </w:r>
          </w:p>
        </w:tc>
        <w:tc>
          <w:tcPr>
            <w:tcW w:w="5580" w:type="dxa"/>
          </w:tcPr>
          <w:p w14:paraId="29A759B5" w14:textId="1FE637AE" w:rsidR="00BB7C71" w:rsidRPr="00D84C0C" w:rsidRDefault="00D84C0C" w:rsidP="00D84C0C">
            <w:pPr>
              <w:rPr>
                <w:rFonts w:ascii="Arial" w:hAnsi="Arial" w:cs="Arial"/>
              </w:rPr>
            </w:pPr>
            <w:r w:rsidRPr="00D84C0C">
              <w:rPr>
                <w:rFonts w:ascii="Arial" w:hAnsi="Arial" w:cs="Arial"/>
              </w:rPr>
              <w:t>A</w:t>
            </w:r>
            <w:r>
              <w:rPr>
                <w:rFonts w:ascii="Arial" w:hAnsi="Arial" w:cs="Arial"/>
              </w:rPr>
              <w:t>.</w:t>
            </w:r>
            <w:r w:rsidRPr="00D84C0C">
              <w:rPr>
                <w:rFonts w:ascii="Arial" w:hAnsi="Arial" w:cs="Arial"/>
              </w:rPr>
              <w:t xml:space="preserve"> Biggart, B</w:t>
            </w:r>
            <w:r>
              <w:rPr>
                <w:rFonts w:ascii="Arial" w:hAnsi="Arial" w:cs="Arial"/>
              </w:rPr>
              <w:t>.</w:t>
            </w:r>
            <w:r w:rsidRPr="00D84C0C">
              <w:rPr>
                <w:rFonts w:ascii="Arial" w:hAnsi="Arial" w:cs="Arial"/>
              </w:rPr>
              <w:t xml:space="preserve"> Kapelos</w:t>
            </w:r>
          </w:p>
        </w:tc>
      </w:tr>
      <w:tr w:rsidR="00BB7C71" w:rsidRPr="00967C98" w14:paraId="4A4BD028" w14:textId="77777777" w:rsidTr="000315E1">
        <w:trPr>
          <w:trHeight w:val="80"/>
        </w:trPr>
        <w:tc>
          <w:tcPr>
            <w:tcW w:w="3870" w:type="dxa"/>
          </w:tcPr>
          <w:p w14:paraId="12504969" w14:textId="77777777" w:rsidR="00BB7C71" w:rsidRDefault="00BB7C71" w:rsidP="00B90CA5">
            <w:pPr>
              <w:rPr>
                <w:rFonts w:ascii="Arial" w:hAnsi="Arial" w:cs="Arial"/>
              </w:rPr>
            </w:pPr>
          </w:p>
        </w:tc>
        <w:tc>
          <w:tcPr>
            <w:tcW w:w="5580" w:type="dxa"/>
          </w:tcPr>
          <w:p w14:paraId="2D1CF0BA" w14:textId="77777777" w:rsidR="00BB7C71" w:rsidRPr="00D84C0C" w:rsidRDefault="00BB7C71" w:rsidP="00B90CA5">
            <w:pPr>
              <w:rPr>
                <w:rFonts w:ascii="Arial" w:hAnsi="Arial" w:cs="Arial"/>
              </w:rPr>
            </w:pPr>
          </w:p>
        </w:tc>
      </w:tr>
      <w:tr w:rsidR="00BB7C71" w:rsidRPr="00967C98" w14:paraId="64CC13BD" w14:textId="77777777" w:rsidTr="00D60859">
        <w:tc>
          <w:tcPr>
            <w:tcW w:w="3870" w:type="dxa"/>
          </w:tcPr>
          <w:p w14:paraId="0E183E52" w14:textId="5F236F9D" w:rsidR="00BB7C71" w:rsidRDefault="00D84C0C" w:rsidP="00B90CA5">
            <w:pPr>
              <w:rPr>
                <w:rFonts w:ascii="Arial" w:hAnsi="Arial" w:cs="Arial"/>
              </w:rPr>
            </w:pPr>
            <w:bookmarkStart w:id="3" w:name="_Hlk96537234"/>
            <w:r>
              <w:rPr>
                <w:rFonts w:ascii="Arial" w:hAnsi="Arial" w:cs="Arial"/>
              </w:rPr>
              <w:t>Al Reisman Ltd., 1182929 Ontario Inc. and May Flower Landscaping Design Ltd.</w:t>
            </w:r>
          </w:p>
        </w:tc>
        <w:tc>
          <w:tcPr>
            <w:tcW w:w="5580" w:type="dxa"/>
          </w:tcPr>
          <w:p w14:paraId="531B9911" w14:textId="6BC61218" w:rsidR="00BB7C71" w:rsidRDefault="00D84C0C" w:rsidP="00B90CA5">
            <w:pPr>
              <w:rPr>
                <w:rFonts w:ascii="Arial" w:hAnsi="Arial" w:cs="Arial"/>
              </w:rPr>
            </w:pPr>
            <w:r>
              <w:rPr>
                <w:rFonts w:ascii="Arial" w:hAnsi="Arial" w:cs="Arial"/>
              </w:rPr>
              <w:t>D. White</w:t>
            </w:r>
          </w:p>
        </w:tc>
      </w:tr>
      <w:tr w:rsidR="00E63C80" w:rsidRPr="00967C98" w14:paraId="17055D99" w14:textId="77777777" w:rsidTr="00D60859">
        <w:tc>
          <w:tcPr>
            <w:tcW w:w="3870" w:type="dxa"/>
          </w:tcPr>
          <w:p w14:paraId="340003FD" w14:textId="77777777" w:rsidR="00E63C80" w:rsidRDefault="00E63C80" w:rsidP="00B90CA5">
            <w:pPr>
              <w:rPr>
                <w:rFonts w:ascii="Arial" w:hAnsi="Arial" w:cs="Arial"/>
              </w:rPr>
            </w:pPr>
          </w:p>
        </w:tc>
        <w:tc>
          <w:tcPr>
            <w:tcW w:w="5580" w:type="dxa"/>
          </w:tcPr>
          <w:p w14:paraId="7FA5CF0F" w14:textId="77777777" w:rsidR="00E63C80" w:rsidRDefault="00E63C80" w:rsidP="00B90CA5">
            <w:pPr>
              <w:rPr>
                <w:rFonts w:ascii="Arial" w:hAnsi="Arial" w:cs="Arial"/>
              </w:rPr>
            </w:pPr>
          </w:p>
        </w:tc>
      </w:tr>
      <w:tr w:rsidR="00E63C80" w:rsidRPr="00967C98" w14:paraId="171DFBA4" w14:textId="77777777" w:rsidTr="000315E1">
        <w:trPr>
          <w:trHeight w:val="756"/>
        </w:trPr>
        <w:tc>
          <w:tcPr>
            <w:tcW w:w="3870" w:type="dxa"/>
          </w:tcPr>
          <w:p w14:paraId="20A575A1" w14:textId="77777777" w:rsidR="00841343" w:rsidRDefault="00D84C0C" w:rsidP="00B90CA5">
            <w:pPr>
              <w:rPr>
                <w:rFonts w:ascii="Arial" w:hAnsi="Arial" w:cs="Arial"/>
              </w:rPr>
            </w:pPr>
            <w:r>
              <w:rPr>
                <w:rFonts w:ascii="Arial" w:hAnsi="Arial" w:cs="Arial"/>
              </w:rPr>
              <w:t>Loblaw Properties Limited and</w:t>
            </w:r>
          </w:p>
          <w:p w14:paraId="1C48BBAB" w14:textId="737312CF" w:rsidR="00E63C80" w:rsidRDefault="00841343" w:rsidP="00B90CA5">
            <w:pPr>
              <w:rPr>
                <w:rFonts w:ascii="Arial" w:hAnsi="Arial" w:cs="Arial"/>
              </w:rPr>
            </w:pPr>
            <w:r w:rsidRPr="000315E1">
              <w:rPr>
                <w:rFonts w:ascii="Arial" w:hAnsi="Arial" w:cs="Arial"/>
                <w:iCs/>
              </w:rPr>
              <w:t>CP</w:t>
            </w:r>
            <w:r w:rsidRPr="000315E1">
              <w:rPr>
                <w:rFonts w:ascii="Arial" w:hAnsi="Arial" w:cs="Arial"/>
                <w:iCs/>
              </w:rPr>
              <w:t xml:space="preserve"> </w:t>
            </w:r>
            <w:r w:rsidR="00F41936" w:rsidRPr="000315E1">
              <w:rPr>
                <w:rFonts w:ascii="Arial" w:hAnsi="Arial" w:cs="Arial"/>
                <w:iCs/>
              </w:rPr>
              <w:t>REIT Ontario Properties Limited</w:t>
            </w:r>
            <w:r w:rsidR="00F41936" w:rsidRPr="00F41936">
              <w:rPr>
                <w:rFonts w:ascii="Arial" w:hAnsi="Arial" w:cs="Arial"/>
              </w:rPr>
              <w:t xml:space="preserve"> </w:t>
            </w:r>
          </w:p>
        </w:tc>
        <w:tc>
          <w:tcPr>
            <w:tcW w:w="5580" w:type="dxa"/>
          </w:tcPr>
          <w:p w14:paraId="2D5453C2" w14:textId="4C057A25" w:rsidR="00E63C80" w:rsidRDefault="00D84C0C" w:rsidP="00B90CA5">
            <w:pPr>
              <w:rPr>
                <w:rFonts w:ascii="Arial" w:hAnsi="Arial" w:cs="Arial"/>
              </w:rPr>
            </w:pPr>
            <w:r>
              <w:rPr>
                <w:rFonts w:ascii="Arial" w:hAnsi="Arial" w:cs="Arial"/>
              </w:rPr>
              <w:t>D. Neligan</w:t>
            </w:r>
          </w:p>
        </w:tc>
      </w:tr>
      <w:bookmarkEnd w:id="2"/>
      <w:bookmarkEnd w:id="3"/>
    </w:tbl>
    <w:p w14:paraId="7D272516" w14:textId="51248847" w:rsidR="00A040CA" w:rsidRDefault="00A040CA" w:rsidP="00017A12">
      <w:pPr>
        <w:rPr>
          <w:rFonts w:ascii="Arial" w:hAnsi="Arial" w:cs="Arial"/>
        </w:rPr>
      </w:pPr>
    </w:p>
    <w:p w14:paraId="018CE20A" w14:textId="77777777" w:rsidR="00C67F37" w:rsidRPr="00967C98" w:rsidRDefault="00C67F37" w:rsidP="00017A12">
      <w:pPr>
        <w:rPr>
          <w:rFonts w:ascii="Arial" w:hAnsi="Arial" w:cs="Arial"/>
        </w:rPr>
      </w:pPr>
    </w:p>
    <w:p w14:paraId="23267E75" w14:textId="1B92690D" w:rsidR="00D84C0C" w:rsidRPr="000315E1" w:rsidRDefault="00935095" w:rsidP="000315E1">
      <w:pPr>
        <w:pStyle w:val="DecisionDeliveredby"/>
      </w:pPr>
      <w:r w:rsidRPr="00F968E6">
        <w:t xml:space="preserve">DECISION </w:t>
      </w:r>
      <w:r w:rsidR="0038149B" w:rsidRPr="00F968E6">
        <w:t xml:space="preserve">DELIVERED BY </w:t>
      </w:r>
      <w:r w:rsidR="00D84C0C">
        <w:t>G. BURTON AND D.S. COLBOURNE</w:t>
      </w:r>
      <w:r w:rsidR="00C67F37">
        <w:t xml:space="preserve"> </w:t>
      </w:r>
      <w:r w:rsidR="008E10BC" w:rsidRPr="00CF1C17">
        <w:t>AND ORDER OF THE TRIBUNAL</w:t>
      </w:r>
    </w:p>
    <w:p w14:paraId="46343024" w14:textId="004E4617" w:rsidR="00447901" w:rsidRPr="00447901" w:rsidRDefault="00447901" w:rsidP="00C840A9">
      <w:pPr>
        <w:pStyle w:val="DecisionBody"/>
        <w:widowControl/>
        <w:spacing w:beforeLines="0" w:before="0" w:afterLines="0" w:after="0"/>
        <w:rPr>
          <w:i/>
        </w:rPr>
      </w:pPr>
      <w:r w:rsidRPr="00447901">
        <w:rPr>
          <w:iCs/>
          <w:lang w:val="en-US"/>
        </w:rPr>
        <w:lastRenderedPageBreak/>
        <w:t xml:space="preserve">These four Appeals to the Ontario Land Tribunal (“OLT” or the </w:t>
      </w:r>
      <w:r w:rsidR="008433D3" w:rsidRPr="00447901">
        <w:rPr>
          <w:iCs/>
          <w:lang w:val="en-US"/>
        </w:rPr>
        <w:t>“</w:t>
      </w:r>
      <w:r w:rsidRPr="00447901">
        <w:rPr>
          <w:iCs/>
          <w:lang w:val="en-US"/>
        </w:rPr>
        <w:t>Tribunal”) (previously</w:t>
      </w:r>
      <w:r w:rsidR="008433D3">
        <w:rPr>
          <w:iCs/>
          <w:lang w:val="en-US"/>
        </w:rPr>
        <w:t>,</w:t>
      </w:r>
      <w:r w:rsidRPr="00447901">
        <w:rPr>
          <w:iCs/>
          <w:lang w:val="en-US"/>
        </w:rPr>
        <w:t xml:space="preserve"> the Ontario Municipal Board and then</w:t>
      </w:r>
      <w:r w:rsidR="00056084">
        <w:rPr>
          <w:iCs/>
          <w:lang w:val="en-US"/>
        </w:rPr>
        <w:t>, the</w:t>
      </w:r>
      <w:r w:rsidRPr="00447901">
        <w:rPr>
          <w:iCs/>
          <w:lang w:val="en-US"/>
        </w:rPr>
        <w:t xml:space="preserve"> Local Planning Appeal Tribunal) resulted from the enactment of Official Plan Amendment </w:t>
      </w:r>
      <w:r w:rsidR="008433D3">
        <w:rPr>
          <w:iCs/>
          <w:lang w:val="en-US"/>
        </w:rPr>
        <w:t xml:space="preserve">No. </w:t>
      </w:r>
      <w:r w:rsidRPr="00447901">
        <w:rPr>
          <w:iCs/>
          <w:lang w:val="en-US"/>
        </w:rPr>
        <w:t>231</w:t>
      </w:r>
      <w:r w:rsidR="008433D3">
        <w:rPr>
          <w:iCs/>
          <w:lang w:val="en-US"/>
        </w:rPr>
        <w:t xml:space="preserve"> (“OPA 231”)</w:t>
      </w:r>
      <w:r w:rsidRPr="00447901">
        <w:rPr>
          <w:iCs/>
          <w:lang w:val="en-US"/>
        </w:rPr>
        <w:t xml:space="preserve"> to the City of Toronto Official Plan (“OP”) in 2013 (see Tab 8 of Exhibit 1A).  It established economic health policies for the City </w:t>
      </w:r>
      <w:r w:rsidR="00914F53">
        <w:rPr>
          <w:iCs/>
          <w:lang w:val="en-US"/>
        </w:rPr>
        <w:t xml:space="preserve">of Toronto </w:t>
      </w:r>
      <w:r w:rsidRPr="00447901">
        <w:rPr>
          <w:iCs/>
          <w:lang w:val="en-US"/>
        </w:rPr>
        <w:t xml:space="preserve">and the policies, designations and mapping for </w:t>
      </w:r>
      <w:r w:rsidRPr="00447901">
        <w:rPr>
          <w:i/>
          <w:iCs/>
          <w:lang w:val="en-US"/>
        </w:rPr>
        <w:t xml:space="preserve">Employment Areas </w:t>
      </w:r>
      <w:r w:rsidRPr="00447901">
        <w:rPr>
          <w:iCs/>
          <w:lang w:val="en-US"/>
        </w:rPr>
        <w:t>within it.</w:t>
      </w:r>
    </w:p>
    <w:p w14:paraId="345C87BE" w14:textId="77777777" w:rsidR="00447901" w:rsidRPr="00447901" w:rsidRDefault="00447901" w:rsidP="00447901">
      <w:pPr>
        <w:pStyle w:val="DecisionBody"/>
        <w:numPr>
          <w:ilvl w:val="0"/>
          <w:numId w:val="0"/>
        </w:numPr>
        <w:spacing w:beforeLines="0" w:before="0" w:afterLines="0" w:after="0"/>
        <w:rPr>
          <w:i/>
        </w:rPr>
      </w:pPr>
    </w:p>
    <w:p w14:paraId="1D9371DB" w14:textId="58E7042D" w:rsidR="00447901" w:rsidRDefault="00447901" w:rsidP="00447901">
      <w:pPr>
        <w:pStyle w:val="DecisionBody"/>
        <w:spacing w:beforeLines="0" w:before="0" w:afterLines="0" w:after="0"/>
        <w:rPr>
          <w:iCs/>
          <w:lang w:val="en-US"/>
        </w:rPr>
      </w:pPr>
      <w:r w:rsidRPr="00447901">
        <w:rPr>
          <w:iCs/>
          <w:lang w:val="en-US"/>
        </w:rPr>
        <w:t>Following ministerial approval of the OPA in 2014, a total of 178 appeals were filed to the Tribunal, including appeals</w:t>
      </w:r>
      <w:r w:rsidR="008433D3">
        <w:rPr>
          <w:iCs/>
          <w:lang w:val="en-US"/>
        </w:rPr>
        <w:t xml:space="preserve"> </w:t>
      </w:r>
      <w:r w:rsidRPr="00447901">
        <w:rPr>
          <w:iCs/>
          <w:lang w:val="en-US"/>
        </w:rPr>
        <w:t>of the whole of OPA 231 on a city-wide basis as well as site-specific appeals.</w:t>
      </w:r>
    </w:p>
    <w:p w14:paraId="3BBE4F34" w14:textId="77777777" w:rsidR="00447901" w:rsidRPr="00447901" w:rsidRDefault="00447901" w:rsidP="00447901">
      <w:pPr>
        <w:pStyle w:val="DecisionBody"/>
        <w:numPr>
          <w:ilvl w:val="0"/>
          <w:numId w:val="0"/>
        </w:numPr>
        <w:spacing w:beforeLines="0" w:before="0" w:afterLines="0" w:after="0"/>
        <w:rPr>
          <w:iCs/>
          <w:lang w:val="en-US"/>
        </w:rPr>
      </w:pPr>
    </w:p>
    <w:p w14:paraId="1EB432E0" w14:textId="069E60A8" w:rsidR="00447901" w:rsidRDefault="00447901" w:rsidP="00447901">
      <w:pPr>
        <w:pStyle w:val="DecisionBody"/>
        <w:spacing w:beforeLines="0" w:before="0" w:afterLines="0" w:after="0"/>
        <w:rPr>
          <w:iCs/>
          <w:lang w:val="en-US"/>
        </w:rPr>
      </w:pPr>
      <w:r w:rsidRPr="00447901">
        <w:rPr>
          <w:iCs/>
          <w:lang w:val="en-US"/>
        </w:rPr>
        <w:t>Certain events now contribute to the need for an early disposition of most of these appeals. The City</w:t>
      </w:r>
      <w:r w:rsidR="00914F53">
        <w:rPr>
          <w:iCs/>
          <w:lang w:val="en-US"/>
        </w:rPr>
        <w:t xml:space="preserve"> of Toronto</w:t>
      </w:r>
      <w:r w:rsidRPr="00447901">
        <w:rPr>
          <w:iCs/>
          <w:lang w:val="en-US"/>
        </w:rPr>
        <w:t xml:space="preserve"> is obliged to conduct Growth Plan for the Greater Golden Horseshoe (“GP”) conformity exercises, as well as a Municipal Comprehensive Review (“MCR”) by July 1, 2022. Thus</w:t>
      </w:r>
      <w:r w:rsidR="008433D3">
        <w:rPr>
          <w:iCs/>
          <w:lang w:val="en-US"/>
        </w:rPr>
        <w:t>,</w:t>
      </w:r>
      <w:r w:rsidRPr="00447901">
        <w:rPr>
          <w:iCs/>
          <w:lang w:val="en-US"/>
        </w:rPr>
        <w:t xml:space="preserve"> the City</w:t>
      </w:r>
      <w:r w:rsidR="00914F53">
        <w:rPr>
          <w:iCs/>
          <w:lang w:val="en-US"/>
        </w:rPr>
        <w:t xml:space="preserve"> of Toronto</w:t>
      </w:r>
      <w:r w:rsidRPr="00447901">
        <w:rPr>
          <w:iCs/>
          <w:lang w:val="en-US"/>
        </w:rPr>
        <w:t xml:space="preserve"> wishes to finalize these matters, rather than having the previous MCR run into the 2022 requirement. This would permit the Tribunal’s findings to be incorporated into the new MCR. Another factor was the filing of O</w:t>
      </w:r>
      <w:r w:rsidR="008433D3">
        <w:rPr>
          <w:iCs/>
          <w:lang w:val="en-US"/>
        </w:rPr>
        <w:t xml:space="preserve">ntario </w:t>
      </w:r>
      <w:r w:rsidRPr="00447901">
        <w:rPr>
          <w:iCs/>
          <w:lang w:val="en-US"/>
        </w:rPr>
        <w:t>Reg</w:t>
      </w:r>
      <w:r w:rsidR="008433D3">
        <w:rPr>
          <w:iCs/>
          <w:lang w:val="en-US"/>
        </w:rPr>
        <w:t>ulation No.</w:t>
      </w:r>
      <w:r w:rsidRPr="00447901">
        <w:rPr>
          <w:iCs/>
          <w:lang w:val="en-US"/>
        </w:rPr>
        <w:t xml:space="preserve"> 305/19</w:t>
      </w:r>
      <w:r w:rsidR="008433D3">
        <w:rPr>
          <w:iCs/>
          <w:lang w:val="en-US"/>
        </w:rPr>
        <w:t xml:space="preserve"> (“O.Reg. 305/19</w:t>
      </w:r>
      <w:r w:rsidR="000976F8">
        <w:rPr>
          <w:iCs/>
          <w:lang w:val="en-US"/>
        </w:rPr>
        <w:t>”</w:t>
      </w:r>
      <w:r w:rsidR="008433D3">
        <w:rPr>
          <w:iCs/>
          <w:lang w:val="en-US"/>
        </w:rPr>
        <w:t>)</w:t>
      </w:r>
      <w:r w:rsidRPr="00447901">
        <w:rPr>
          <w:iCs/>
          <w:lang w:val="en-US"/>
        </w:rPr>
        <w:t xml:space="preserve"> on Sept</w:t>
      </w:r>
      <w:r w:rsidR="008433D3">
        <w:rPr>
          <w:iCs/>
          <w:lang w:val="en-US"/>
        </w:rPr>
        <w:t>ember</w:t>
      </w:r>
      <w:r w:rsidRPr="00447901">
        <w:rPr>
          <w:iCs/>
          <w:lang w:val="en-US"/>
        </w:rPr>
        <w:t xml:space="preserve"> 6, 2019, providing transitional rules for growth plans under the </w:t>
      </w:r>
      <w:r w:rsidRPr="00447901">
        <w:rPr>
          <w:i/>
          <w:iCs/>
          <w:lang w:val="en-US"/>
        </w:rPr>
        <w:t>Places to Grow Act, 2005</w:t>
      </w:r>
      <w:r w:rsidRPr="00447901">
        <w:rPr>
          <w:iCs/>
          <w:lang w:val="en-US"/>
        </w:rPr>
        <w:t xml:space="preserve">. This effectively transitions the consideration of OPA 231 and </w:t>
      </w:r>
      <w:r w:rsidR="008433D3">
        <w:rPr>
          <w:iCs/>
          <w:lang w:val="en-US"/>
        </w:rPr>
        <w:t xml:space="preserve">the </w:t>
      </w:r>
      <w:r w:rsidRPr="00447901">
        <w:rPr>
          <w:iCs/>
          <w:lang w:val="en-US"/>
        </w:rPr>
        <w:t>Appeals to it</w:t>
      </w:r>
      <w:r w:rsidR="00C50E36">
        <w:rPr>
          <w:iCs/>
          <w:lang w:val="en-US"/>
        </w:rPr>
        <w:t>,</w:t>
      </w:r>
      <w:r w:rsidRPr="00447901">
        <w:rPr>
          <w:iCs/>
          <w:lang w:val="en-US"/>
        </w:rPr>
        <w:t xml:space="preserve"> back under the </w:t>
      </w:r>
      <w:r w:rsidR="00841030" w:rsidRPr="000315E1">
        <w:rPr>
          <w:b/>
          <w:bCs w:val="0"/>
          <w:iCs/>
          <w:lang w:val="en-US"/>
        </w:rPr>
        <w:t>GP</w:t>
      </w:r>
      <w:r w:rsidR="00737F5D">
        <w:rPr>
          <w:b/>
          <w:bCs w:val="0"/>
          <w:iCs/>
          <w:lang w:val="en-US"/>
        </w:rPr>
        <w:t xml:space="preserve"> </w:t>
      </w:r>
      <w:r w:rsidR="00737F5D" w:rsidRPr="00447901">
        <w:rPr>
          <w:b/>
          <w:iCs/>
          <w:lang w:val="en-US"/>
        </w:rPr>
        <w:t>2006</w:t>
      </w:r>
      <w:r w:rsidRPr="00447901">
        <w:rPr>
          <w:iCs/>
          <w:lang w:val="en-US"/>
        </w:rPr>
        <w:t>, so that later GPs do not apply to these Appeals.</w:t>
      </w:r>
    </w:p>
    <w:p w14:paraId="4A9F3386" w14:textId="77777777" w:rsidR="00447901" w:rsidRPr="00447901" w:rsidRDefault="00447901" w:rsidP="00447901">
      <w:pPr>
        <w:pStyle w:val="DecisionBody"/>
        <w:numPr>
          <w:ilvl w:val="0"/>
          <w:numId w:val="0"/>
        </w:numPr>
        <w:spacing w:beforeLines="0" w:before="0" w:afterLines="0" w:after="0"/>
        <w:rPr>
          <w:iCs/>
          <w:lang w:val="en-US"/>
        </w:rPr>
      </w:pPr>
    </w:p>
    <w:p w14:paraId="4D062105" w14:textId="0A9EE7EA" w:rsidR="00447901" w:rsidRDefault="00447901" w:rsidP="00447901">
      <w:pPr>
        <w:pStyle w:val="DecisionBody"/>
        <w:spacing w:beforeLines="0" w:before="0" w:afterLines="0" w:after="0"/>
        <w:rPr>
          <w:iCs/>
          <w:lang w:val="en-US"/>
        </w:rPr>
      </w:pPr>
      <w:r w:rsidRPr="00447901">
        <w:rPr>
          <w:iCs/>
          <w:lang w:val="en-US"/>
        </w:rPr>
        <w:t xml:space="preserve">The conversion policies for employment lands in the GP </w:t>
      </w:r>
      <w:r w:rsidR="00737F5D" w:rsidRPr="00447901">
        <w:rPr>
          <w:iCs/>
          <w:lang w:val="en-US"/>
        </w:rPr>
        <w:t>2006</w:t>
      </w:r>
      <w:r w:rsidR="00737F5D">
        <w:rPr>
          <w:iCs/>
          <w:lang w:val="en-US"/>
        </w:rPr>
        <w:t xml:space="preserve"> </w:t>
      </w:r>
      <w:r w:rsidRPr="00447901">
        <w:rPr>
          <w:iCs/>
          <w:lang w:val="en-US"/>
        </w:rPr>
        <w:t>differ from those in the later GP</w:t>
      </w:r>
      <w:r w:rsidR="00737F5D">
        <w:rPr>
          <w:iCs/>
          <w:lang w:val="en-US"/>
        </w:rPr>
        <w:t xml:space="preserve"> </w:t>
      </w:r>
      <w:r w:rsidR="00737F5D" w:rsidRPr="00447901">
        <w:rPr>
          <w:iCs/>
          <w:lang w:val="en-US"/>
        </w:rPr>
        <w:t>2019</w:t>
      </w:r>
      <w:r w:rsidRPr="00447901">
        <w:rPr>
          <w:iCs/>
          <w:lang w:val="en-US"/>
        </w:rPr>
        <w:t>.  The City</w:t>
      </w:r>
      <w:r w:rsidR="00914F53">
        <w:rPr>
          <w:iCs/>
          <w:lang w:val="en-US"/>
        </w:rPr>
        <w:t xml:space="preserve"> of Toronto</w:t>
      </w:r>
      <w:r w:rsidRPr="00447901">
        <w:rPr>
          <w:iCs/>
          <w:lang w:val="en-US"/>
        </w:rPr>
        <w:t xml:space="preserve"> had already started to receive conversion requests under the GP 2019, but this later </w:t>
      </w:r>
      <w:r w:rsidR="00EE481F">
        <w:rPr>
          <w:iCs/>
          <w:lang w:val="en-US"/>
        </w:rPr>
        <w:t>GP</w:t>
      </w:r>
      <w:r w:rsidRPr="00447901">
        <w:rPr>
          <w:iCs/>
          <w:lang w:val="en-US"/>
        </w:rPr>
        <w:t xml:space="preserve"> has no application to these Appeals.</w:t>
      </w:r>
    </w:p>
    <w:p w14:paraId="06E5C942" w14:textId="77777777" w:rsidR="00447901" w:rsidRPr="00447901" w:rsidRDefault="00447901" w:rsidP="00447901">
      <w:pPr>
        <w:pStyle w:val="DecisionBody"/>
        <w:numPr>
          <w:ilvl w:val="0"/>
          <w:numId w:val="0"/>
        </w:numPr>
        <w:spacing w:beforeLines="0" w:before="0" w:afterLines="0" w:after="0"/>
        <w:rPr>
          <w:iCs/>
          <w:lang w:val="en-US"/>
        </w:rPr>
      </w:pPr>
    </w:p>
    <w:p w14:paraId="5F425D52" w14:textId="7BAAD865" w:rsidR="000315E1" w:rsidRPr="000315E1" w:rsidRDefault="00447901" w:rsidP="000315E1">
      <w:pPr>
        <w:pStyle w:val="DecisionBody"/>
        <w:spacing w:beforeLines="0" w:before="0" w:afterLines="0" w:after="0"/>
        <w:rPr>
          <w:iCs/>
          <w:lang w:val="en-US"/>
        </w:rPr>
      </w:pPr>
      <w:r w:rsidRPr="000976F8">
        <w:rPr>
          <w:iCs/>
          <w:lang w:val="en-US"/>
        </w:rPr>
        <w:t>The Tribunal</w:t>
      </w:r>
      <w:r w:rsidRPr="00447901">
        <w:rPr>
          <w:iCs/>
          <w:lang w:val="en-US"/>
        </w:rPr>
        <w:t xml:space="preserve"> had determined</w:t>
      </w:r>
      <w:r w:rsidR="00EE481F">
        <w:rPr>
          <w:iCs/>
          <w:lang w:val="en-US"/>
        </w:rPr>
        <w:t>,</w:t>
      </w:r>
      <w:r w:rsidRPr="00447901">
        <w:rPr>
          <w:iCs/>
          <w:lang w:val="en-US"/>
        </w:rPr>
        <w:t xml:space="preserve"> in April 2021</w:t>
      </w:r>
      <w:r w:rsidR="00EE481F">
        <w:rPr>
          <w:iCs/>
          <w:lang w:val="en-US"/>
        </w:rPr>
        <w:t>,</w:t>
      </w:r>
      <w:r w:rsidRPr="00447901">
        <w:rPr>
          <w:iCs/>
          <w:lang w:val="en-US"/>
        </w:rPr>
        <w:t xml:space="preserve"> to use a phased approach to address the City-wide Appeals, based on their subject matter. Six phases were established, along with several sub-phases. These included Phase 4 – Retail in Employment Areas, and Phase 5 – Cultural Policies, both already brought into effect by a Tribunal Order of April 26, 2021.</w:t>
      </w:r>
    </w:p>
    <w:p w14:paraId="4FBA9A38" w14:textId="6C5ED5EE" w:rsidR="00447901" w:rsidRDefault="00447901" w:rsidP="00DD170A">
      <w:pPr>
        <w:pStyle w:val="DecisionBody"/>
        <w:spacing w:beforeLines="0" w:before="0" w:afterLines="0" w:after="0"/>
        <w:rPr>
          <w:iCs/>
          <w:lang w:val="en-US"/>
        </w:rPr>
      </w:pPr>
      <w:r w:rsidRPr="00447901">
        <w:rPr>
          <w:iCs/>
          <w:lang w:val="en-US"/>
        </w:rPr>
        <w:lastRenderedPageBreak/>
        <w:t>The Tribunal established by the Order of April 8, 2021 that the site-specific Appeals to OPA 231 would be considered as Phase 6 of the Hearing. This would include number 6B, the lands under appeal located in North East Scarborough.</w:t>
      </w:r>
    </w:p>
    <w:p w14:paraId="0D420B11" w14:textId="77777777" w:rsidR="00447901" w:rsidRPr="00447901" w:rsidRDefault="00447901" w:rsidP="00DD170A">
      <w:pPr>
        <w:pStyle w:val="DecisionBody"/>
        <w:numPr>
          <w:ilvl w:val="0"/>
          <w:numId w:val="0"/>
        </w:numPr>
        <w:spacing w:beforeLines="0" w:before="0" w:afterLines="0" w:after="0"/>
        <w:rPr>
          <w:iCs/>
          <w:lang w:val="en-US"/>
        </w:rPr>
      </w:pPr>
    </w:p>
    <w:p w14:paraId="5B205929" w14:textId="39AF4B8A" w:rsidR="00447901" w:rsidRDefault="00447901" w:rsidP="00DD170A">
      <w:pPr>
        <w:pStyle w:val="DecisionBody"/>
        <w:numPr>
          <w:ilvl w:val="0"/>
          <w:numId w:val="0"/>
        </w:numPr>
        <w:spacing w:beforeLines="0" w:before="0" w:afterLines="0" w:after="0"/>
        <w:rPr>
          <w:b/>
          <w:iCs/>
          <w:lang w:val="en-US"/>
        </w:rPr>
      </w:pPr>
      <w:r w:rsidRPr="00447901">
        <w:rPr>
          <w:b/>
          <w:iCs/>
          <w:lang w:val="en-US"/>
        </w:rPr>
        <w:t>Phase 6B – North East Scarborough</w:t>
      </w:r>
    </w:p>
    <w:p w14:paraId="14F1C819" w14:textId="77777777" w:rsidR="00447901" w:rsidRPr="00447901" w:rsidRDefault="00447901" w:rsidP="00DD170A">
      <w:pPr>
        <w:pStyle w:val="DecisionBody"/>
        <w:numPr>
          <w:ilvl w:val="0"/>
          <w:numId w:val="0"/>
        </w:numPr>
        <w:spacing w:beforeLines="0" w:before="0" w:afterLines="0" w:after="0"/>
        <w:rPr>
          <w:b/>
          <w:iCs/>
          <w:lang w:val="en-US"/>
        </w:rPr>
      </w:pPr>
    </w:p>
    <w:p w14:paraId="03095F47" w14:textId="50F6D608" w:rsidR="00447901" w:rsidRDefault="00447901" w:rsidP="00DD170A">
      <w:pPr>
        <w:pStyle w:val="DecisionBody"/>
        <w:spacing w:beforeLines="0" w:before="0" w:afterLines="0" w:after="0"/>
        <w:rPr>
          <w:iCs/>
          <w:lang w:val="en-US"/>
        </w:rPr>
      </w:pPr>
      <w:r w:rsidRPr="00447901">
        <w:rPr>
          <w:iCs/>
          <w:lang w:val="en-US"/>
        </w:rPr>
        <w:t>Phase 6B addressed the following site-specific Appeals in the Milliken Employment Area (“MEA” or “Milliken”), as numbered originally by the Tribunal:</w:t>
      </w:r>
    </w:p>
    <w:p w14:paraId="0E76CFBE" w14:textId="77777777" w:rsidR="00447901" w:rsidRPr="00447901" w:rsidRDefault="00447901" w:rsidP="00DD170A">
      <w:pPr>
        <w:pStyle w:val="DecisionBody"/>
        <w:numPr>
          <w:ilvl w:val="0"/>
          <w:numId w:val="0"/>
        </w:numPr>
        <w:spacing w:beforeLines="0" w:before="0" w:afterLines="0" w:after="0"/>
        <w:rPr>
          <w:iCs/>
          <w:lang w:val="en-US"/>
        </w:rPr>
      </w:pPr>
    </w:p>
    <w:p w14:paraId="3FEA15C6" w14:textId="1D76C856" w:rsidR="00A90E38" w:rsidRDefault="00447901" w:rsidP="00A90E38">
      <w:pPr>
        <w:pStyle w:val="DecisionBody"/>
        <w:numPr>
          <w:ilvl w:val="0"/>
          <w:numId w:val="82"/>
        </w:numPr>
        <w:spacing w:beforeLines="0" w:before="0" w:afterLines="0" w:after="0"/>
        <w:rPr>
          <w:iCs/>
          <w:lang w:val="en-US"/>
        </w:rPr>
      </w:pPr>
      <w:r w:rsidRPr="00447901">
        <w:rPr>
          <w:iCs/>
          <w:lang w:val="en-US"/>
        </w:rPr>
        <w:t xml:space="preserve">Appeal No. 54, by Al Reisman Ltd. concerning 3241, 3251, 3261 Kennedy Road and 19, 23, 25, and 27 Passmore Avenue </w:t>
      </w:r>
      <w:r w:rsidRPr="000315E1">
        <w:rPr>
          <w:bCs w:val="0"/>
          <w:iCs/>
          <w:lang w:val="en-US"/>
        </w:rPr>
        <w:t>("Reisman"</w:t>
      </w:r>
      <w:r w:rsidRPr="000976F8">
        <w:rPr>
          <w:bCs w:val="0"/>
          <w:iCs/>
          <w:lang w:val="en-US"/>
        </w:rPr>
        <w:t>);</w:t>
      </w:r>
    </w:p>
    <w:p w14:paraId="3DAB0ADF" w14:textId="77777777" w:rsidR="00A90E38" w:rsidRDefault="00A90E38" w:rsidP="000315E1">
      <w:pPr>
        <w:pStyle w:val="DecisionBody"/>
        <w:numPr>
          <w:ilvl w:val="0"/>
          <w:numId w:val="0"/>
        </w:numPr>
        <w:spacing w:beforeLines="0" w:before="0" w:afterLines="0" w:after="0"/>
        <w:ind w:left="1260"/>
        <w:rPr>
          <w:iCs/>
          <w:lang w:val="en-US"/>
        </w:rPr>
      </w:pPr>
    </w:p>
    <w:p w14:paraId="0AAF5726" w14:textId="6D9CA0B4" w:rsidR="00447901" w:rsidRPr="00A90E38" w:rsidRDefault="00447901" w:rsidP="00A90E38">
      <w:pPr>
        <w:pStyle w:val="DecisionBody"/>
        <w:numPr>
          <w:ilvl w:val="0"/>
          <w:numId w:val="82"/>
        </w:numPr>
        <w:spacing w:beforeLines="0" w:before="0" w:afterLines="0" w:after="0"/>
        <w:rPr>
          <w:iCs/>
          <w:lang w:val="en-US"/>
        </w:rPr>
      </w:pPr>
      <w:r w:rsidRPr="00A90E38">
        <w:rPr>
          <w:iCs/>
          <w:lang w:val="en-US"/>
        </w:rPr>
        <w:t>Appeal No. 9, by 1182929 Ontario Inc. concerning 29, 31 &amp; 31A and 41 Passmore Avenue ("</w:t>
      </w:r>
      <w:r w:rsidRPr="000315E1">
        <w:rPr>
          <w:iCs/>
          <w:lang w:val="en-US"/>
        </w:rPr>
        <w:t>1182929</w:t>
      </w:r>
      <w:r w:rsidRPr="00A90E38">
        <w:rPr>
          <w:iCs/>
          <w:lang w:val="en-US"/>
        </w:rPr>
        <w:t>");</w:t>
      </w:r>
    </w:p>
    <w:p w14:paraId="524D800E" w14:textId="77777777" w:rsidR="00447901" w:rsidRPr="00447901" w:rsidRDefault="00447901" w:rsidP="00DD170A">
      <w:pPr>
        <w:pStyle w:val="DecisionBody"/>
        <w:numPr>
          <w:ilvl w:val="0"/>
          <w:numId w:val="0"/>
        </w:numPr>
        <w:spacing w:beforeLines="0" w:before="0" w:afterLines="0" w:after="0"/>
        <w:rPr>
          <w:iCs/>
          <w:lang w:val="en-US"/>
        </w:rPr>
      </w:pPr>
    </w:p>
    <w:p w14:paraId="7EA3147F" w14:textId="3E9C2153" w:rsidR="00447901" w:rsidRDefault="00447901" w:rsidP="00DD170A">
      <w:pPr>
        <w:pStyle w:val="DecisionBody"/>
        <w:numPr>
          <w:ilvl w:val="0"/>
          <w:numId w:val="82"/>
        </w:numPr>
        <w:spacing w:beforeLines="0" w:before="0" w:afterLines="0" w:after="0"/>
        <w:rPr>
          <w:iCs/>
          <w:lang w:val="en-US"/>
        </w:rPr>
      </w:pPr>
      <w:r w:rsidRPr="00447901">
        <w:rPr>
          <w:iCs/>
          <w:lang w:val="en-US"/>
        </w:rPr>
        <w:t xml:space="preserve">Appeal No. 123, by May Flower Landscaping Design Ltd. concerning 33 Passmore Avenue </w:t>
      </w:r>
      <w:r w:rsidRPr="000315E1">
        <w:rPr>
          <w:bCs w:val="0"/>
          <w:iCs/>
          <w:lang w:val="en-US"/>
        </w:rPr>
        <w:t>("May Flower</w:t>
      </w:r>
      <w:r w:rsidRPr="00447901">
        <w:rPr>
          <w:iCs/>
          <w:lang w:val="en-US"/>
        </w:rPr>
        <w:t>"); and,</w:t>
      </w:r>
    </w:p>
    <w:p w14:paraId="001FC60A" w14:textId="77777777" w:rsidR="00447901" w:rsidRPr="00447901" w:rsidRDefault="00447901" w:rsidP="00DD170A">
      <w:pPr>
        <w:pStyle w:val="DecisionBody"/>
        <w:numPr>
          <w:ilvl w:val="0"/>
          <w:numId w:val="0"/>
        </w:numPr>
        <w:spacing w:beforeLines="0" w:before="0" w:afterLines="0" w:after="0"/>
        <w:ind w:left="1260"/>
        <w:rPr>
          <w:iCs/>
          <w:lang w:val="en-US"/>
        </w:rPr>
      </w:pPr>
    </w:p>
    <w:p w14:paraId="7839C613" w14:textId="31148542" w:rsidR="00447901" w:rsidRDefault="00447901" w:rsidP="00DD170A">
      <w:pPr>
        <w:pStyle w:val="DecisionBody"/>
        <w:numPr>
          <w:ilvl w:val="0"/>
          <w:numId w:val="82"/>
        </w:numPr>
        <w:spacing w:beforeLines="0" w:before="0" w:afterLines="0" w:after="0"/>
        <w:rPr>
          <w:iCs/>
          <w:lang w:val="en-US"/>
        </w:rPr>
      </w:pPr>
      <w:r w:rsidRPr="00447901">
        <w:rPr>
          <w:iCs/>
          <w:lang w:val="en-US"/>
        </w:rPr>
        <w:t xml:space="preserve">Appeal No. 119, by Loblaw Properties Limited concerning 681 Silver Star  Boulevard </w:t>
      </w:r>
      <w:r w:rsidR="000976F8">
        <w:rPr>
          <w:iCs/>
          <w:lang w:val="en-US"/>
        </w:rPr>
        <w:t>(</w:t>
      </w:r>
      <w:r w:rsidRPr="000976F8">
        <w:rPr>
          <w:iCs/>
          <w:lang w:val="en-US"/>
        </w:rPr>
        <w:t>"</w:t>
      </w:r>
      <w:r w:rsidRPr="000315E1">
        <w:rPr>
          <w:iCs/>
          <w:lang w:val="en-US"/>
        </w:rPr>
        <w:t>Loblaw" or “Choice</w:t>
      </w:r>
      <w:r w:rsidRPr="000976F8">
        <w:rPr>
          <w:iCs/>
          <w:lang w:val="en-US"/>
        </w:rPr>
        <w:t>”</w:t>
      </w:r>
      <w:r w:rsidR="000976F8">
        <w:rPr>
          <w:iCs/>
          <w:lang w:val="en-US"/>
        </w:rPr>
        <w:t>)</w:t>
      </w:r>
      <w:r w:rsidRPr="00447901">
        <w:rPr>
          <w:iCs/>
          <w:lang w:val="en-US"/>
        </w:rPr>
        <w:t>.</w:t>
      </w:r>
    </w:p>
    <w:p w14:paraId="0D9F294B" w14:textId="77777777" w:rsidR="00447901" w:rsidRPr="00447901" w:rsidRDefault="00447901" w:rsidP="00DD170A">
      <w:pPr>
        <w:pStyle w:val="DecisionBody"/>
        <w:numPr>
          <w:ilvl w:val="0"/>
          <w:numId w:val="0"/>
        </w:numPr>
        <w:spacing w:beforeLines="0" w:before="0" w:afterLines="0" w:after="0"/>
        <w:rPr>
          <w:iCs/>
          <w:lang w:val="en-US"/>
        </w:rPr>
      </w:pPr>
    </w:p>
    <w:p w14:paraId="5B70BBA4" w14:textId="2E5AAB52" w:rsidR="00447901" w:rsidRPr="00447901" w:rsidRDefault="00447901" w:rsidP="00DD170A">
      <w:pPr>
        <w:pStyle w:val="DecisionBody"/>
        <w:spacing w:beforeLines="0" w:before="0" w:afterLines="0" w:after="0"/>
        <w:rPr>
          <w:iCs/>
          <w:lang w:val="en-US"/>
        </w:rPr>
      </w:pPr>
      <w:r w:rsidRPr="00447901">
        <w:rPr>
          <w:iCs/>
          <w:lang w:val="en-US"/>
        </w:rPr>
        <w:t>The factual background and professional planning opinion for the City of Toronto for all these Appeals was provided by Christine Heydorn, qualified as an expert land use planner and land economist of 20 years’ experience, many of these with the City</w:t>
      </w:r>
      <w:r w:rsidR="00914F53">
        <w:rPr>
          <w:iCs/>
          <w:lang w:val="en-US"/>
        </w:rPr>
        <w:t xml:space="preserve"> of Toronto</w:t>
      </w:r>
      <w:r w:rsidRPr="00447901">
        <w:rPr>
          <w:iCs/>
          <w:lang w:val="en-US"/>
        </w:rPr>
        <w:t>. She provides policy leadership and professional advice for corporate initiatives, with planning and policy studies, and also</w:t>
      </w:r>
      <w:r w:rsidR="000976F8">
        <w:rPr>
          <w:iCs/>
          <w:lang w:val="en-US"/>
        </w:rPr>
        <w:t>,</w:t>
      </w:r>
      <w:r w:rsidRPr="00447901">
        <w:rPr>
          <w:iCs/>
          <w:lang w:val="en-US"/>
        </w:rPr>
        <w:t xml:space="preserve"> reviews development applications.  She has been involved in the current matters and thus</w:t>
      </w:r>
      <w:r w:rsidR="000976F8">
        <w:rPr>
          <w:iCs/>
          <w:lang w:val="en-US"/>
        </w:rPr>
        <w:t>,</w:t>
      </w:r>
      <w:r w:rsidRPr="00447901">
        <w:rPr>
          <w:iCs/>
          <w:lang w:val="en-US"/>
        </w:rPr>
        <w:t xml:space="preserve"> these Appeals since 2016. In </w:t>
      </w:r>
      <w:r w:rsidR="000976F8">
        <w:rPr>
          <w:iCs/>
          <w:lang w:val="en-US"/>
        </w:rPr>
        <w:t>the F</w:t>
      </w:r>
      <w:r w:rsidRPr="00447901">
        <w:rPr>
          <w:iCs/>
          <w:lang w:val="en-US"/>
        </w:rPr>
        <w:t>all</w:t>
      </w:r>
      <w:r w:rsidR="000976F8">
        <w:rPr>
          <w:iCs/>
          <w:lang w:val="en-US"/>
        </w:rPr>
        <w:t xml:space="preserve"> of</w:t>
      </w:r>
      <w:r w:rsidRPr="00447901">
        <w:rPr>
          <w:iCs/>
          <w:lang w:val="en-US"/>
        </w:rPr>
        <w:t xml:space="preserve"> 2021, she participated in virtual meetings with officials of businesses located in Milliken to better understand business operations in its north portion.</w:t>
      </w:r>
    </w:p>
    <w:p w14:paraId="3056023C" w14:textId="6EA085CB" w:rsidR="00DD170A" w:rsidRDefault="00DD170A">
      <w:pPr>
        <w:rPr>
          <w:rFonts w:ascii="Arial" w:hAnsi="Arial"/>
          <w:b/>
          <w:bCs/>
          <w:iCs/>
        </w:rPr>
      </w:pPr>
    </w:p>
    <w:p w14:paraId="4E79CF0D" w14:textId="0BA0BBEC" w:rsidR="00447901" w:rsidRDefault="00447901" w:rsidP="00DD170A">
      <w:pPr>
        <w:pStyle w:val="DecisionBody"/>
        <w:keepNext/>
        <w:keepLines/>
        <w:numPr>
          <w:ilvl w:val="0"/>
          <w:numId w:val="0"/>
        </w:numPr>
        <w:spacing w:beforeLines="0" w:before="0" w:afterLines="0" w:after="0"/>
        <w:rPr>
          <w:b/>
          <w:iCs/>
          <w:lang w:val="en-US"/>
        </w:rPr>
      </w:pPr>
      <w:r w:rsidRPr="00447901">
        <w:rPr>
          <w:b/>
          <w:iCs/>
          <w:lang w:val="en-US"/>
        </w:rPr>
        <w:lastRenderedPageBreak/>
        <w:t>CONTEXT</w:t>
      </w:r>
    </w:p>
    <w:p w14:paraId="4D799586" w14:textId="77777777" w:rsidR="00447901" w:rsidRPr="00447901" w:rsidRDefault="00447901" w:rsidP="00DD170A">
      <w:pPr>
        <w:pStyle w:val="DecisionBody"/>
        <w:keepNext/>
        <w:keepLines/>
        <w:numPr>
          <w:ilvl w:val="0"/>
          <w:numId w:val="0"/>
        </w:numPr>
        <w:spacing w:beforeLines="0" w:before="0" w:afterLines="0" w:after="0"/>
        <w:rPr>
          <w:b/>
          <w:iCs/>
          <w:lang w:val="en-US"/>
        </w:rPr>
      </w:pPr>
    </w:p>
    <w:p w14:paraId="21ECFEB2" w14:textId="78D31104" w:rsidR="00447901" w:rsidRDefault="00447901" w:rsidP="00DD170A">
      <w:pPr>
        <w:pStyle w:val="DecisionBody"/>
        <w:keepNext/>
        <w:keepLines/>
        <w:spacing w:beforeLines="0" w:before="0" w:afterLines="0" w:after="0"/>
        <w:rPr>
          <w:iCs/>
          <w:lang w:val="en-US"/>
        </w:rPr>
      </w:pPr>
      <w:r w:rsidRPr="00447901">
        <w:rPr>
          <w:iCs/>
          <w:lang w:val="en-US"/>
        </w:rPr>
        <w:t xml:space="preserve">Ms. </w:t>
      </w:r>
      <w:r w:rsidR="0082627C">
        <w:rPr>
          <w:iCs/>
          <w:lang w:val="en-US"/>
        </w:rPr>
        <w:t>Heydorn</w:t>
      </w:r>
      <w:r w:rsidRPr="00447901">
        <w:rPr>
          <w:iCs/>
          <w:lang w:val="en-US"/>
        </w:rPr>
        <w:t xml:space="preserve"> outlined the context of all the Appeals within this </w:t>
      </w:r>
      <w:r w:rsidR="00FA0E9C">
        <w:rPr>
          <w:iCs/>
          <w:lang w:val="en-US"/>
        </w:rPr>
        <w:t>MEA</w:t>
      </w:r>
      <w:r w:rsidRPr="00447901">
        <w:rPr>
          <w:iCs/>
          <w:lang w:val="en-US"/>
        </w:rPr>
        <w:t>, so designated on Map 19</w:t>
      </w:r>
      <w:r w:rsidR="00EE481F">
        <w:rPr>
          <w:iCs/>
          <w:lang w:val="en-US"/>
        </w:rPr>
        <w:t>,</w:t>
      </w:r>
      <w:r w:rsidRPr="00447901">
        <w:rPr>
          <w:iCs/>
          <w:lang w:val="en-US"/>
        </w:rPr>
        <w:t xml:space="preserve"> Land Use Plan of the OP, entitled </w:t>
      </w:r>
      <w:r w:rsidRPr="00447901">
        <w:rPr>
          <w:i/>
          <w:iCs/>
          <w:lang w:val="en-US"/>
        </w:rPr>
        <w:t xml:space="preserve">Employment Areas </w:t>
      </w:r>
      <w:r w:rsidRPr="00447901">
        <w:rPr>
          <w:iCs/>
          <w:lang w:val="en-US"/>
        </w:rPr>
        <w:t>(Exhibit 1, Joint Document Book, Tab 6, p. 319).  This includes about 180 hectares, bounded by Midland Avenue to the east, Kennedy Road to the west, Steeles Avenue to the north, and Finch Avenue to the south.  The City</w:t>
      </w:r>
      <w:r w:rsidR="00914F53">
        <w:rPr>
          <w:iCs/>
          <w:lang w:val="en-US"/>
        </w:rPr>
        <w:t xml:space="preserve"> of Toronto</w:t>
      </w:r>
      <w:r w:rsidRPr="00447901">
        <w:rPr>
          <w:iCs/>
          <w:lang w:val="en-US"/>
        </w:rPr>
        <w:t xml:space="preserve">’s 2020 employment survey shows about 1,100 businesses </w:t>
      </w:r>
      <w:r w:rsidR="00EE481F">
        <w:rPr>
          <w:iCs/>
          <w:lang w:val="en-US"/>
        </w:rPr>
        <w:t xml:space="preserve">are </w:t>
      </w:r>
      <w:r w:rsidRPr="00447901">
        <w:rPr>
          <w:iCs/>
          <w:lang w:val="en-US"/>
        </w:rPr>
        <w:t>there, employing about 6,500 people</w:t>
      </w:r>
      <w:r w:rsidR="00EE481F">
        <w:rPr>
          <w:iCs/>
          <w:lang w:val="en-US"/>
        </w:rPr>
        <w:t>,</w:t>
      </w:r>
      <w:r w:rsidRPr="00447901">
        <w:rPr>
          <w:iCs/>
          <w:lang w:val="en-US"/>
        </w:rPr>
        <w:t xml:space="preserve"> full- and part-time.</w:t>
      </w:r>
    </w:p>
    <w:p w14:paraId="1A66C410" w14:textId="77777777" w:rsidR="00447901" w:rsidRPr="00447901" w:rsidRDefault="00447901" w:rsidP="00DD170A">
      <w:pPr>
        <w:pStyle w:val="DecisionBody"/>
        <w:numPr>
          <w:ilvl w:val="0"/>
          <w:numId w:val="0"/>
        </w:numPr>
        <w:spacing w:beforeLines="0" w:before="0" w:afterLines="0" w:after="0"/>
        <w:rPr>
          <w:iCs/>
          <w:lang w:val="en-US"/>
        </w:rPr>
      </w:pPr>
    </w:p>
    <w:p w14:paraId="722D2BB7" w14:textId="5663F119" w:rsidR="00447901" w:rsidRDefault="00447901" w:rsidP="00DD170A">
      <w:pPr>
        <w:pStyle w:val="DecisionBody"/>
        <w:spacing w:beforeLines="0" w:before="0" w:afterLines="0" w:after="0"/>
        <w:rPr>
          <w:iCs/>
          <w:lang w:val="en-US"/>
        </w:rPr>
      </w:pPr>
      <w:r w:rsidRPr="00447901">
        <w:rPr>
          <w:iCs/>
          <w:lang w:val="en-US"/>
        </w:rPr>
        <w:t xml:space="preserve">Milliken is essentially divided north-south by a Metrolinx rail line, carrying both freight and passenger service. To provide more frequent GO service on the Stouffville line, Metrolinx is carrying out major improvements to both rail and road infrastructure at the Milliken GO Station </w:t>
      </w:r>
      <w:r w:rsidR="00FA0E9C">
        <w:rPr>
          <w:iCs/>
          <w:lang w:val="en-US"/>
        </w:rPr>
        <w:t>(</w:t>
      </w:r>
      <w:r w:rsidRPr="00447901">
        <w:rPr>
          <w:iCs/>
          <w:lang w:val="en-US"/>
        </w:rPr>
        <w:t xml:space="preserve">a designated Major Transit Station Area (“MTSA”) under the </w:t>
      </w:r>
      <w:r w:rsidRPr="00447901">
        <w:rPr>
          <w:b/>
          <w:iCs/>
          <w:lang w:val="en-US"/>
        </w:rPr>
        <w:t>2006</w:t>
      </w:r>
      <w:r w:rsidRPr="00447901">
        <w:rPr>
          <w:iCs/>
          <w:lang w:val="en-US"/>
        </w:rPr>
        <w:t xml:space="preserve"> </w:t>
      </w:r>
      <w:r w:rsidR="00056084">
        <w:rPr>
          <w:iCs/>
          <w:lang w:val="en-US"/>
        </w:rPr>
        <w:t>GP</w:t>
      </w:r>
      <w:r w:rsidR="00FA0E9C">
        <w:rPr>
          <w:iCs/>
          <w:lang w:val="en-US"/>
        </w:rPr>
        <w:t>)</w:t>
      </w:r>
      <w:r w:rsidRPr="00447901">
        <w:rPr>
          <w:iCs/>
          <w:lang w:val="en-US"/>
        </w:rPr>
        <w:t>, and also</w:t>
      </w:r>
      <w:r w:rsidR="00FA0E9C">
        <w:rPr>
          <w:iCs/>
          <w:lang w:val="en-US"/>
        </w:rPr>
        <w:t>,</w:t>
      </w:r>
      <w:r w:rsidRPr="00447901">
        <w:rPr>
          <w:iCs/>
          <w:lang w:val="en-US"/>
        </w:rPr>
        <w:t xml:space="preserve"> improvements to Steeles Avenue. </w:t>
      </w:r>
      <w:r w:rsidR="00EE481F">
        <w:rPr>
          <w:iCs/>
          <w:lang w:val="en-US"/>
        </w:rPr>
        <w:t xml:space="preserve"> </w:t>
      </w:r>
      <w:r w:rsidRPr="00447901">
        <w:rPr>
          <w:iCs/>
          <w:lang w:val="en-US"/>
        </w:rPr>
        <w:t>These include a grade-separated crossing, a pedestrian bridge over Steeles Avenue, a second track and station platform, and renovations to the existing platform. Also planned for pedestrians are two new tunnels, canopies and shelters, and covered walkways. The construction is expected to be completed by the end of 2022.</w:t>
      </w:r>
    </w:p>
    <w:p w14:paraId="03A51670" w14:textId="77777777" w:rsidR="00447901" w:rsidRPr="00447901" w:rsidRDefault="00447901" w:rsidP="00DD170A">
      <w:pPr>
        <w:pStyle w:val="DecisionBody"/>
        <w:numPr>
          <w:ilvl w:val="0"/>
          <w:numId w:val="0"/>
        </w:numPr>
        <w:spacing w:beforeLines="0" w:before="0" w:afterLines="0" w:after="0"/>
        <w:rPr>
          <w:iCs/>
          <w:lang w:val="en-US"/>
        </w:rPr>
      </w:pPr>
    </w:p>
    <w:p w14:paraId="09DDC3E0" w14:textId="500BC2A8" w:rsidR="00447901" w:rsidRDefault="00447901" w:rsidP="00DD170A">
      <w:pPr>
        <w:pStyle w:val="DecisionBody"/>
        <w:spacing w:beforeLines="0" w:before="0" w:afterLines="0" w:after="0"/>
        <w:rPr>
          <w:iCs/>
          <w:lang w:val="en-US"/>
        </w:rPr>
      </w:pPr>
      <w:r w:rsidRPr="00447901">
        <w:rPr>
          <w:iCs/>
          <w:lang w:val="en-US"/>
        </w:rPr>
        <w:t xml:space="preserve">Lands south of Steeles Ave. on the west side of the Milliken GO Station, over to Redlea Avenue further west, were subject to the Steeles-Redlea Regeneration Study (see s. 4.7 of the OP). This assessed certain uses other than employment for this area. The result was OPA 231, which redesignated certain lands fronting on the south side of Steeles Avenue as </w:t>
      </w:r>
      <w:r w:rsidRPr="00447901">
        <w:rPr>
          <w:i/>
          <w:iCs/>
          <w:lang w:val="en-US"/>
        </w:rPr>
        <w:t xml:space="preserve">Mixed Use Areas. </w:t>
      </w:r>
      <w:r w:rsidRPr="00447901">
        <w:rPr>
          <w:iCs/>
          <w:lang w:val="en-US"/>
        </w:rPr>
        <w:t>The</w:t>
      </w:r>
      <w:r w:rsidRPr="00447901">
        <w:rPr>
          <w:i/>
          <w:iCs/>
          <w:lang w:val="en-US"/>
        </w:rPr>
        <w:t xml:space="preserve"> </w:t>
      </w:r>
      <w:r w:rsidRPr="00447901">
        <w:rPr>
          <w:iCs/>
          <w:lang w:val="en-US"/>
        </w:rPr>
        <w:t xml:space="preserve">remaining lands retained the </w:t>
      </w:r>
      <w:r w:rsidRPr="00447901">
        <w:rPr>
          <w:i/>
          <w:iCs/>
          <w:lang w:val="en-US"/>
        </w:rPr>
        <w:t xml:space="preserve">Employment Areas </w:t>
      </w:r>
      <w:r w:rsidRPr="00447901">
        <w:rPr>
          <w:iCs/>
          <w:lang w:val="en-US"/>
        </w:rPr>
        <w:t>designation, together with a Site and Area Specific Policy (“SASP”)</w:t>
      </w:r>
      <w:r w:rsidR="00EE481F">
        <w:rPr>
          <w:iCs/>
          <w:lang w:val="en-US"/>
        </w:rPr>
        <w:t xml:space="preserve"> No.</w:t>
      </w:r>
      <w:r w:rsidRPr="00447901">
        <w:rPr>
          <w:iCs/>
          <w:lang w:val="en-US"/>
        </w:rPr>
        <w:t xml:space="preserve"> 395.  This provided greater details on urban design, built form, and compatible development.</w:t>
      </w:r>
    </w:p>
    <w:p w14:paraId="643087FE" w14:textId="77777777" w:rsidR="00447901" w:rsidRPr="00447901" w:rsidRDefault="00447901" w:rsidP="00DD170A">
      <w:pPr>
        <w:pStyle w:val="DecisionBody"/>
        <w:numPr>
          <w:ilvl w:val="0"/>
          <w:numId w:val="0"/>
        </w:numPr>
        <w:spacing w:beforeLines="0" w:before="0" w:afterLines="0" w:after="0"/>
        <w:rPr>
          <w:iCs/>
          <w:lang w:val="en-US"/>
        </w:rPr>
      </w:pPr>
    </w:p>
    <w:p w14:paraId="5BC23BDF" w14:textId="52EEEF26" w:rsidR="00447901" w:rsidRPr="00DD170A" w:rsidRDefault="00447901" w:rsidP="000651A1">
      <w:pPr>
        <w:pStyle w:val="DecisionBody"/>
        <w:widowControl/>
        <w:spacing w:beforeLines="0" w:before="0" w:afterLines="0" w:after="0"/>
        <w:rPr>
          <w:iCs/>
          <w:lang w:val="en-US"/>
        </w:rPr>
      </w:pPr>
      <w:r w:rsidRPr="00447901">
        <w:rPr>
          <w:iCs/>
          <w:lang w:val="en-US"/>
        </w:rPr>
        <w:t xml:space="preserve">Steeles Avenue forms the boundary between the City of Markham to the north in York Region, and the City of Toronto to the south. The </w:t>
      </w:r>
      <w:r w:rsidR="00FA0E9C">
        <w:rPr>
          <w:iCs/>
          <w:lang w:val="en-US"/>
        </w:rPr>
        <w:t xml:space="preserve">City of </w:t>
      </w:r>
      <w:r w:rsidRPr="00447901">
        <w:rPr>
          <w:iCs/>
          <w:lang w:val="en-US"/>
        </w:rPr>
        <w:t>Markham</w:t>
      </w:r>
      <w:r w:rsidR="00FA0E9C">
        <w:rPr>
          <w:iCs/>
          <w:lang w:val="en-US"/>
        </w:rPr>
        <w:t>’s</w:t>
      </w:r>
      <w:r w:rsidRPr="00447901">
        <w:rPr>
          <w:iCs/>
          <w:lang w:val="en-US"/>
        </w:rPr>
        <w:t xml:space="preserve"> OP identifies the land on the north side of Steeles Avenue as the Local Centre of the Milliken </w:t>
      </w:r>
      <w:r w:rsidR="00F17928">
        <w:rPr>
          <w:iCs/>
          <w:lang w:val="en-US"/>
        </w:rPr>
        <w:t>D</w:t>
      </w:r>
      <w:r w:rsidRPr="00447901">
        <w:rPr>
          <w:iCs/>
          <w:lang w:val="en-US"/>
        </w:rPr>
        <w:t xml:space="preserve">istrict. This area is thus planned by </w:t>
      </w:r>
      <w:r w:rsidR="00FA0E9C">
        <w:rPr>
          <w:iCs/>
          <w:lang w:val="en-US"/>
        </w:rPr>
        <w:t xml:space="preserve">City of </w:t>
      </w:r>
      <w:r w:rsidRPr="00447901">
        <w:rPr>
          <w:iCs/>
          <w:lang w:val="en-US"/>
        </w:rPr>
        <w:t xml:space="preserve">Markham as a focal point for the Milliken community. It </w:t>
      </w:r>
      <w:r w:rsidRPr="00447901">
        <w:rPr>
          <w:iCs/>
          <w:lang w:val="en-US"/>
        </w:rPr>
        <w:lastRenderedPageBreak/>
        <w:t>would develop there as an integrated mixed-use area, with transit-supportive residential densities adjacent to the Milliken GO Station.</w:t>
      </w:r>
    </w:p>
    <w:p w14:paraId="2270C855" w14:textId="77777777" w:rsidR="00447901" w:rsidRPr="00447901" w:rsidRDefault="00447901" w:rsidP="00DD170A">
      <w:pPr>
        <w:pStyle w:val="DecisionBody"/>
        <w:numPr>
          <w:ilvl w:val="0"/>
          <w:numId w:val="0"/>
        </w:numPr>
        <w:spacing w:beforeLines="0" w:before="0" w:afterLines="0" w:after="0"/>
        <w:rPr>
          <w:iCs/>
          <w:lang w:val="en-US"/>
        </w:rPr>
      </w:pPr>
    </w:p>
    <w:p w14:paraId="06747C30" w14:textId="178DACCC" w:rsidR="00447901" w:rsidRDefault="00447901" w:rsidP="00DD170A">
      <w:pPr>
        <w:pStyle w:val="DecisionBody"/>
        <w:spacing w:beforeLines="0" w:before="0" w:afterLines="0" w:after="0"/>
        <w:rPr>
          <w:iCs/>
          <w:lang w:val="en-US"/>
        </w:rPr>
      </w:pPr>
      <w:r w:rsidRPr="00447901">
        <w:rPr>
          <w:iCs/>
          <w:lang w:val="en-US"/>
        </w:rPr>
        <w:t>The present Appellant</w:t>
      </w:r>
      <w:r w:rsidR="00F17928">
        <w:rPr>
          <w:iCs/>
          <w:lang w:val="en-US"/>
        </w:rPr>
        <w:t>,</w:t>
      </w:r>
      <w:r w:rsidRPr="00447901">
        <w:rPr>
          <w:iCs/>
          <w:lang w:val="en-US"/>
        </w:rPr>
        <w:t xml:space="preserve"> Loblaw or Choice</w:t>
      </w:r>
      <w:r w:rsidR="00F17928">
        <w:rPr>
          <w:iCs/>
          <w:lang w:val="en-US"/>
        </w:rPr>
        <w:t>,</w:t>
      </w:r>
      <w:r w:rsidRPr="00447901">
        <w:rPr>
          <w:iCs/>
          <w:lang w:val="en-US"/>
        </w:rPr>
        <w:t xml:space="preserve"> wishes to redesignate its parcel east of the </w:t>
      </w:r>
      <w:r w:rsidR="00FA0E9C">
        <w:rPr>
          <w:iCs/>
          <w:lang w:val="en-US"/>
        </w:rPr>
        <w:t xml:space="preserve">Milliken </w:t>
      </w:r>
      <w:r w:rsidRPr="00447901">
        <w:rPr>
          <w:iCs/>
          <w:lang w:val="en-US"/>
        </w:rPr>
        <w:t xml:space="preserve">GO </w:t>
      </w:r>
      <w:r w:rsidR="00FA0E9C">
        <w:rPr>
          <w:iCs/>
          <w:lang w:val="en-US"/>
        </w:rPr>
        <w:t xml:space="preserve">Station </w:t>
      </w:r>
      <w:r w:rsidRPr="00447901">
        <w:rPr>
          <w:iCs/>
          <w:lang w:val="en-US"/>
        </w:rPr>
        <w:t xml:space="preserve">and close to the south side of Steeles Ave. from the present </w:t>
      </w:r>
      <w:r w:rsidRPr="00447901">
        <w:rPr>
          <w:i/>
          <w:iCs/>
          <w:lang w:val="en-US"/>
        </w:rPr>
        <w:t xml:space="preserve">General Employment </w:t>
      </w:r>
      <w:r w:rsidRPr="00447901">
        <w:rPr>
          <w:iCs/>
          <w:lang w:val="en-US"/>
        </w:rPr>
        <w:t xml:space="preserve">(“GE”) designation imposed by OPA 231, to </w:t>
      </w:r>
      <w:r w:rsidRPr="00447901">
        <w:rPr>
          <w:i/>
          <w:iCs/>
          <w:lang w:val="en-US"/>
        </w:rPr>
        <w:t>Mixed Uses</w:t>
      </w:r>
      <w:r w:rsidRPr="00447901">
        <w:rPr>
          <w:iCs/>
          <w:lang w:val="en-US"/>
        </w:rPr>
        <w:t xml:space="preserve"> (“MU”).</w:t>
      </w:r>
    </w:p>
    <w:p w14:paraId="54788D12" w14:textId="77777777" w:rsidR="00447901" w:rsidRPr="00447901" w:rsidRDefault="00447901" w:rsidP="00DD170A">
      <w:pPr>
        <w:pStyle w:val="DecisionBody"/>
        <w:numPr>
          <w:ilvl w:val="0"/>
          <w:numId w:val="0"/>
        </w:numPr>
        <w:spacing w:beforeLines="0" w:before="0" w:afterLines="0" w:after="0"/>
        <w:rPr>
          <w:iCs/>
          <w:lang w:val="en-US"/>
        </w:rPr>
      </w:pPr>
    </w:p>
    <w:p w14:paraId="7D177216" w14:textId="0247AEE5" w:rsidR="00447901" w:rsidRDefault="00447901" w:rsidP="00DD170A">
      <w:pPr>
        <w:pStyle w:val="DecisionBody"/>
        <w:spacing w:beforeLines="0" w:before="0" w:afterLines="0" w:after="0"/>
        <w:rPr>
          <w:iCs/>
          <w:lang w:val="en-US"/>
        </w:rPr>
      </w:pPr>
      <w:r w:rsidRPr="00447901">
        <w:rPr>
          <w:iCs/>
          <w:lang w:val="en-US"/>
        </w:rPr>
        <w:t xml:space="preserve">The other Appellants seek a redesignation of their lands from </w:t>
      </w:r>
      <w:r w:rsidRPr="00447901">
        <w:rPr>
          <w:i/>
          <w:iCs/>
          <w:lang w:val="en-US"/>
        </w:rPr>
        <w:t>Core Employment</w:t>
      </w:r>
      <w:r w:rsidRPr="00447901">
        <w:rPr>
          <w:iCs/>
          <w:lang w:val="en-US"/>
        </w:rPr>
        <w:t xml:space="preserve"> (“CE”) to </w:t>
      </w:r>
      <w:r w:rsidRPr="00447901">
        <w:rPr>
          <w:i/>
          <w:iCs/>
          <w:lang w:val="en-US"/>
        </w:rPr>
        <w:t>General Employment</w:t>
      </w:r>
      <w:r w:rsidRPr="00447901">
        <w:rPr>
          <w:iCs/>
          <w:lang w:val="en-US"/>
        </w:rPr>
        <w:t xml:space="preserve"> (“GE”).</w:t>
      </w:r>
    </w:p>
    <w:p w14:paraId="4E79EB7F" w14:textId="77777777" w:rsidR="00447901" w:rsidRPr="00447901" w:rsidRDefault="00447901" w:rsidP="00DD170A">
      <w:pPr>
        <w:pStyle w:val="DecisionBody"/>
        <w:numPr>
          <w:ilvl w:val="0"/>
          <w:numId w:val="0"/>
        </w:numPr>
        <w:spacing w:beforeLines="0" w:before="0" w:afterLines="0" w:after="0"/>
        <w:rPr>
          <w:iCs/>
          <w:lang w:val="en-US"/>
        </w:rPr>
      </w:pPr>
    </w:p>
    <w:p w14:paraId="6F61B357" w14:textId="04EEC53B" w:rsidR="00447901" w:rsidRDefault="00447901" w:rsidP="00DD170A">
      <w:pPr>
        <w:pStyle w:val="DecisionBody"/>
        <w:numPr>
          <w:ilvl w:val="0"/>
          <w:numId w:val="0"/>
        </w:numPr>
        <w:spacing w:beforeLines="0" w:before="0" w:afterLines="0" w:after="0"/>
        <w:rPr>
          <w:b/>
          <w:iCs/>
          <w:lang w:val="en-US"/>
        </w:rPr>
      </w:pPr>
      <w:r w:rsidRPr="00447901">
        <w:rPr>
          <w:b/>
          <w:iCs/>
          <w:lang w:val="en-US"/>
        </w:rPr>
        <w:t xml:space="preserve">Reisman – </w:t>
      </w:r>
      <w:r w:rsidR="00F17928">
        <w:rPr>
          <w:b/>
          <w:iCs/>
          <w:lang w:val="en-US"/>
        </w:rPr>
        <w:t xml:space="preserve">Appeal </w:t>
      </w:r>
      <w:r w:rsidRPr="00447901">
        <w:rPr>
          <w:b/>
          <w:iCs/>
          <w:lang w:val="en-US"/>
        </w:rPr>
        <w:t xml:space="preserve">No. 54, 1182929 – </w:t>
      </w:r>
      <w:r w:rsidR="00F17928">
        <w:rPr>
          <w:b/>
          <w:iCs/>
          <w:lang w:val="en-US"/>
        </w:rPr>
        <w:t xml:space="preserve">Appeal </w:t>
      </w:r>
      <w:r w:rsidRPr="00447901">
        <w:rPr>
          <w:b/>
          <w:iCs/>
          <w:lang w:val="en-US"/>
        </w:rPr>
        <w:t>No. 9,</w:t>
      </w:r>
      <w:r w:rsidR="00F17928">
        <w:rPr>
          <w:b/>
          <w:iCs/>
          <w:lang w:val="en-US"/>
        </w:rPr>
        <w:t xml:space="preserve"> and</w:t>
      </w:r>
      <w:r w:rsidRPr="00447901">
        <w:rPr>
          <w:b/>
          <w:iCs/>
          <w:lang w:val="en-US"/>
        </w:rPr>
        <w:t xml:space="preserve"> May Flower – </w:t>
      </w:r>
      <w:r w:rsidR="00F17928">
        <w:rPr>
          <w:b/>
          <w:iCs/>
          <w:lang w:val="en-US"/>
        </w:rPr>
        <w:t xml:space="preserve">Appeal </w:t>
      </w:r>
      <w:r w:rsidRPr="00447901">
        <w:rPr>
          <w:b/>
          <w:iCs/>
          <w:lang w:val="en-US"/>
        </w:rPr>
        <w:t>No. 123</w:t>
      </w:r>
    </w:p>
    <w:p w14:paraId="42D05CDA" w14:textId="77777777" w:rsidR="00447901" w:rsidRPr="00447901" w:rsidRDefault="00447901" w:rsidP="00DD170A">
      <w:pPr>
        <w:pStyle w:val="DecisionBody"/>
        <w:numPr>
          <w:ilvl w:val="0"/>
          <w:numId w:val="0"/>
        </w:numPr>
        <w:spacing w:beforeLines="0" w:before="0" w:afterLines="0" w:after="0"/>
        <w:rPr>
          <w:b/>
          <w:iCs/>
          <w:lang w:val="en-US"/>
        </w:rPr>
      </w:pPr>
    </w:p>
    <w:p w14:paraId="70FF1BF3" w14:textId="1A692BC0" w:rsidR="00447901" w:rsidRDefault="00447901" w:rsidP="00DD170A">
      <w:pPr>
        <w:pStyle w:val="DecisionBody"/>
        <w:spacing w:beforeLines="0" w:before="0" w:afterLines="0" w:after="0"/>
        <w:rPr>
          <w:iCs/>
          <w:lang w:val="en-US"/>
        </w:rPr>
      </w:pPr>
      <w:r w:rsidRPr="00447901">
        <w:rPr>
          <w:iCs/>
          <w:lang w:val="en-US"/>
        </w:rPr>
        <w:t>Evidence</w:t>
      </w:r>
      <w:r w:rsidR="00F17928">
        <w:rPr>
          <w:iCs/>
          <w:lang w:val="en-US"/>
        </w:rPr>
        <w:t>,</w:t>
      </w:r>
      <w:r w:rsidRPr="00447901">
        <w:rPr>
          <w:iCs/>
          <w:lang w:val="en-US"/>
        </w:rPr>
        <w:t xml:space="preserve"> on behalf of Reisman and the other Appellants nearby</w:t>
      </w:r>
      <w:r w:rsidR="00F17928">
        <w:rPr>
          <w:iCs/>
          <w:lang w:val="en-US"/>
        </w:rPr>
        <w:t>,</w:t>
      </w:r>
      <w:r w:rsidRPr="00447901">
        <w:rPr>
          <w:iCs/>
          <w:lang w:val="en-US"/>
        </w:rPr>
        <w:t xml:space="preserve"> was provided by John McDermott, a Registered Professional Planner and Member of the Canadian Institute of Planners who has been practicing in the Province since 1971.  He was initially retained by Reisman in 2002 to assist with </w:t>
      </w:r>
      <w:r w:rsidRPr="00447901">
        <w:rPr>
          <w:i/>
          <w:iCs/>
          <w:lang w:val="en-US"/>
        </w:rPr>
        <w:t>Planning Act</w:t>
      </w:r>
      <w:r w:rsidRPr="00447901">
        <w:rPr>
          <w:iCs/>
          <w:lang w:val="en-US"/>
        </w:rPr>
        <w:t xml:space="preserve"> approvals related to the properties in question. He has provided ongoing consulting services during various initiatives of the City of Toronto</w:t>
      </w:r>
      <w:r w:rsidR="00EE077E">
        <w:rPr>
          <w:iCs/>
          <w:lang w:val="en-US"/>
        </w:rPr>
        <w:t>,</w:t>
      </w:r>
      <w:r w:rsidRPr="00447901">
        <w:rPr>
          <w:iCs/>
          <w:lang w:val="en-US"/>
        </w:rPr>
        <w:t xml:space="preserve"> which affect the use of the lands in question, inclusive of OPA 231 as it relates to Employment Lands.</w:t>
      </w:r>
    </w:p>
    <w:p w14:paraId="2A32D3EF" w14:textId="77777777" w:rsidR="00447901" w:rsidRPr="00447901" w:rsidRDefault="00447901" w:rsidP="00DD170A">
      <w:pPr>
        <w:pStyle w:val="DecisionBody"/>
        <w:numPr>
          <w:ilvl w:val="0"/>
          <w:numId w:val="0"/>
        </w:numPr>
        <w:spacing w:beforeLines="0" w:before="0" w:afterLines="0" w:after="0"/>
        <w:rPr>
          <w:iCs/>
          <w:lang w:val="en-US"/>
        </w:rPr>
      </w:pPr>
    </w:p>
    <w:p w14:paraId="032736BF" w14:textId="4FC01B72" w:rsidR="00447901" w:rsidRDefault="00447901" w:rsidP="00DD170A">
      <w:pPr>
        <w:pStyle w:val="DecisionBody"/>
        <w:spacing w:beforeLines="0" w:before="0" w:afterLines="0" w:after="0"/>
        <w:rPr>
          <w:iCs/>
          <w:lang w:val="en-US"/>
        </w:rPr>
      </w:pPr>
      <w:r w:rsidRPr="00447901">
        <w:rPr>
          <w:iCs/>
          <w:lang w:val="en-US"/>
        </w:rPr>
        <w:t xml:space="preserve">Since June of 2011, upon the City of Toronto initiating a </w:t>
      </w:r>
      <w:r w:rsidR="00F17928">
        <w:rPr>
          <w:iCs/>
          <w:lang w:val="en-US"/>
        </w:rPr>
        <w:t>MCR</w:t>
      </w:r>
      <w:r w:rsidRPr="00447901">
        <w:rPr>
          <w:iCs/>
          <w:lang w:val="en-US"/>
        </w:rPr>
        <w:t xml:space="preserve"> of the policies for lands designated as Employment Areas, he has been actively involved in these considerations and the designations for Employment Lands, especially the lands in these Appeals.  He has made numerous written submissions, and attended the Planning and Growth Management Committee of the City</w:t>
      </w:r>
      <w:r w:rsidR="00914F53">
        <w:rPr>
          <w:iCs/>
          <w:lang w:val="en-US"/>
        </w:rPr>
        <w:t xml:space="preserve"> of Toronto</w:t>
      </w:r>
      <w:r w:rsidRPr="00447901">
        <w:rPr>
          <w:iCs/>
          <w:lang w:val="en-US"/>
        </w:rPr>
        <w:t xml:space="preserve"> during various iterations of the policies and designations prior to OPA 231.</w:t>
      </w:r>
    </w:p>
    <w:p w14:paraId="47C7AF10" w14:textId="77777777" w:rsidR="00447901" w:rsidRPr="00447901" w:rsidRDefault="00447901" w:rsidP="00DD170A">
      <w:pPr>
        <w:pStyle w:val="DecisionBody"/>
        <w:numPr>
          <w:ilvl w:val="0"/>
          <w:numId w:val="0"/>
        </w:numPr>
        <w:spacing w:beforeLines="0" w:before="0" w:afterLines="0" w:after="0"/>
        <w:rPr>
          <w:iCs/>
          <w:lang w:val="en-US"/>
        </w:rPr>
      </w:pPr>
    </w:p>
    <w:p w14:paraId="0B56D32C" w14:textId="040563D8" w:rsidR="00EE077E" w:rsidRPr="000315E1" w:rsidRDefault="00447901" w:rsidP="000315E1">
      <w:pPr>
        <w:pStyle w:val="DecisionBody"/>
        <w:widowControl/>
        <w:spacing w:beforeLines="0" w:before="0" w:afterLines="0" w:after="0"/>
        <w:rPr>
          <w:iCs/>
          <w:lang w:val="en-US"/>
        </w:rPr>
      </w:pPr>
      <w:r w:rsidRPr="00447901">
        <w:rPr>
          <w:iCs/>
          <w:lang w:val="en-US"/>
        </w:rPr>
        <w:t xml:space="preserve">Mr. McDermott’s document book contains extensive mapping of the north </w:t>
      </w:r>
      <w:r w:rsidR="00EE077E">
        <w:rPr>
          <w:iCs/>
          <w:lang w:val="en-US"/>
        </w:rPr>
        <w:t>MEA</w:t>
      </w:r>
      <w:r w:rsidRPr="00447901">
        <w:rPr>
          <w:iCs/>
          <w:lang w:val="en-US"/>
        </w:rPr>
        <w:t>, Maps 1A-4, together with a very helpful list of the properties by owner (Figure 1B, Land Use Index). His Maps identify existing uses, with an overlay of the OPA designations, separation distances and potential influence areas (see below) for existing uses.</w:t>
      </w:r>
    </w:p>
    <w:p w14:paraId="26CC7BF5" w14:textId="37C0100A" w:rsidR="00447901" w:rsidRDefault="00447901" w:rsidP="00DD170A">
      <w:pPr>
        <w:pStyle w:val="DecisionBody"/>
        <w:spacing w:beforeLines="0" w:before="0" w:afterLines="0" w:after="0"/>
        <w:rPr>
          <w:iCs/>
          <w:lang w:val="en-US"/>
        </w:rPr>
      </w:pPr>
      <w:r w:rsidRPr="00447901">
        <w:rPr>
          <w:iCs/>
          <w:lang w:val="en-US"/>
        </w:rPr>
        <w:lastRenderedPageBreak/>
        <w:t>The owner Appellants</w:t>
      </w:r>
      <w:r w:rsidR="00EE077E">
        <w:rPr>
          <w:iCs/>
          <w:lang w:val="en-US"/>
        </w:rPr>
        <w:t>,</w:t>
      </w:r>
      <w:r w:rsidRPr="00447901">
        <w:rPr>
          <w:iCs/>
          <w:lang w:val="en-US"/>
        </w:rPr>
        <w:t xml:space="preserve"> in the Reisman appeals</w:t>
      </w:r>
      <w:r w:rsidR="00EE077E">
        <w:rPr>
          <w:iCs/>
          <w:lang w:val="en-US"/>
        </w:rPr>
        <w:t>,</w:t>
      </w:r>
      <w:r w:rsidRPr="00447901">
        <w:rPr>
          <w:iCs/>
          <w:lang w:val="en-US"/>
        </w:rPr>
        <w:t xml:space="preserve"> propose that portions of their lands have a GE or </w:t>
      </w:r>
      <w:r w:rsidRPr="00447901">
        <w:rPr>
          <w:b/>
          <w:iCs/>
          <w:lang w:val="en-US"/>
        </w:rPr>
        <w:t>General Employment</w:t>
      </w:r>
      <w:r w:rsidRPr="00447901">
        <w:rPr>
          <w:iCs/>
          <w:lang w:val="en-US"/>
        </w:rPr>
        <w:t xml:space="preserve"> subcategory of the Employment designation, while OPA 231 created a CE or </w:t>
      </w:r>
      <w:r w:rsidRPr="00447901">
        <w:rPr>
          <w:b/>
          <w:iCs/>
          <w:lang w:val="en-US"/>
        </w:rPr>
        <w:t>Core Employment</w:t>
      </w:r>
      <w:r w:rsidRPr="00447901">
        <w:rPr>
          <w:iCs/>
          <w:lang w:val="en-US"/>
        </w:rPr>
        <w:t xml:space="preserve"> subcategory for the subject lands.</w:t>
      </w:r>
    </w:p>
    <w:p w14:paraId="143B744E" w14:textId="77777777" w:rsidR="00447901" w:rsidRPr="00447901" w:rsidRDefault="00447901" w:rsidP="00DD170A">
      <w:pPr>
        <w:pStyle w:val="DecisionBody"/>
        <w:numPr>
          <w:ilvl w:val="0"/>
          <w:numId w:val="0"/>
        </w:numPr>
        <w:spacing w:beforeLines="0" w:before="0" w:afterLines="0" w:after="0"/>
        <w:rPr>
          <w:iCs/>
          <w:lang w:val="en-US"/>
        </w:rPr>
      </w:pPr>
    </w:p>
    <w:p w14:paraId="499CDEEA" w14:textId="372B98EB" w:rsidR="00F17928" w:rsidRDefault="00447901" w:rsidP="000315E1">
      <w:pPr>
        <w:pStyle w:val="DecisionBody"/>
        <w:numPr>
          <w:ilvl w:val="0"/>
          <w:numId w:val="0"/>
        </w:numPr>
        <w:spacing w:beforeLines="0" w:before="0" w:afterLines="0" w:after="0"/>
        <w:rPr>
          <w:iCs/>
          <w:lang w:val="en-US"/>
        </w:rPr>
      </w:pPr>
      <w:r w:rsidRPr="00447901">
        <w:rPr>
          <w:b/>
          <w:iCs/>
          <w:lang w:val="en-US"/>
        </w:rPr>
        <w:t xml:space="preserve">Location of the </w:t>
      </w:r>
      <w:r w:rsidR="00F17928">
        <w:rPr>
          <w:b/>
          <w:iCs/>
          <w:lang w:val="en-US"/>
        </w:rPr>
        <w:t>L</w:t>
      </w:r>
      <w:r w:rsidRPr="00447901">
        <w:rPr>
          <w:b/>
          <w:iCs/>
          <w:lang w:val="en-US"/>
        </w:rPr>
        <w:t>ands</w:t>
      </w:r>
      <w:r w:rsidRPr="00447901">
        <w:rPr>
          <w:iCs/>
          <w:lang w:val="en-US"/>
        </w:rPr>
        <w:t xml:space="preserve"> </w:t>
      </w:r>
    </w:p>
    <w:p w14:paraId="222081B7" w14:textId="77777777" w:rsidR="00F17928" w:rsidRDefault="00F17928" w:rsidP="000315E1">
      <w:pPr>
        <w:pStyle w:val="ListParagraph"/>
        <w:rPr>
          <w:iCs/>
        </w:rPr>
      </w:pPr>
    </w:p>
    <w:p w14:paraId="0788AE90" w14:textId="227C70B4" w:rsidR="00447901" w:rsidRDefault="00447901" w:rsidP="00DD170A">
      <w:pPr>
        <w:pStyle w:val="DecisionBody"/>
        <w:spacing w:beforeLines="0" w:before="0" w:afterLines="0" w:after="0"/>
        <w:rPr>
          <w:iCs/>
          <w:lang w:val="en-US"/>
        </w:rPr>
      </w:pPr>
      <w:r w:rsidRPr="00447901">
        <w:rPr>
          <w:iCs/>
          <w:lang w:val="en-US"/>
        </w:rPr>
        <w:t>The Reisman lands are approximately two blocks fronting on the south side of Passmore Avenue (one street south of Steeles</w:t>
      </w:r>
      <w:r w:rsidR="00F17928">
        <w:rPr>
          <w:iCs/>
          <w:lang w:val="en-US"/>
        </w:rPr>
        <w:t xml:space="preserve"> Avenue</w:t>
      </w:r>
      <w:r w:rsidRPr="00447901">
        <w:rPr>
          <w:iCs/>
          <w:lang w:val="en-US"/>
        </w:rPr>
        <w:t xml:space="preserve">), between Kennedy </w:t>
      </w:r>
      <w:r w:rsidR="00F17928">
        <w:rPr>
          <w:iCs/>
          <w:lang w:val="en-US"/>
        </w:rPr>
        <w:t xml:space="preserve">Road </w:t>
      </w:r>
      <w:r w:rsidRPr="00447901">
        <w:rPr>
          <w:iCs/>
          <w:lang w:val="en-US"/>
        </w:rPr>
        <w:t>on the west and the Metrolinx corridor on the east. They do not include the corners at Kennedy</w:t>
      </w:r>
      <w:r w:rsidR="00F17928">
        <w:rPr>
          <w:iCs/>
          <w:lang w:val="en-US"/>
        </w:rPr>
        <w:t xml:space="preserve"> Road</w:t>
      </w:r>
      <w:r w:rsidRPr="00447901">
        <w:rPr>
          <w:iCs/>
          <w:lang w:val="en-US"/>
        </w:rPr>
        <w:t xml:space="preserve"> and Passmore </w:t>
      </w:r>
      <w:r w:rsidR="00F17928">
        <w:rPr>
          <w:iCs/>
          <w:lang w:val="en-US"/>
        </w:rPr>
        <w:t xml:space="preserve">Avenue </w:t>
      </w:r>
      <w:r w:rsidRPr="00447901">
        <w:rPr>
          <w:iCs/>
          <w:lang w:val="en-US"/>
        </w:rPr>
        <w:t xml:space="preserve">(a service station) and Passmore </w:t>
      </w:r>
      <w:r w:rsidR="00F17928">
        <w:rPr>
          <w:iCs/>
          <w:lang w:val="en-US"/>
        </w:rPr>
        <w:t xml:space="preserve">Avenue </w:t>
      </w:r>
      <w:r w:rsidRPr="00447901">
        <w:rPr>
          <w:iCs/>
          <w:lang w:val="en-US"/>
        </w:rPr>
        <w:t>and the Metrolinx corridor. Milliken Boulevard serves as a mid</w:t>
      </w:r>
      <w:r w:rsidRPr="00447901">
        <w:rPr>
          <w:iCs/>
          <w:lang w:val="en-US"/>
        </w:rPr>
        <w:softHyphen/>
        <w:t xml:space="preserve">-block collector road between Finch Avenue to the south, and to the north, the intersection of Passmore </w:t>
      </w:r>
      <w:r w:rsidR="00F17928">
        <w:rPr>
          <w:iCs/>
          <w:lang w:val="en-US"/>
        </w:rPr>
        <w:t xml:space="preserve">Avenue </w:t>
      </w:r>
      <w:r w:rsidRPr="00447901">
        <w:rPr>
          <w:iCs/>
          <w:lang w:val="en-US"/>
        </w:rPr>
        <w:t>and the (proposed) southerly extension of Redlea Avenue. The May Flower lands are at the south-east corner of the Reisman lands. The evidence provided by Mr. McDermott also applies to the May Flower lands, by request of their owner.</w:t>
      </w:r>
    </w:p>
    <w:p w14:paraId="66C7A270" w14:textId="77777777" w:rsidR="00447901" w:rsidRPr="00447901" w:rsidRDefault="00447901" w:rsidP="00DD170A">
      <w:pPr>
        <w:pStyle w:val="DecisionBody"/>
        <w:numPr>
          <w:ilvl w:val="0"/>
          <w:numId w:val="0"/>
        </w:numPr>
        <w:spacing w:beforeLines="0" w:before="0" w:afterLines="0" w:after="0"/>
        <w:rPr>
          <w:iCs/>
          <w:lang w:val="en-US"/>
        </w:rPr>
      </w:pPr>
    </w:p>
    <w:p w14:paraId="3090CFD5" w14:textId="1E964325" w:rsidR="00447901" w:rsidRDefault="00447901" w:rsidP="00DD170A">
      <w:pPr>
        <w:pStyle w:val="DecisionBody"/>
        <w:spacing w:beforeLines="0" w:before="0" w:afterLines="0" w:after="0"/>
        <w:rPr>
          <w:iCs/>
          <w:lang w:val="en-US"/>
        </w:rPr>
      </w:pPr>
      <w:r w:rsidRPr="00447901">
        <w:rPr>
          <w:iCs/>
          <w:lang w:val="en-US"/>
        </w:rPr>
        <w:t xml:space="preserve">The </w:t>
      </w:r>
      <w:r w:rsidRPr="00447901">
        <w:rPr>
          <w:b/>
          <w:iCs/>
          <w:lang w:val="en-US"/>
        </w:rPr>
        <w:t xml:space="preserve">west </w:t>
      </w:r>
      <w:r w:rsidRPr="00447901">
        <w:rPr>
          <w:iCs/>
          <w:lang w:val="en-US"/>
        </w:rPr>
        <w:t xml:space="preserve">block of the Reisman lands </w:t>
      </w:r>
      <w:r w:rsidR="00F17928">
        <w:rPr>
          <w:iCs/>
          <w:lang w:val="en-US"/>
        </w:rPr>
        <w:t xml:space="preserve">is </w:t>
      </w:r>
      <w:r w:rsidRPr="00447901">
        <w:rPr>
          <w:iCs/>
          <w:lang w:val="en-US"/>
        </w:rPr>
        <w:t xml:space="preserve">between Kennedy </w:t>
      </w:r>
      <w:r w:rsidR="00F17928">
        <w:rPr>
          <w:iCs/>
          <w:lang w:val="en-US"/>
        </w:rPr>
        <w:t xml:space="preserve">Road </w:t>
      </w:r>
      <w:r w:rsidRPr="00447901">
        <w:rPr>
          <w:iCs/>
          <w:lang w:val="en-US"/>
        </w:rPr>
        <w:t>and Milliken</w:t>
      </w:r>
      <w:r w:rsidR="00F17928">
        <w:rPr>
          <w:iCs/>
          <w:lang w:val="en-US"/>
        </w:rPr>
        <w:t xml:space="preserve"> Boulevard</w:t>
      </w:r>
      <w:r w:rsidRPr="00447901">
        <w:rPr>
          <w:iCs/>
          <w:lang w:val="en-US"/>
        </w:rPr>
        <w:t xml:space="preserve"> (hereinafter</w:t>
      </w:r>
      <w:r w:rsidR="00F17928">
        <w:rPr>
          <w:iCs/>
          <w:lang w:val="en-US"/>
        </w:rPr>
        <w:t>,</w:t>
      </w:r>
      <w:r w:rsidRPr="00447901">
        <w:rPr>
          <w:iCs/>
          <w:lang w:val="en-US"/>
        </w:rPr>
        <w:t xml:space="preserve"> referred to as the Kennedy-Passmore Lands) is currently developed with seven multi-unit, retail and service commercial - industrial structures. Their combined gross floor area (“GFA”) is approximately 17,351 square metres (“</w:t>
      </w:r>
      <w:r w:rsidR="00EE077E">
        <w:rPr>
          <w:iCs/>
          <w:lang w:val="en-US"/>
        </w:rPr>
        <w:t xml:space="preserve">sq </w:t>
      </w:r>
      <w:r w:rsidRPr="00447901">
        <w:rPr>
          <w:iCs/>
          <w:lang w:val="en-US"/>
        </w:rPr>
        <w:t>m”) or 186,771 square feet (“sq. f</w:t>
      </w:r>
      <w:r w:rsidR="00EE077E">
        <w:rPr>
          <w:iCs/>
          <w:lang w:val="en-US"/>
        </w:rPr>
        <w:t>t</w:t>
      </w:r>
      <w:r w:rsidRPr="00447901">
        <w:rPr>
          <w:iCs/>
          <w:lang w:val="en-US"/>
        </w:rPr>
        <w:t>.”).  Frontage is 173.4 m</w:t>
      </w:r>
      <w:r w:rsidR="00EE077E">
        <w:rPr>
          <w:iCs/>
          <w:lang w:val="en-US"/>
        </w:rPr>
        <w:t>etres (“m”)</w:t>
      </w:r>
      <w:r w:rsidRPr="00447901">
        <w:rPr>
          <w:iCs/>
          <w:lang w:val="en-US"/>
        </w:rPr>
        <w:t xml:space="preserve"> on Kennedy Road, approximately 107 m on Passmore Avenue and 236 m (i.e. 774 feet</w:t>
      </w:r>
      <w:r w:rsidR="00EE077E">
        <w:rPr>
          <w:iCs/>
          <w:lang w:val="en-US"/>
        </w:rPr>
        <w:t xml:space="preserve"> (“ft.”)</w:t>
      </w:r>
      <w:r w:rsidRPr="00447901">
        <w:rPr>
          <w:iCs/>
          <w:lang w:val="en-US"/>
        </w:rPr>
        <w:t>) on Milliken Boulevard.</w:t>
      </w:r>
    </w:p>
    <w:p w14:paraId="529EA6CB" w14:textId="77777777" w:rsidR="00447901" w:rsidRPr="00447901" w:rsidRDefault="00447901" w:rsidP="00DD170A">
      <w:pPr>
        <w:pStyle w:val="DecisionBody"/>
        <w:numPr>
          <w:ilvl w:val="0"/>
          <w:numId w:val="0"/>
        </w:numPr>
        <w:spacing w:beforeLines="0" w:before="0" w:afterLines="0" w:after="0"/>
        <w:rPr>
          <w:iCs/>
          <w:lang w:val="en-US"/>
        </w:rPr>
      </w:pPr>
    </w:p>
    <w:p w14:paraId="1BA647CF" w14:textId="16E36522" w:rsidR="00447901" w:rsidRDefault="00447901" w:rsidP="00DD170A">
      <w:pPr>
        <w:pStyle w:val="DecisionBody"/>
        <w:spacing w:beforeLines="0" w:before="0" w:afterLines="0" w:after="0"/>
        <w:rPr>
          <w:iCs/>
          <w:lang w:val="en-US"/>
        </w:rPr>
      </w:pPr>
      <w:r w:rsidRPr="00447901">
        <w:rPr>
          <w:iCs/>
          <w:lang w:val="en-US"/>
        </w:rPr>
        <w:t xml:space="preserve">The </w:t>
      </w:r>
      <w:r w:rsidRPr="00447901">
        <w:rPr>
          <w:b/>
          <w:iCs/>
          <w:lang w:val="en-US"/>
        </w:rPr>
        <w:t>east</w:t>
      </w:r>
      <w:r w:rsidRPr="00447901">
        <w:rPr>
          <w:iCs/>
          <w:lang w:val="en-US"/>
        </w:rPr>
        <w:t xml:space="preserve"> block </w:t>
      </w:r>
      <w:r w:rsidR="00F17928">
        <w:rPr>
          <w:iCs/>
          <w:lang w:val="en-US"/>
        </w:rPr>
        <w:t xml:space="preserve">is </w:t>
      </w:r>
      <w:r w:rsidRPr="00447901">
        <w:rPr>
          <w:iCs/>
          <w:lang w:val="en-US"/>
        </w:rPr>
        <w:t>between Milliken Blvd. and the Metrolinx corridor (formerly 19, 23 and 27 Passmore Avenue and 300 Milliken Boulevard, or formerly</w:t>
      </w:r>
      <w:r w:rsidR="00EE077E">
        <w:rPr>
          <w:iCs/>
          <w:lang w:val="en-US"/>
        </w:rPr>
        <w:t>,</w:t>
      </w:r>
      <w:r w:rsidRPr="00447901">
        <w:rPr>
          <w:iCs/>
          <w:lang w:val="en-US"/>
        </w:rPr>
        <w:t xml:space="preserve"> 25 Passmore Avenue – see below), and 275 -295 Milliken Boulevard were originally developed circa 1980 by Reisman</w:t>
      </w:r>
      <w:r w:rsidR="00EE077E">
        <w:rPr>
          <w:iCs/>
          <w:lang w:val="en-US"/>
        </w:rPr>
        <w:t xml:space="preserve"> </w:t>
      </w:r>
      <w:r w:rsidRPr="00447901">
        <w:rPr>
          <w:iCs/>
          <w:lang w:val="en-US"/>
        </w:rPr>
        <w:t>as ten</w:t>
      </w:r>
      <w:r w:rsidR="00F17928">
        <w:rPr>
          <w:iCs/>
          <w:lang w:val="en-US"/>
        </w:rPr>
        <w:t>,</w:t>
      </w:r>
      <w:r w:rsidRPr="00447901">
        <w:rPr>
          <w:iCs/>
          <w:lang w:val="en-US"/>
        </w:rPr>
        <w:t xml:space="preserve"> multi-unit commercial - industrial structures.</w:t>
      </w:r>
    </w:p>
    <w:p w14:paraId="2EE5C9CD" w14:textId="77777777" w:rsidR="00447901" w:rsidRPr="00447901" w:rsidRDefault="00447901" w:rsidP="00DD170A">
      <w:pPr>
        <w:pStyle w:val="DecisionBody"/>
        <w:numPr>
          <w:ilvl w:val="0"/>
          <w:numId w:val="0"/>
        </w:numPr>
        <w:spacing w:beforeLines="0" w:before="0" w:afterLines="0" w:after="0"/>
        <w:rPr>
          <w:iCs/>
          <w:lang w:val="en-US"/>
        </w:rPr>
      </w:pPr>
    </w:p>
    <w:p w14:paraId="6D19DE6D" w14:textId="47BBBC0E" w:rsidR="00447901" w:rsidRDefault="00447901" w:rsidP="000651A1">
      <w:pPr>
        <w:pStyle w:val="DecisionBody"/>
        <w:widowControl/>
        <w:spacing w:beforeLines="0" w:before="0" w:afterLines="0" w:after="0"/>
        <w:rPr>
          <w:iCs/>
          <w:lang w:val="en-US"/>
        </w:rPr>
      </w:pPr>
      <w:r w:rsidRPr="00447901">
        <w:rPr>
          <w:iCs/>
          <w:lang w:val="en-US"/>
        </w:rPr>
        <w:t xml:space="preserve">Certain of the parcels at Kennedy Road and Passmore Avenue were created by consent in 2003, and subdivided into three blocks.  These were approximately 3.87 hectares (9.56 acres) in area, with seven buildings at  3241, 3251, 3261 Kennedy Road, </w:t>
      </w:r>
      <w:r w:rsidRPr="00447901">
        <w:rPr>
          <w:iCs/>
          <w:lang w:val="en-US"/>
        </w:rPr>
        <w:lastRenderedPageBreak/>
        <w:t xml:space="preserve">19, 23 and 27 Passmore Avenue, and 300 Milliken Boulevard. All were formerly 25 Passmore Avenue. </w:t>
      </w:r>
      <w:r w:rsidR="00914F53">
        <w:rPr>
          <w:iCs/>
          <w:lang w:val="en-US"/>
        </w:rPr>
        <w:t xml:space="preserve">The </w:t>
      </w:r>
      <w:r w:rsidRPr="00447901">
        <w:rPr>
          <w:iCs/>
          <w:lang w:val="en-US"/>
        </w:rPr>
        <w:t xml:space="preserve">3,572 sq m were deeded to the City </w:t>
      </w:r>
      <w:r w:rsidR="00914F53">
        <w:rPr>
          <w:iCs/>
          <w:lang w:val="en-US"/>
        </w:rPr>
        <w:t xml:space="preserve">of Toronto </w:t>
      </w:r>
      <w:r w:rsidRPr="00447901">
        <w:rPr>
          <w:iCs/>
          <w:lang w:val="en-US"/>
        </w:rPr>
        <w:t xml:space="preserve">for construction of Milliken Boulevard between McNicoll Avenue and Passmore Avenue. </w:t>
      </w:r>
      <w:r w:rsidR="00404036">
        <w:rPr>
          <w:iCs/>
          <w:lang w:val="en-US"/>
        </w:rPr>
        <w:t xml:space="preserve">The </w:t>
      </w:r>
      <w:r w:rsidRPr="00447901">
        <w:rPr>
          <w:iCs/>
          <w:lang w:val="en-US"/>
        </w:rPr>
        <w:t xml:space="preserve">2.3 hectares, with about 121.6 m (399 ft) frontage on Milliken Boulevard, at 275, 285 and 295 Milliken </w:t>
      </w:r>
      <w:r w:rsidR="00404036">
        <w:rPr>
          <w:iCs/>
          <w:lang w:val="en-US"/>
        </w:rPr>
        <w:t xml:space="preserve">Boulevard </w:t>
      </w:r>
      <w:r w:rsidRPr="00447901">
        <w:rPr>
          <w:iCs/>
          <w:lang w:val="en-US"/>
        </w:rPr>
        <w:t xml:space="preserve">(formerly </w:t>
      </w:r>
      <w:r w:rsidR="00404036">
        <w:rPr>
          <w:iCs/>
          <w:lang w:val="en-US"/>
        </w:rPr>
        <w:t xml:space="preserve">known as </w:t>
      </w:r>
      <w:r w:rsidRPr="00447901">
        <w:rPr>
          <w:iCs/>
          <w:lang w:val="en-US"/>
        </w:rPr>
        <w:t>29, 31 and 31A Passmore</w:t>
      </w:r>
      <w:r w:rsidR="00404036">
        <w:rPr>
          <w:iCs/>
          <w:lang w:val="en-US"/>
        </w:rPr>
        <w:t xml:space="preserve"> Avenue</w:t>
      </w:r>
      <w:r w:rsidRPr="00447901">
        <w:rPr>
          <w:iCs/>
          <w:lang w:val="en-US"/>
        </w:rPr>
        <w:t>), has now been developed with three multi-unit, commercial-industrial structures.</w:t>
      </w:r>
    </w:p>
    <w:p w14:paraId="4C408454" w14:textId="77777777" w:rsidR="00447901" w:rsidRPr="00447901" w:rsidRDefault="00447901" w:rsidP="00DD170A">
      <w:pPr>
        <w:pStyle w:val="DecisionBody"/>
        <w:numPr>
          <w:ilvl w:val="0"/>
          <w:numId w:val="0"/>
        </w:numPr>
        <w:spacing w:beforeLines="0" w:before="0" w:afterLines="0" w:after="0"/>
        <w:rPr>
          <w:iCs/>
          <w:lang w:val="en-US"/>
        </w:rPr>
      </w:pPr>
    </w:p>
    <w:p w14:paraId="2F346C6F" w14:textId="082A4AEB" w:rsidR="00447901" w:rsidRDefault="00447901" w:rsidP="00DD170A">
      <w:pPr>
        <w:pStyle w:val="DecisionBody"/>
        <w:spacing w:beforeLines="0" w:before="0" w:afterLines="0" w:after="0"/>
        <w:rPr>
          <w:iCs/>
          <w:lang w:val="en-US"/>
        </w:rPr>
      </w:pPr>
      <w:r w:rsidRPr="00447901">
        <w:rPr>
          <w:iCs/>
          <w:lang w:val="en-US"/>
        </w:rPr>
        <w:t>Reisman acquired 41 Passmore Avenue in 2004.  This is about 8,175 sq m or 2 acres, with about 67 m frontage on the south side of Passmore</w:t>
      </w:r>
      <w:r w:rsidR="00404036">
        <w:rPr>
          <w:iCs/>
          <w:lang w:val="en-US"/>
        </w:rPr>
        <w:t xml:space="preserve"> Avenue</w:t>
      </w:r>
      <w:r w:rsidRPr="00447901">
        <w:rPr>
          <w:iCs/>
          <w:lang w:val="en-US"/>
        </w:rPr>
        <w:t xml:space="preserve">.  Its rear lot line is at the north lot line of the Reisman lands to the south, at 275 - 295 Passmore Avenue. Despite the subdivision of lands and this acquisition, the lands for purposes of this Decision will be referred to as the </w:t>
      </w:r>
      <w:r w:rsidRPr="00447901">
        <w:rPr>
          <w:b/>
          <w:iCs/>
          <w:lang w:val="en-US"/>
        </w:rPr>
        <w:t>east and west block.</w:t>
      </w:r>
      <w:r w:rsidRPr="00447901">
        <w:rPr>
          <w:iCs/>
          <w:lang w:val="en-US"/>
        </w:rPr>
        <w:t xml:space="preserve"> The property is bounded on the west by 33 Passmore Avenue, the lands </w:t>
      </w:r>
      <w:r w:rsidR="00404036">
        <w:rPr>
          <w:iCs/>
          <w:lang w:val="en-US"/>
        </w:rPr>
        <w:t xml:space="preserve">are </w:t>
      </w:r>
      <w:r w:rsidRPr="00447901">
        <w:rPr>
          <w:iCs/>
          <w:lang w:val="en-US"/>
        </w:rPr>
        <w:t>owned by May Flower.</w:t>
      </w:r>
    </w:p>
    <w:p w14:paraId="6F15154A" w14:textId="77777777" w:rsidR="00447901" w:rsidRPr="00447901" w:rsidRDefault="00447901" w:rsidP="00DD170A">
      <w:pPr>
        <w:pStyle w:val="DecisionBody"/>
        <w:numPr>
          <w:ilvl w:val="0"/>
          <w:numId w:val="0"/>
        </w:numPr>
        <w:spacing w:beforeLines="0" w:before="0" w:afterLines="0" w:after="0"/>
        <w:rPr>
          <w:iCs/>
          <w:lang w:val="en-US"/>
        </w:rPr>
      </w:pPr>
    </w:p>
    <w:p w14:paraId="2B69A833" w14:textId="4FEA8B92" w:rsidR="00447901" w:rsidRDefault="00447901" w:rsidP="00DD170A">
      <w:pPr>
        <w:pStyle w:val="DecisionBody"/>
        <w:spacing w:beforeLines="0" w:before="0" w:afterLines="0" w:after="0"/>
        <w:rPr>
          <w:iCs/>
          <w:lang w:val="en-US"/>
        </w:rPr>
      </w:pPr>
      <w:r w:rsidRPr="00447901">
        <w:rPr>
          <w:iCs/>
          <w:lang w:val="en-US"/>
        </w:rPr>
        <w:t xml:space="preserve">At the southerly limit of all the Reisman lands, from Kennedy </w:t>
      </w:r>
      <w:r w:rsidR="00404036">
        <w:rPr>
          <w:iCs/>
          <w:lang w:val="en-US"/>
        </w:rPr>
        <w:t xml:space="preserve">Road </w:t>
      </w:r>
      <w:r w:rsidRPr="00447901">
        <w:rPr>
          <w:iCs/>
          <w:lang w:val="en-US"/>
        </w:rPr>
        <w:t>to the Metrolinx corridor, are the lands of the Chinese Baptist Church (See 10 A and 10 B on Mr. McDermott’s maps, Figs</w:t>
      </w:r>
      <w:r w:rsidR="00EE077E">
        <w:rPr>
          <w:iCs/>
          <w:lang w:val="en-US"/>
        </w:rPr>
        <w:t>.</w:t>
      </w:r>
      <w:r w:rsidRPr="00447901">
        <w:rPr>
          <w:iCs/>
          <w:lang w:val="en-US"/>
        </w:rPr>
        <w:t xml:space="preserve"> 1A and 2).  The Church is constructed on the parcel west of Milliken, and its parking lot is on the easterly portion. Further development as a daycare is proposed for the east portion (a sensitive use, as discussed below). The evidence is that a daycare on the property would not be a new use and therefore</w:t>
      </w:r>
      <w:r w:rsidR="00EE077E">
        <w:rPr>
          <w:iCs/>
          <w:lang w:val="en-US"/>
        </w:rPr>
        <w:t>,</w:t>
      </w:r>
      <w:r w:rsidRPr="00447901">
        <w:rPr>
          <w:iCs/>
          <w:lang w:val="en-US"/>
        </w:rPr>
        <w:t xml:space="preserve"> would not introduce one to this area. </w:t>
      </w:r>
      <w:r w:rsidR="00EE077E">
        <w:rPr>
          <w:iCs/>
          <w:lang w:val="en-US"/>
        </w:rPr>
        <w:t xml:space="preserve"> </w:t>
      </w:r>
      <w:r w:rsidRPr="00447901">
        <w:rPr>
          <w:iCs/>
          <w:lang w:val="en-US"/>
        </w:rPr>
        <w:t xml:space="preserve">These lands are subject to SASP </w:t>
      </w:r>
      <w:r w:rsidR="00404036">
        <w:rPr>
          <w:iCs/>
          <w:lang w:val="en-US"/>
        </w:rPr>
        <w:t xml:space="preserve">No. </w:t>
      </w:r>
      <w:r w:rsidRPr="00447901">
        <w:rPr>
          <w:iCs/>
          <w:lang w:val="en-US"/>
        </w:rPr>
        <w:t xml:space="preserve">529, which was the result of an agreement with the Church. </w:t>
      </w:r>
      <w:r w:rsidR="00EE077E">
        <w:rPr>
          <w:iCs/>
          <w:lang w:val="en-US"/>
        </w:rPr>
        <w:t xml:space="preserve"> </w:t>
      </w:r>
      <w:r w:rsidRPr="00447901">
        <w:rPr>
          <w:iCs/>
          <w:lang w:val="en-US"/>
        </w:rPr>
        <w:t>It is in part an undertaking by the Church not to object to any industrial use on the Reisman properties or in the area.</w:t>
      </w:r>
    </w:p>
    <w:p w14:paraId="3EFE1649" w14:textId="77777777" w:rsidR="00447901" w:rsidRPr="00447901" w:rsidRDefault="00447901" w:rsidP="00DD170A">
      <w:pPr>
        <w:pStyle w:val="DecisionBody"/>
        <w:numPr>
          <w:ilvl w:val="0"/>
          <w:numId w:val="0"/>
        </w:numPr>
        <w:spacing w:beforeLines="0" w:before="0" w:afterLines="0" w:after="0"/>
        <w:rPr>
          <w:iCs/>
          <w:lang w:val="en-US"/>
        </w:rPr>
      </w:pPr>
    </w:p>
    <w:p w14:paraId="6B34F635" w14:textId="4BEBE87D" w:rsidR="00447901" w:rsidRDefault="00447901" w:rsidP="00DD170A">
      <w:pPr>
        <w:pStyle w:val="DecisionBody"/>
        <w:spacing w:beforeLines="0" w:before="0" w:afterLines="0" w:after="0"/>
        <w:rPr>
          <w:iCs/>
          <w:lang w:val="en-US"/>
        </w:rPr>
      </w:pPr>
      <w:r w:rsidRPr="00447901">
        <w:rPr>
          <w:iCs/>
          <w:lang w:val="en-US"/>
        </w:rPr>
        <w:t xml:space="preserve">May Flower is at 33 Passmore Avenue, the south-east corner of the intersection of Passmore Avenue and Milliken Boulevard.  As neighbouring property owners, Reisman and May Flower share a mutual concern about the designation of lands to the south of Passmore Avenue, east of Milliken Boulevard, as CE. They prefer a GE designation as more permissive.  Kathy Roidis of May Flower requested that Reisman provide planning evidence in support of its Appeal concerning this designation of 33 Passmore Avenue.  The principal structure on these lands has a GFA of about 782 sq m. The salt dome </w:t>
      </w:r>
      <w:r w:rsidRPr="00447901">
        <w:rPr>
          <w:iCs/>
          <w:lang w:val="en-US"/>
        </w:rPr>
        <w:lastRenderedPageBreak/>
        <w:t>structures located in the rear yard have a combined area of about 904 sq m.  The principal structure is currently leased to the following: CAO Refrigeration Inc., fabrication of commercial walk-in refrigerators and freezers; Northern Stone Inc., a landscape contractor; and United Salt Distributors Inc., a wholesale road salt distributor.</w:t>
      </w:r>
    </w:p>
    <w:p w14:paraId="43628CA9" w14:textId="77777777" w:rsidR="00447901" w:rsidRPr="00447901" w:rsidRDefault="00447901" w:rsidP="00DD170A">
      <w:pPr>
        <w:pStyle w:val="DecisionBody"/>
        <w:numPr>
          <w:ilvl w:val="0"/>
          <w:numId w:val="0"/>
        </w:numPr>
        <w:spacing w:beforeLines="0" w:before="0" w:afterLines="0" w:after="0"/>
        <w:rPr>
          <w:iCs/>
          <w:lang w:val="en-US"/>
        </w:rPr>
      </w:pPr>
    </w:p>
    <w:p w14:paraId="59BC5AFA" w14:textId="50E982E6" w:rsidR="00447901" w:rsidRDefault="00447901" w:rsidP="00DD170A">
      <w:pPr>
        <w:pStyle w:val="DecisionBody"/>
        <w:spacing w:beforeLines="0" w:before="0" w:afterLines="0" w:after="0"/>
        <w:rPr>
          <w:iCs/>
          <w:lang w:val="en-US"/>
        </w:rPr>
      </w:pPr>
      <w:r w:rsidRPr="00447901">
        <w:rPr>
          <w:iCs/>
          <w:lang w:val="en-US"/>
        </w:rPr>
        <w:t>All of these lands are designated as “Employment”.  OPA 231 proposed that the westerly Reisman block be “</w:t>
      </w:r>
      <w:r w:rsidRPr="00447901">
        <w:rPr>
          <w:i/>
          <w:iCs/>
          <w:lang w:val="en-US"/>
        </w:rPr>
        <w:t>General Employment</w:t>
      </w:r>
      <w:r w:rsidR="00404036">
        <w:rPr>
          <w:i/>
          <w:iCs/>
          <w:lang w:val="en-US"/>
        </w:rPr>
        <w:t>”</w:t>
      </w:r>
      <w:r w:rsidRPr="00447901">
        <w:rPr>
          <w:iCs/>
          <w:lang w:val="en-US"/>
        </w:rPr>
        <w:t xml:space="preserve"> (GE) and the easterly block (including May Flower) be “</w:t>
      </w:r>
      <w:r w:rsidRPr="00447901">
        <w:rPr>
          <w:i/>
          <w:iCs/>
          <w:lang w:val="en-US"/>
        </w:rPr>
        <w:t>Core Employment</w:t>
      </w:r>
      <w:r w:rsidRPr="00447901">
        <w:rPr>
          <w:iCs/>
          <w:lang w:val="en-US"/>
        </w:rPr>
        <w:t xml:space="preserve">” (CE).  Possible uses for each are set out in </w:t>
      </w:r>
      <w:r w:rsidR="00003E3C" w:rsidRPr="00447901">
        <w:rPr>
          <w:iCs/>
          <w:lang w:val="en-US"/>
        </w:rPr>
        <w:t>s</w:t>
      </w:r>
      <w:r w:rsidR="00003E3C">
        <w:rPr>
          <w:iCs/>
          <w:lang w:val="en-US"/>
        </w:rPr>
        <w:t xml:space="preserve">. </w:t>
      </w:r>
      <w:r w:rsidRPr="00447901">
        <w:rPr>
          <w:iCs/>
          <w:lang w:val="en-US"/>
        </w:rPr>
        <w:t xml:space="preserve">4.6.1 and </w:t>
      </w:r>
      <w:r w:rsidR="00003E3C">
        <w:rPr>
          <w:iCs/>
          <w:lang w:val="en-US"/>
        </w:rPr>
        <w:t xml:space="preserve">s. </w:t>
      </w:r>
      <w:r w:rsidRPr="00447901">
        <w:rPr>
          <w:iCs/>
          <w:lang w:val="en-US"/>
        </w:rPr>
        <w:t xml:space="preserve">4.6.2 (Core Employment Areas), and in </w:t>
      </w:r>
      <w:r w:rsidR="00003E3C" w:rsidRPr="00447901">
        <w:rPr>
          <w:iCs/>
          <w:lang w:val="en-US"/>
        </w:rPr>
        <w:t>s</w:t>
      </w:r>
      <w:r w:rsidR="00003E3C">
        <w:rPr>
          <w:iCs/>
          <w:lang w:val="en-US"/>
        </w:rPr>
        <w:t>.</w:t>
      </w:r>
      <w:r w:rsidR="00003E3C" w:rsidRPr="00447901">
        <w:rPr>
          <w:iCs/>
          <w:lang w:val="en-US"/>
        </w:rPr>
        <w:t xml:space="preserve"> </w:t>
      </w:r>
      <w:r w:rsidRPr="00447901">
        <w:rPr>
          <w:iCs/>
          <w:lang w:val="en-US"/>
        </w:rPr>
        <w:t xml:space="preserve">4.6.3 (General Employment Areas):  </w:t>
      </w:r>
    </w:p>
    <w:p w14:paraId="01D28FA6" w14:textId="77777777" w:rsidR="00447901" w:rsidRPr="00447901" w:rsidRDefault="00447901" w:rsidP="00DD170A">
      <w:pPr>
        <w:pStyle w:val="DecisionBody"/>
        <w:numPr>
          <w:ilvl w:val="0"/>
          <w:numId w:val="0"/>
        </w:numPr>
        <w:spacing w:beforeLines="0" w:before="0" w:afterLines="0" w:after="0"/>
        <w:rPr>
          <w:iCs/>
          <w:lang w:val="en-US"/>
        </w:rPr>
      </w:pPr>
    </w:p>
    <w:p w14:paraId="29FB0D13" w14:textId="1DE49FB4"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r w:rsidRPr="000315E1">
        <w:rPr>
          <w:sz w:val="20"/>
          <w:szCs w:val="20"/>
          <w:lang w:val="en-US"/>
        </w:rPr>
        <w:t>Section 4.6.1</w:t>
      </w:r>
    </w:p>
    <w:p w14:paraId="66CF8B21" w14:textId="77777777"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p>
    <w:p w14:paraId="1F316D18" w14:textId="43195E45"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r w:rsidRPr="000315E1">
        <w:rPr>
          <w:sz w:val="20"/>
          <w:szCs w:val="20"/>
          <w:lang w:val="en-US"/>
        </w:rPr>
        <w:t>Core Employment Areas are places for business and economic activities. Uses permitted in Core Employment Areas are all types of manufacturing, processing, warehousing, wholesaling, distribution, storage, transportation facilities, vehicle repair and services, offices, research and development facilities, utilities, waste management systems, industrial trade schools, media, information and technology facilities, and vertical agriculture.</w:t>
      </w:r>
    </w:p>
    <w:p w14:paraId="3F42672A" w14:textId="77777777"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p>
    <w:p w14:paraId="29E2DD16" w14:textId="717C97E3"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r w:rsidRPr="000315E1">
        <w:rPr>
          <w:sz w:val="20"/>
          <w:szCs w:val="20"/>
          <w:lang w:val="en-US"/>
        </w:rPr>
        <w:t>Section 4.6.2</w:t>
      </w:r>
    </w:p>
    <w:p w14:paraId="53DBD34E" w14:textId="77777777"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p>
    <w:p w14:paraId="4CBE297D" w14:textId="628E576E"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r w:rsidRPr="000315E1">
        <w:rPr>
          <w:sz w:val="20"/>
          <w:szCs w:val="20"/>
          <w:lang w:val="en-US"/>
        </w:rPr>
        <w:t>The following additional uses are permitted provided they are ancillary to and intended to serve the Core Employment Area in which they are located: parks, small-scale restaurants, catering facilities, and small-scale service uses such as courier services, banks and copy shops. Small scale retail uses that are ancillary to and on the same lot as the principal use are also permitted. The Zoning By-law will establish development standards for all these uses.</w:t>
      </w:r>
    </w:p>
    <w:p w14:paraId="09BCF42D" w14:textId="77777777"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p>
    <w:p w14:paraId="1990F04C" w14:textId="30F01453"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r w:rsidRPr="000315E1">
        <w:rPr>
          <w:sz w:val="20"/>
          <w:szCs w:val="20"/>
          <w:lang w:val="en-US"/>
        </w:rPr>
        <w:t>Section 4.6.3</w:t>
      </w:r>
    </w:p>
    <w:p w14:paraId="054893EA" w14:textId="77777777"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p>
    <w:p w14:paraId="348DA4BC" w14:textId="0FE2A81E" w:rsidR="00DD170A" w:rsidRDefault="00447901" w:rsidP="00003E3C">
      <w:pPr>
        <w:pStyle w:val="DecisionBody"/>
        <w:widowControl/>
        <w:numPr>
          <w:ilvl w:val="0"/>
          <w:numId w:val="0"/>
        </w:numPr>
        <w:spacing w:beforeLines="0" w:before="0" w:afterLines="0" w:after="0" w:line="240" w:lineRule="auto"/>
        <w:ind w:left="1440" w:right="1080"/>
        <w:rPr>
          <w:sz w:val="20"/>
          <w:szCs w:val="20"/>
          <w:lang w:val="en-US"/>
        </w:rPr>
      </w:pPr>
      <w:r w:rsidRPr="000315E1">
        <w:rPr>
          <w:sz w:val="20"/>
          <w:szCs w:val="20"/>
          <w:lang w:val="en-US"/>
        </w:rPr>
        <w:t>General Employment Areas are places for business and economic activities generally located on the peripheries of Employment Areas. In addition to all uses permitted in Policies 4.6.1 and 4.6.2, permitted uses in a General Employment Area also include restaurants and all types of retail and service uses.</w:t>
      </w:r>
    </w:p>
    <w:p w14:paraId="055831B0" w14:textId="77777777" w:rsidR="000651A1" w:rsidRPr="000315E1" w:rsidRDefault="000651A1" w:rsidP="000651A1">
      <w:pPr>
        <w:pStyle w:val="DecisionBody"/>
        <w:widowControl/>
        <w:numPr>
          <w:ilvl w:val="0"/>
          <w:numId w:val="0"/>
        </w:numPr>
        <w:spacing w:beforeLines="0" w:before="0" w:afterLines="0" w:after="0" w:line="240" w:lineRule="auto"/>
        <w:ind w:left="1440" w:right="1080"/>
        <w:rPr>
          <w:sz w:val="20"/>
          <w:szCs w:val="20"/>
          <w:lang w:val="en-US"/>
        </w:rPr>
      </w:pPr>
    </w:p>
    <w:p w14:paraId="2E51E962" w14:textId="77777777" w:rsidR="00DD170A" w:rsidRPr="000315E1" w:rsidRDefault="00DD170A" w:rsidP="000315E1">
      <w:pPr>
        <w:pStyle w:val="DecisionBody"/>
        <w:widowControl/>
        <w:numPr>
          <w:ilvl w:val="0"/>
          <w:numId w:val="0"/>
        </w:numPr>
        <w:spacing w:beforeLines="0" w:before="0" w:afterLines="0" w:after="0" w:line="240" w:lineRule="auto"/>
        <w:ind w:left="1440" w:right="1080"/>
        <w:rPr>
          <w:sz w:val="20"/>
          <w:szCs w:val="20"/>
          <w:lang w:val="en-US"/>
        </w:rPr>
      </w:pPr>
    </w:p>
    <w:p w14:paraId="0AF7F861" w14:textId="17731FFB" w:rsidR="00447901" w:rsidRDefault="00447901" w:rsidP="000651A1">
      <w:pPr>
        <w:pStyle w:val="DecisionBody"/>
        <w:keepNext/>
        <w:keepLines/>
        <w:spacing w:beforeLines="0" w:before="0" w:afterLines="0" w:after="0"/>
        <w:rPr>
          <w:iCs/>
          <w:lang w:val="en-US"/>
        </w:rPr>
      </w:pPr>
      <w:r w:rsidRPr="00447901">
        <w:rPr>
          <w:iCs/>
          <w:lang w:val="en-US"/>
        </w:rPr>
        <w:t>Mr. McDermott elaborated:</w:t>
      </w:r>
    </w:p>
    <w:p w14:paraId="369EAFAF" w14:textId="77777777" w:rsidR="00DD170A" w:rsidRPr="00447901" w:rsidRDefault="00DD170A" w:rsidP="000651A1">
      <w:pPr>
        <w:pStyle w:val="DecisionBody"/>
        <w:keepNext/>
        <w:keepLines/>
        <w:numPr>
          <w:ilvl w:val="0"/>
          <w:numId w:val="0"/>
        </w:numPr>
        <w:spacing w:beforeLines="0" w:before="0" w:afterLines="0" w:after="0"/>
        <w:rPr>
          <w:iCs/>
          <w:lang w:val="en-US"/>
        </w:rPr>
      </w:pPr>
    </w:p>
    <w:p w14:paraId="36AA778C" w14:textId="294F9057" w:rsidR="00447901" w:rsidRPr="00003E3C" w:rsidRDefault="00447901" w:rsidP="000315E1">
      <w:pPr>
        <w:pStyle w:val="DecisionBody"/>
        <w:numPr>
          <w:ilvl w:val="0"/>
          <w:numId w:val="0"/>
        </w:numPr>
        <w:spacing w:beforeLines="0" w:before="0" w:afterLines="0" w:after="0" w:line="240" w:lineRule="auto"/>
        <w:ind w:left="1440" w:right="1080"/>
        <w:rPr>
          <w:iCs/>
          <w:sz w:val="20"/>
          <w:szCs w:val="20"/>
          <w:lang w:val="en-US"/>
        </w:rPr>
      </w:pPr>
      <w:r w:rsidRPr="00003E3C">
        <w:rPr>
          <w:iCs/>
          <w:sz w:val="20"/>
          <w:szCs w:val="20"/>
          <w:lang w:val="en-US"/>
        </w:rPr>
        <w:t xml:space="preserve">From a land use planning perspective, the forms of land use permitted within the </w:t>
      </w:r>
      <w:r w:rsidRPr="00003E3C">
        <w:rPr>
          <w:b/>
          <w:iCs/>
          <w:sz w:val="20"/>
          <w:szCs w:val="20"/>
          <w:lang w:val="en-US"/>
        </w:rPr>
        <w:t xml:space="preserve">Core Employment Areas </w:t>
      </w:r>
      <w:r w:rsidRPr="00003E3C">
        <w:rPr>
          <w:iCs/>
          <w:sz w:val="20"/>
          <w:szCs w:val="20"/>
          <w:lang w:val="en-US"/>
        </w:rPr>
        <w:t xml:space="preserve">are those which may generally be described as Class 2 or 3 industrial facilities, which require relatively large sites, may involve indoor and/or outdoor operations with the potential to generate off-site impacts, point source or fugitive emissions related to dust, odour, noise or other nuisance vectors requiring mitigation in order to provide for an appropriate measure of compatibility with adjacent land uses. Within Core Employment Areas, small scale service uses which are considered ancillary to and which directly support the uses permitted within a Core Employment area are permitted. Small scale </w:t>
      </w:r>
      <w:r w:rsidRPr="00003E3C">
        <w:rPr>
          <w:iCs/>
          <w:sz w:val="20"/>
          <w:szCs w:val="20"/>
          <w:lang w:val="en-US"/>
        </w:rPr>
        <w:lastRenderedPageBreak/>
        <w:t>retail uses are restricted to those that are considered ancillary to and which are located on the same lot as the principal core employment use.</w:t>
      </w:r>
    </w:p>
    <w:p w14:paraId="5E4FF4AC" w14:textId="77777777" w:rsidR="00DD170A" w:rsidRPr="00447901" w:rsidRDefault="00DD170A" w:rsidP="00DD170A">
      <w:pPr>
        <w:pStyle w:val="DecisionBody"/>
        <w:numPr>
          <w:ilvl w:val="0"/>
          <w:numId w:val="0"/>
        </w:numPr>
        <w:spacing w:beforeLines="0" w:before="0" w:afterLines="0" w:after="0"/>
        <w:rPr>
          <w:iCs/>
          <w:lang w:val="en-US"/>
        </w:rPr>
      </w:pPr>
    </w:p>
    <w:p w14:paraId="0BA48BCE" w14:textId="5988C713" w:rsidR="00447901" w:rsidRPr="00377DB9" w:rsidRDefault="00447901" w:rsidP="00003E3C">
      <w:pPr>
        <w:pStyle w:val="DecisionBody"/>
        <w:numPr>
          <w:ilvl w:val="0"/>
          <w:numId w:val="0"/>
        </w:numPr>
        <w:spacing w:beforeLines="0" w:before="0" w:afterLines="0" w:after="0" w:line="240" w:lineRule="auto"/>
        <w:ind w:left="1440" w:right="1080"/>
        <w:rPr>
          <w:iCs/>
          <w:sz w:val="20"/>
          <w:szCs w:val="20"/>
          <w:lang w:val="en-US"/>
        </w:rPr>
      </w:pPr>
      <w:r w:rsidRPr="00377DB9">
        <w:rPr>
          <w:iCs/>
          <w:sz w:val="20"/>
          <w:szCs w:val="20"/>
          <w:lang w:val="en-US"/>
        </w:rPr>
        <w:t xml:space="preserve">In contrast, the policies applicable to lands designated within the </w:t>
      </w:r>
      <w:r w:rsidRPr="00377DB9">
        <w:rPr>
          <w:b/>
          <w:iCs/>
          <w:sz w:val="20"/>
          <w:szCs w:val="20"/>
          <w:lang w:val="en-US"/>
        </w:rPr>
        <w:t xml:space="preserve">General Employment </w:t>
      </w:r>
      <w:r w:rsidRPr="00377DB9">
        <w:rPr>
          <w:iCs/>
          <w:sz w:val="20"/>
          <w:szCs w:val="20"/>
          <w:lang w:val="en-US"/>
        </w:rPr>
        <w:t>land use classification provide for restaurants as well as retail and service uses in addition to the uses permitted within areas designated within the Core Employment land use classification. The policies applicable to General Employment Areas provide for a broader range of employment uses and economic activities of varying scales which are not necessarily characterized as Class 2 or 3 industrial facilities, that is, uses which do not exhibit the need for spatial separation relative to sensitive land uses, may be wholly enclosed and do not require large sites in order to function and which are reflective of smaller enterprises occupying units within a multi-unit office - commercial - industrial complex.  (emphasis added).</w:t>
      </w:r>
    </w:p>
    <w:p w14:paraId="6F964FAE" w14:textId="77777777" w:rsidR="00DD170A" w:rsidRPr="00447901" w:rsidRDefault="00DD170A" w:rsidP="00DD170A">
      <w:pPr>
        <w:pStyle w:val="DecisionBody"/>
        <w:numPr>
          <w:ilvl w:val="0"/>
          <w:numId w:val="0"/>
        </w:numPr>
        <w:spacing w:beforeLines="0" w:before="0" w:afterLines="0" w:after="0"/>
        <w:rPr>
          <w:iCs/>
          <w:lang w:val="en-US"/>
        </w:rPr>
      </w:pPr>
    </w:p>
    <w:p w14:paraId="460434C0" w14:textId="3A693007" w:rsidR="00447901" w:rsidRDefault="00447901" w:rsidP="00DD170A">
      <w:pPr>
        <w:pStyle w:val="DecisionBody"/>
        <w:spacing w:beforeLines="0" w:before="0" w:afterLines="0" w:after="0"/>
        <w:rPr>
          <w:iCs/>
          <w:lang w:val="en-US"/>
        </w:rPr>
      </w:pPr>
      <w:r w:rsidRPr="00447901">
        <w:rPr>
          <w:iCs/>
          <w:lang w:val="en-US"/>
        </w:rPr>
        <w:t>Mr. McDe</w:t>
      </w:r>
      <w:r w:rsidR="00EA477D">
        <w:rPr>
          <w:iCs/>
          <w:lang w:val="en-US"/>
        </w:rPr>
        <w:t>r</w:t>
      </w:r>
      <w:r w:rsidRPr="00447901">
        <w:rPr>
          <w:iCs/>
          <w:lang w:val="en-US"/>
        </w:rPr>
        <w:t>mott’s concern involves the Guidelines for industrial facilities published by the Environmental Approvals Branch of the Ministry of Environment, Conservation and Parks</w:t>
      </w:r>
      <w:r w:rsidR="00EA477D">
        <w:rPr>
          <w:iCs/>
          <w:lang w:val="en-US"/>
        </w:rPr>
        <w:t xml:space="preserve"> (“Ministry”)</w:t>
      </w:r>
      <w:r w:rsidRPr="00447901">
        <w:rPr>
          <w:iCs/>
          <w:lang w:val="en-US"/>
        </w:rPr>
        <w:t>.  These recommend certain separation distances, to prevent or minimize conflicts between “sensitive” uses (see below) and industrial uses. The Ministry issues certificates of approval (“ECPs”) for emissions. The requirements of these permits must be met, or businesses could be shut down. Emissions that exceed those permitted because of effects on nearby sensitive uses do not represent good planning, he testified.</w:t>
      </w:r>
    </w:p>
    <w:p w14:paraId="6EF5A9A0" w14:textId="77777777" w:rsidR="00DD170A" w:rsidRPr="00447901" w:rsidRDefault="00DD170A" w:rsidP="00DD170A">
      <w:pPr>
        <w:pStyle w:val="DecisionBody"/>
        <w:numPr>
          <w:ilvl w:val="0"/>
          <w:numId w:val="0"/>
        </w:numPr>
        <w:spacing w:beforeLines="0" w:before="0" w:afterLines="0" w:after="0"/>
        <w:rPr>
          <w:iCs/>
          <w:lang w:val="en-US"/>
        </w:rPr>
      </w:pPr>
    </w:p>
    <w:p w14:paraId="724CE8F8" w14:textId="66B4DCF5" w:rsidR="00DD170A" w:rsidRDefault="00447901" w:rsidP="00536987">
      <w:pPr>
        <w:pStyle w:val="DecisionBody"/>
        <w:spacing w:beforeLines="0" w:before="0" w:afterLines="0" w:after="0"/>
        <w:rPr>
          <w:iCs/>
          <w:lang w:val="en-US"/>
        </w:rPr>
      </w:pPr>
      <w:r w:rsidRPr="00447901">
        <w:rPr>
          <w:iCs/>
          <w:lang w:val="en-US"/>
        </w:rPr>
        <w:t xml:space="preserve">Mr. McDermott explained that Industrial and sensitive uses are generally considered to be incompatible, due to adverse effects from industrial operations, especially heavy operations.  These industrial uses exist and are contemplated within the Core Employment Areas (that is, east of the Metrolinx GO Rail corridor, south of Passmore Avenue and within the south-central portion of the North </w:t>
      </w:r>
      <w:r w:rsidR="00536987">
        <w:rPr>
          <w:iCs/>
          <w:lang w:val="en-US"/>
        </w:rPr>
        <w:t>MEA</w:t>
      </w:r>
      <w:r w:rsidRPr="00447901">
        <w:rPr>
          <w:iCs/>
          <w:lang w:val="en-US"/>
        </w:rPr>
        <w:t>).  Examples are MetroCon and D. Crupi &amp; Sons Limited.</w:t>
      </w:r>
    </w:p>
    <w:p w14:paraId="6F5A89A6" w14:textId="77777777" w:rsidR="000651A1" w:rsidRPr="00536987" w:rsidRDefault="000651A1" w:rsidP="000651A1">
      <w:pPr>
        <w:pStyle w:val="DecisionBody"/>
        <w:numPr>
          <w:ilvl w:val="0"/>
          <w:numId w:val="0"/>
        </w:numPr>
        <w:spacing w:beforeLines="0" w:before="0" w:afterLines="0" w:after="0"/>
        <w:rPr>
          <w:iCs/>
          <w:lang w:val="en-US"/>
        </w:rPr>
      </w:pPr>
    </w:p>
    <w:p w14:paraId="1718D905" w14:textId="75448C46" w:rsidR="00447901" w:rsidRPr="00447901" w:rsidRDefault="00447901" w:rsidP="00DD170A">
      <w:pPr>
        <w:pStyle w:val="DecisionBody"/>
        <w:spacing w:beforeLines="0" w:before="0" w:afterLines="0" w:after="0"/>
        <w:rPr>
          <w:iCs/>
          <w:lang w:val="en-US"/>
        </w:rPr>
      </w:pPr>
      <w:r w:rsidRPr="00447901">
        <w:rPr>
          <w:iCs/>
          <w:lang w:val="en-US"/>
        </w:rPr>
        <w:t>The Ministry Guidelines categorize industrial facilities into three Classes, according to the objectionable nature of the emissions, physical size and scale of operations, production volumes and/or intensity and scheduling of operations. The Guidelines define Class One, Two and Three Industrial Facilities as:</w:t>
      </w:r>
    </w:p>
    <w:p w14:paraId="7F4A7773" w14:textId="77777777" w:rsidR="00536987" w:rsidRDefault="00536987" w:rsidP="00536987">
      <w:pPr>
        <w:pStyle w:val="DecisionBody"/>
        <w:numPr>
          <w:ilvl w:val="0"/>
          <w:numId w:val="0"/>
        </w:numPr>
        <w:spacing w:beforeLines="0" w:before="0" w:afterLines="0" w:after="0" w:line="240" w:lineRule="auto"/>
        <w:ind w:left="1440" w:right="1080"/>
        <w:rPr>
          <w:iCs/>
          <w:sz w:val="20"/>
          <w:szCs w:val="20"/>
          <w:lang w:val="en-US"/>
        </w:rPr>
      </w:pPr>
    </w:p>
    <w:p w14:paraId="2F4A4166" w14:textId="438D8A08" w:rsidR="00447901" w:rsidRPr="00003E3C" w:rsidRDefault="00447901" w:rsidP="000315E1">
      <w:pPr>
        <w:pStyle w:val="DecisionBody"/>
        <w:numPr>
          <w:ilvl w:val="0"/>
          <w:numId w:val="0"/>
        </w:numPr>
        <w:spacing w:beforeLines="0" w:before="0" w:afterLines="0" w:after="0" w:line="240" w:lineRule="auto"/>
        <w:ind w:left="1440" w:right="1080"/>
        <w:rPr>
          <w:iCs/>
          <w:sz w:val="20"/>
          <w:szCs w:val="20"/>
          <w:lang w:val="en-US"/>
        </w:rPr>
      </w:pPr>
      <w:r w:rsidRPr="00003E3C">
        <w:rPr>
          <w:iCs/>
          <w:sz w:val="20"/>
          <w:szCs w:val="20"/>
          <w:lang w:val="en-US"/>
        </w:rPr>
        <w:t>Class I Industrial Facility</w:t>
      </w:r>
    </w:p>
    <w:p w14:paraId="56AC7C6B" w14:textId="77777777" w:rsidR="00DD170A" w:rsidRPr="00003E3C" w:rsidRDefault="00DD170A" w:rsidP="000315E1">
      <w:pPr>
        <w:pStyle w:val="DecisionBody"/>
        <w:numPr>
          <w:ilvl w:val="0"/>
          <w:numId w:val="0"/>
        </w:numPr>
        <w:spacing w:beforeLines="0" w:before="0" w:afterLines="0" w:after="0" w:line="240" w:lineRule="auto"/>
        <w:ind w:left="1440" w:right="1080"/>
        <w:rPr>
          <w:iCs/>
          <w:sz w:val="20"/>
          <w:szCs w:val="20"/>
          <w:lang w:val="en-US"/>
        </w:rPr>
      </w:pPr>
    </w:p>
    <w:p w14:paraId="142DA0D3" w14:textId="15688575" w:rsidR="00447901" w:rsidRPr="00003E3C" w:rsidRDefault="00447901" w:rsidP="000315E1">
      <w:pPr>
        <w:pStyle w:val="DecisionBody"/>
        <w:numPr>
          <w:ilvl w:val="0"/>
          <w:numId w:val="0"/>
        </w:numPr>
        <w:spacing w:beforeLines="0" w:before="0" w:afterLines="0" w:after="0" w:line="240" w:lineRule="auto"/>
        <w:ind w:left="1440" w:right="1080"/>
        <w:rPr>
          <w:iCs/>
          <w:sz w:val="20"/>
          <w:szCs w:val="20"/>
          <w:lang w:val="en-US"/>
        </w:rPr>
      </w:pPr>
      <w:r w:rsidRPr="00003E3C">
        <w:rPr>
          <w:iCs/>
          <w:sz w:val="20"/>
          <w:szCs w:val="20"/>
          <w:lang w:val="en-US"/>
        </w:rPr>
        <w:t xml:space="preserve">A place of business for a small scale, self-contained plant or building which produces/stores a product which is contained in a package and has low </w:t>
      </w:r>
      <w:r w:rsidRPr="00003E3C">
        <w:rPr>
          <w:iCs/>
          <w:sz w:val="20"/>
          <w:szCs w:val="20"/>
          <w:lang w:val="en-US"/>
        </w:rPr>
        <w:lastRenderedPageBreak/>
        <w:t>probability of fugitive emissions. Outputs are infrequent, and could be point source or fugitive emissions for any of the following: noise, odour, dust and/or vibration. There are daytime operations only, with infrequent movement of products and/or heavy trucks and no outside storage. (Comment - Recommended minimum separation distance from sensitive uses is 20 m)</w:t>
      </w:r>
    </w:p>
    <w:p w14:paraId="28568BCE" w14:textId="77777777" w:rsidR="00DD170A" w:rsidRPr="00003E3C" w:rsidRDefault="00DD170A" w:rsidP="000315E1">
      <w:pPr>
        <w:pStyle w:val="DecisionBody"/>
        <w:numPr>
          <w:ilvl w:val="0"/>
          <w:numId w:val="0"/>
        </w:numPr>
        <w:spacing w:beforeLines="0" w:before="0" w:afterLines="0" w:after="0" w:line="240" w:lineRule="auto"/>
        <w:ind w:left="1440" w:right="1080"/>
        <w:rPr>
          <w:iCs/>
          <w:sz w:val="20"/>
          <w:szCs w:val="20"/>
          <w:lang w:val="en-US"/>
        </w:rPr>
      </w:pPr>
    </w:p>
    <w:p w14:paraId="357F6A69" w14:textId="1B3E289E" w:rsidR="00447901" w:rsidRPr="00003E3C" w:rsidRDefault="00447901" w:rsidP="000315E1">
      <w:pPr>
        <w:pStyle w:val="DecisionBody"/>
        <w:numPr>
          <w:ilvl w:val="0"/>
          <w:numId w:val="0"/>
        </w:numPr>
        <w:spacing w:beforeLines="0" w:before="0" w:afterLines="0" w:after="0" w:line="240" w:lineRule="auto"/>
        <w:ind w:left="1440" w:right="1080"/>
        <w:rPr>
          <w:iCs/>
          <w:sz w:val="20"/>
          <w:szCs w:val="20"/>
          <w:lang w:val="en-US"/>
        </w:rPr>
      </w:pPr>
      <w:r w:rsidRPr="00003E3C">
        <w:rPr>
          <w:iCs/>
          <w:sz w:val="20"/>
          <w:szCs w:val="20"/>
          <w:lang w:val="en-US"/>
        </w:rPr>
        <w:t>Class II Industrial Facility</w:t>
      </w:r>
    </w:p>
    <w:p w14:paraId="3AA8F384" w14:textId="77777777" w:rsidR="00DD170A" w:rsidRPr="00003E3C" w:rsidRDefault="00DD170A" w:rsidP="000315E1">
      <w:pPr>
        <w:pStyle w:val="DecisionBody"/>
        <w:numPr>
          <w:ilvl w:val="0"/>
          <w:numId w:val="0"/>
        </w:numPr>
        <w:spacing w:beforeLines="0" w:before="0" w:afterLines="0" w:after="0" w:line="240" w:lineRule="auto"/>
        <w:ind w:left="1440" w:right="1080"/>
        <w:rPr>
          <w:iCs/>
          <w:sz w:val="20"/>
          <w:szCs w:val="20"/>
          <w:lang w:val="en-US"/>
        </w:rPr>
      </w:pPr>
    </w:p>
    <w:p w14:paraId="5B71EB0B" w14:textId="7E92D8AE" w:rsidR="00447901" w:rsidRPr="00003E3C" w:rsidRDefault="00447901" w:rsidP="000315E1">
      <w:pPr>
        <w:pStyle w:val="DecisionBody"/>
        <w:numPr>
          <w:ilvl w:val="0"/>
          <w:numId w:val="0"/>
        </w:numPr>
        <w:spacing w:beforeLines="0" w:before="0" w:afterLines="0" w:after="0" w:line="240" w:lineRule="auto"/>
        <w:ind w:left="1440" w:right="1080"/>
        <w:rPr>
          <w:iCs/>
          <w:sz w:val="20"/>
          <w:szCs w:val="20"/>
          <w:lang w:val="en-US"/>
        </w:rPr>
      </w:pPr>
      <w:r w:rsidRPr="00003E3C">
        <w:rPr>
          <w:iCs/>
          <w:sz w:val="20"/>
          <w:szCs w:val="20"/>
          <w:lang w:val="en-US"/>
        </w:rPr>
        <w:t>A place of business for medium scale processing and manufacturing with outdoor storage of waste or materials (i.e. has an open process) and/or there are periodic outputs of minor annoyances. There are occasional outputs of either point source or fugitive emissions for any of the following: noise, odour, dust and/or vibration, and low probability of fugitive emissions. Shift operations are permitted and there is frequent movement of products and/or heavy trucks during daytime hours. (separation distance 70 m)</w:t>
      </w:r>
    </w:p>
    <w:p w14:paraId="628F8139" w14:textId="77777777" w:rsidR="00DD170A" w:rsidRPr="00003E3C" w:rsidRDefault="00DD170A" w:rsidP="000315E1">
      <w:pPr>
        <w:pStyle w:val="DecisionBody"/>
        <w:numPr>
          <w:ilvl w:val="0"/>
          <w:numId w:val="0"/>
        </w:numPr>
        <w:spacing w:beforeLines="0" w:before="0" w:afterLines="0" w:after="0" w:line="240" w:lineRule="auto"/>
        <w:ind w:left="1440" w:right="1080"/>
        <w:rPr>
          <w:iCs/>
          <w:sz w:val="20"/>
          <w:szCs w:val="20"/>
          <w:lang w:val="en-US"/>
        </w:rPr>
      </w:pPr>
    </w:p>
    <w:p w14:paraId="3C52F983" w14:textId="365D44D8" w:rsidR="00447901" w:rsidRPr="00003E3C" w:rsidRDefault="00447901" w:rsidP="000315E1">
      <w:pPr>
        <w:pStyle w:val="DecisionBody"/>
        <w:numPr>
          <w:ilvl w:val="0"/>
          <w:numId w:val="0"/>
        </w:numPr>
        <w:spacing w:beforeLines="0" w:before="0" w:afterLines="0" w:after="0" w:line="240" w:lineRule="auto"/>
        <w:ind w:left="1440" w:right="1080"/>
        <w:rPr>
          <w:iCs/>
          <w:sz w:val="20"/>
          <w:szCs w:val="20"/>
          <w:lang w:val="en-US"/>
        </w:rPr>
      </w:pPr>
      <w:r w:rsidRPr="00003E3C">
        <w:rPr>
          <w:iCs/>
          <w:sz w:val="20"/>
          <w:szCs w:val="20"/>
          <w:lang w:val="en-US"/>
        </w:rPr>
        <w:t>Class Ill Industrial Facility</w:t>
      </w:r>
    </w:p>
    <w:p w14:paraId="3326E3D8" w14:textId="77777777" w:rsidR="00DD170A" w:rsidRPr="00003E3C" w:rsidRDefault="00DD170A" w:rsidP="000315E1">
      <w:pPr>
        <w:pStyle w:val="DecisionBody"/>
        <w:numPr>
          <w:ilvl w:val="0"/>
          <w:numId w:val="0"/>
        </w:numPr>
        <w:spacing w:beforeLines="0" w:before="0" w:afterLines="0" w:after="0" w:line="240" w:lineRule="auto"/>
        <w:ind w:left="1440" w:right="1080"/>
        <w:rPr>
          <w:iCs/>
          <w:sz w:val="20"/>
          <w:szCs w:val="20"/>
          <w:lang w:val="en-US"/>
        </w:rPr>
      </w:pPr>
    </w:p>
    <w:p w14:paraId="2AFEC1FA" w14:textId="27F52562" w:rsidR="00447901" w:rsidRPr="00003E3C" w:rsidRDefault="00447901" w:rsidP="000315E1">
      <w:pPr>
        <w:pStyle w:val="DecisionBody"/>
        <w:numPr>
          <w:ilvl w:val="0"/>
          <w:numId w:val="0"/>
        </w:numPr>
        <w:spacing w:beforeLines="0" w:before="0" w:afterLines="0" w:after="0" w:line="240" w:lineRule="auto"/>
        <w:ind w:left="1440" w:right="1080"/>
        <w:rPr>
          <w:iCs/>
          <w:sz w:val="20"/>
          <w:szCs w:val="20"/>
          <w:lang w:val="en-US"/>
        </w:rPr>
      </w:pPr>
      <w:r w:rsidRPr="00003E3C">
        <w:rPr>
          <w:iCs/>
          <w:sz w:val="20"/>
          <w:szCs w:val="20"/>
          <w:lang w:val="en-US"/>
        </w:rPr>
        <w:t>A place of business for large scale manufacturing or processing, characterized by: large physical size, outside storage of raw and finished products, large production volumes and continuous movement of products and employees during daily shift operations. It has frequent outputs of point source and fugitive emissions of significant impact and there is high probability of fugitive emissions. (separation distance 300 m).</w:t>
      </w:r>
    </w:p>
    <w:p w14:paraId="68B6AC41" w14:textId="77777777" w:rsidR="00DD170A" w:rsidRPr="00447901" w:rsidRDefault="00DD170A" w:rsidP="00DD170A">
      <w:pPr>
        <w:pStyle w:val="DecisionBody"/>
        <w:numPr>
          <w:ilvl w:val="0"/>
          <w:numId w:val="0"/>
        </w:numPr>
        <w:spacing w:beforeLines="0" w:before="0" w:afterLines="0" w:after="0"/>
        <w:rPr>
          <w:iCs/>
          <w:lang w:val="en-US"/>
        </w:rPr>
      </w:pPr>
    </w:p>
    <w:p w14:paraId="450FD4C5" w14:textId="42FB2A3B" w:rsidR="00447901" w:rsidRDefault="00447901" w:rsidP="00DD170A">
      <w:pPr>
        <w:pStyle w:val="DecisionBody"/>
        <w:spacing w:beforeLines="0" w:before="0" w:afterLines="0" w:after="0"/>
        <w:rPr>
          <w:iCs/>
          <w:lang w:val="en-US"/>
        </w:rPr>
      </w:pPr>
      <w:r w:rsidRPr="00447901">
        <w:rPr>
          <w:iCs/>
          <w:lang w:val="en-US"/>
        </w:rPr>
        <w:t xml:space="preserve"> “</w:t>
      </w:r>
      <w:r w:rsidRPr="00447901">
        <w:rPr>
          <w:b/>
          <w:iCs/>
          <w:lang w:val="en-US"/>
        </w:rPr>
        <w:t>Sensitive” land uses</w:t>
      </w:r>
      <w:r w:rsidRPr="00447901">
        <w:rPr>
          <w:iCs/>
          <w:lang w:val="en-US"/>
        </w:rPr>
        <w:t xml:space="preserve"> are generally defined under the Guidelines as any building or associated amenity area, indoor or outdoor, where humans or the natural environment may be adversely affected by emissions generated by the operation of a nearby industrial facility. Specific examples of sensitive land uses include the building or amenity area associated with residences, senior citizen homes, schools, day care facilities, hospitals, churches and other similar institutional uses.</w:t>
      </w:r>
    </w:p>
    <w:p w14:paraId="388FF380" w14:textId="77777777" w:rsidR="00DD170A" w:rsidRPr="00447901" w:rsidRDefault="00DD170A" w:rsidP="00DD170A">
      <w:pPr>
        <w:pStyle w:val="DecisionBody"/>
        <w:numPr>
          <w:ilvl w:val="0"/>
          <w:numId w:val="0"/>
        </w:numPr>
        <w:spacing w:beforeLines="0" w:before="0" w:afterLines="0" w:after="0"/>
        <w:rPr>
          <w:iCs/>
          <w:lang w:val="en-US"/>
        </w:rPr>
      </w:pPr>
    </w:p>
    <w:p w14:paraId="3BA29C94" w14:textId="5DD41036" w:rsidR="00DD170A" w:rsidRDefault="00447901" w:rsidP="000651A1">
      <w:pPr>
        <w:pStyle w:val="DecisionBody"/>
        <w:widowControl/>
        <w:spacing w:beforeLines="0" w:before="0" w:afterLines="0" w:after="0"/>
        <w:rPr>
          <w:iCs/>
          <w:lang w:val="en-US"/>
        </w:rPr>
      </w:pPr>
      <w:r w:rsidRPr="00447901">
        <w:rPr>
          <w:iCs/>
          <w:lang w:val="en-US"/>
        </w:rPr>
        <w:t xml:space="preserve">Mr. McDermott agreed that for the westerly Reisman lands, proposed by the City </w:t>
      </w:r>
      <w:r w:rsidR="00914F53">
        <w:rPr>
          <w:iCs/>
          <w:lang w:val="en-US"/>
        </w:rPr>
        <w:t xml:space="preserve">of Toronto </w:t>
      </w:r>
      <w:r w:rsidRPr="00447901">
        <w:rPr>
          <w:iCs/>
          <w:lang w:val="en-US"/>
        </w:rPr>
        <w:t>to be General Employment or GE, “.. that is the appropriate designation for these lands given the existing development rights and the scale and nature of the existing built form.”</w:t>
      </w:r>
    </w:p>
    <w:p w14:paraId="2B7ED10B" w14:textId="77777777" w:rsidR="000315E1" w:rsidRPr="000651A1" w:rsidRDefault="000315E1" w:rsidP="000315E1">
      <w:pPr>
        <w:pStyle w:val="DecisionBody"/>
        <w:widowControl/>
        <w:numPr>
          <w:ilvl w:val="0"/>
          <w:numId w:val="0"/>
        </w:numPr>
        <w:spacing w:beforeLines="0" w:before="0" w:afterLines="0" w:after="0"/>
        <w:rPr>
          <w:iCs/>
          <w:lang w:val="en-US"/>
        </w:rPr>
      </w:pPr>
    </w:p>
    <w:p w14:paraId="2400C2EB" w14:textId="7D45A701" w:rsidR="00DD170A" w:rsidRPr="000315E1" w:rsidRDefault="00447901" w:rsidP="000315E1">
      <w:pPr>
        <w:pStyle w:val="DecisionBody"/>
        <w:spacing w:beforeLines="0" w:before="0" w:afterLines="0" w:after="0"/>
        <w:rPr>
          <w:iCs/>
          <w:lang w:val="en-US"/>
        </w:rPr>
      </w:pPr>
      <w:r w:rsidRPr="00447901">
        <w:rPr>
          <w:iCs/>
          <w:lang w:val="en-US"/>
        </w:rPr>
        <w:t>However, he qualified this by stating that for the GE-designated lands, in his opinion “… it is appropriate that those lands be subject to a Site and Area Specific Policy which serves to restrict the level of retail and service commercial uses to not greater than 6,000 square metres”. The proposed SASP is set out in Appendix "D" to Mr. McDermott’s Witness Statement (Exhibit 5).</w:t>
      </w:r>
    </w:p>
    <w:p w14:paraId="24C38F91" w14:textId="02A7D73A" w:rsidR="00DD170A" w:rsidRDefault="00447901" w:rsidP="00DD170A">
      <w:pPr>
        <w:pStyle w:val="DecisionBody"/>
        <w:spacing w:beforeLines="0" w:before="0" w:afterLines="0" w:after="0"/>
        <w:rPr>
          <w:iCs/>
          <w:lang w:val="en-US"/>
        </w:rPr>
      </w:pPr>
      <w:r w:rsidRPr="00447901">
        <w:rPr>
          <w:iCs/>
          <w:lang w:val="en-US"/>
        </w:rPr>
        <w:lastRenderedPageBreak/>
        <w:t xml:space="preserve">The reason for this, he stated, is that the designation of the lands together with a SASP will ensure that the intent of OPA 231 is recognized. This would be by forbidding a change for the entire GFA of the existing structures, or any redevelopment of a property as a “major retail facility” (as defined in </w:t>
      </w:r>
      <w:r w:rsidR="00AD3585" w:rsidRPr="00447901">
        <w:rPr>
          <w:iCs/>
          <w:lang w:val="en-US"/>
        </w:rPr>
        <w:t>s</w:t>
      </w:r>
      <w:r w:rsidR="00AD3585">
        <w:rPr>
          <w:iCs/>
          <w:lang w:val="en-US"/>
        </w:rPr>
        <w:t xml:space="preserve">. </w:t>
      </w:r>
      <w:r w:rsidRPr="00447901">
        <w:rPr>
          <w:iCs/>
          <w:lang w:val="en-US"/>
        </w:rPr>
        <w:t>4.6.5 of OPA 231, Exhibit "C" to the Affidavit of Christina Heydorn).  As well, designation of the lands within a SASP would ensure recognition of the development approvals already granted by the Tribunal under By-law No.</w:t>
      </w:r>
      <w:r w:rsidR="00C17834">
        <w:rPr>
          <w:iCs/>
          <w:lang w:val="en-US"/>
        </w:rPr>
        <w:t xml:space="preserve"> </w:t>
      </w:r>
      <w:r w:rsidRPr="00447901">
        <w:rPr>
          <w:iCs/>
          <w:lang w:val="en-US"/>
        </w:rPr>
        <w:t>153-2011.</w:t>
      </w:r>
    </w:p>
    <w:p w14:paraId="1CE29E47" w14:textId="77777777" w:rsidR="00DD170A" w:rsidRPr="00447901" w:rsidRDefault="00DD170A" w:rsidP="00DD170A">
      <w:pPr>
        <w:pStyle w:val="DecisionBody"/>
        <w:numPr>
          <w:ilvl w:val="0"/>
          <w:numId w:val="0"/>
        </w:numPr>
        <w:spacing w:beforeLines="0" w:before="0" w:afterLines="0" w:after="0"/>
        <w:rPr>
          <w:iCs/>
          <w:lang w:val="en-US"/>
        </w:rPr>
      </w:pPr>
    </w:p>
    <w:p w14:paraId="3B64AB4D" w14:textId="6F4A1C76" w:rsidR="00447901" w:rsidRDefault="00447901" w:rsidP="00DD170A">
      <w:pPr>
        <w:pStyle w:val="DecisionBody"/>
        <w:spacing w:beforeLines="0" w:before="0" w:afterLines="0" w:after="0"/>
        <w:rPr>
          <w:iCs/>
          <w:lang w:val="en-US"/>
        </w:rPr>
      </w:pPr>
      <w:r w:rsidRPr="00447901">
        <w:rPr>
          <w:iCs/>
          <w:lang w:val="en-US"/>
        </w:rPr>
        <w:t xml:space="preserve">He also opined that such a designation with a SASP is consistent with the PPS effective May 1, 2020, and conforms with the intent and purpose of the Provincial Growth Plan (GP, as above) </w:t>
      </w:r>
      <w:r w:rsidRPr="00447901">
        <w:rPr>
          <w:b/>
          <w:iCs/>
          <w:lang w:val="en-US"/>
        </w:rPr>
        <w:t>effective August 28, 2020</w:t>
      </w:r>
      <w:r w:rsidRPr="00447901">
        <w:rPr>
          <w:iCs/>
          <w:lang w:val="en-US"/>
        </w:rPr>
        <w:t xml:space="preserve"> (see the Tribunal conclusion below on the applicable GP.)</w:t>
      </w:r>
    </w:p>
    <w:p w14:paraId="4B90A963" w14:textId="77777777" w:rsidR="00DD170A" w:rsidRPr="00447901" w:rsidRDefault="00DD170A" w:rsidP="00DD170A">
      <w:pPr>
        <w:pStyle w:val="DecisionBody"/>
        <w:numPr>
          <w:ilvl w:val="0"/>
          <w:numId w:val="0"/>
        </w:numPr>
        <w:spacing w:beforeLines="0" w:before="0" w:afterLines="0" w:after="0"/>
        <w:rPr>
          <w:iCs/>
          <w:lang w:val="en-US"/>
        </w:rPr>
      </w:pPr>
    </w:p>
    <w:p w14:paraId="1914CD7B" w14:textId="58024CD2" w:rsidR="00447901" w:rsidRDefault="00447901" w:rsidP="00DD170A">
      <w:pPr>
        <w:pStyle w:val="DecisionBody"/>
        <w:spacing w:beforeLines="0" w:before="0" w:afterLines="0" w:after="0"/>
        <w:rPr>
          <w:iCs/>
          <w:lang w:val="en-US"/>
        </w:rPr>
      </w:pPr>
      <w:r w:rsidRPr="00447901">
        <w:rPr>
          <w:iCs/>
          <w:lang w:val="en-US"/>
        </w:rPr>
        <w:t>For the east block, including May Flower (essentially</w:t>
      </w:r>
      <w:r w:rsidR="00AD3585">
        <w:rPr>
          <w:iCs/>
          <w:lang w:val="en-US"/>
        </w:rPr>
        <w:t>,</w:t>
      </w:r>
      <w:r w:rsidRPr="00447901">
        <w:rPr>
          <w:iCs/>
          <w:lang w:val="en-US"/>
        </w:rPr>
        <w:t xml:space="preserve"> the lands fronting on the south of Passmore </w:t>
      </w:r>
      <w:r w:rsidR="00C17834">
        <w:rPr>
          <w:iCs/>
          <w:lang w:val="en-US"/>
        </w:rPr>
        <w:t xml:space="preserve">Avenue, </w:t>
      </w:r>
      <w:r w:rsidRPr="00447901">
        <w:rPr>
          <w:iCs/>
          <w:lang w:val="en-US"/>
        </w:rPr>
        <w:t>east of Milliken</w:t>
      </w:r>
      <w:r w:rsidR="00C17834">
        <w:rPr>
          <w:iCs/>
          <w:lang w:val="en-US"/>
        </w:rPr>
        <w:t xml:space="preserve"> Boulevard</w:t>
      </w:r>
      <w:r w:rsidRPr="00447901">
        <w:rPr>
          <w:iCs/>
          <w:lang w:val="en-US"/>
        </w:rPr>
        <w:t xml:space="preserve">), Mr. McDermott was of the opinion that the lands should also be designated GE.  A Core </w:t>
      </w:r>
      <w:r w:rsidR="00C17834">
        <w:rPr>
          <w:iCs/>
          <w:lang w:val="en-US"/>
        </w:rPr>
        <w:t xml:space="preserve">Employment </w:t>
      </w:r>
      <w:r w:rsidRPr="00447901">
        <w:rPr>
          <w:iCs/>
          <w:lang w:val="en-US"/>
        </w:rPr>
        <w:t xml:space="preserve">Area designation is too restrictive, in his view, and uses permitted in the Core </w:t>
      </w:r>
      <w:r w:rsidR="00C17834">
        <w:rPr>
          <w:iCs/>
          <w:lang w:val="en-US"/>
        </w:rPr>
        <w:t xml:space="preserve">Employment </w:t>
      </w:r>
      <w:r w:rsidRPr="00447901">
        <w:rPr>
          <w:iCs/>
          <w:lang w:val="en-US"/>
        </w:rPr>
        <w:t>subcategory</w:t>
      </w:r>
      <w:r w:rsidR="00AD3585">
        <w:rPr>
          <w:iCs/>
          <w:lang w:val="en-US"/>
        </w:rPr>
        <w:t>,</w:t>
      </w:r>
      <w:r w:rsidRPr="00447901">
        <w:rPr>
          <w:iCs/>
          <w:lang w:val="en-US"/>
        </w:rPr>
        <w:t xml:space="preserve"> </w:t>
      </w:r>
      <w:r w:rsidR="00AD3585">
        <w:rPr>
          <w:iCs/>
          <w:lang w:val="en-US"/>
        </w:rPr>
        <w:t>which</w:t>
      </w:r>
      <w:r w:rsidRPr="00447901">
        <w:rPr>
          <w:iCs/>
          <w:lang w:val="en-US"/>
        </w:rPr>
        <w:t xml:space="preserve"> are unlikely to develop on these parcels.  GE would allow for a range of uses, well suited to the existing built form, being multi-use commercial-industrial structures</w:t>
      </w:r>
      <w:r w:rsidR="00AD3585">
        <w:rPr>
          <w:iCs/>
          <w:lang w:val="en-US"/>
        </w:rPr>
        <w:t>,</w:t>
      </w:r>
      <w:r w:rsidRPr="00447901">
        <w:rPr>
          <w:iCs/>
          <w:lang w:val="en-US"/>
        </w:rPr>
        <w:t xml:space="preserve"> which include retail and service commercial uses. This range fosters an opportunity for an array of smaller businesses consistent with the identified need.</w:t>
      </w:r>
    </w:p>
    <w:p w14:paraId="5D937727" w14:textId="77777777" w:rsidR="00C17834" w:rsidRDefault="00C17834" w:rsidP="00C17834">
      <w:pPr>
        <w:pStyle w:val="DecisionBody"/>
        <w:numPr>
          <w:ilvl w:val="0"/>
          <w:numId w:val="0"/>
        </w:numPr>
        <w:spacing w:beforeLines="0" w:before="0" w:afterLines="0" w:after="0"/>
        <w:rPr>
          <w:iCs/>
          <w:lang w:val="en-US"/>
        </w:rPr>
      </w:pPr>
    </w:p>
    <w:p w14:paraId="1F6B25CD" w14:textId="21E7ADA2" w:rsidR="00003E3C" w:rsidRPr="000315E1" w:rsidRDefault="00447901" w:rsidP="00DD170A">
      <w:pPr>
        <w:pStyle w:val="DecisionBody"/>
        <w:spacing w:beforeLines="0" w:before="0" w:afterLines="0" w:after="0"/>
        <w:rPr>
          <w:i/>
          <w:iCs/>
          <w:lang w:val="en-US"/>
        </w:rPr>
      </w:pPr>
      <w:r w:rsidRPr="00447901">
        <w:rPr>
          <w:iCs/>
          <w:lang w:val="en-US"/>
        </w:rPr>
        <w:t xml:space="preserve">He stated: </w:t>
      </w:r>
    </w:p>
    <w:p w14:paraId="0D071F72" w14:textId="77777777" w:rsidR="00003E3C" w:rsidRDefault="00003E3C" w:rsidP="00003E3C">
      <w:pPr>
        <w:pStyle w:val="DecisionBody"/>
        <w:numPr>
          <w:ilvl w:val="0"/>
          <w:numId w:val="0"/>
        </w:numPr>
        <w:spacing w:beforeLines="0" w:before="0" w:afterLines="0" w:after="0" w:line="240" w:lineRule="auto"/>
        <w:ind w:left="1440" w:right="1080"/>
        <w:rPr>
          <w:sz w:val="20"/>
          <w:szCs w:val="20"/>
          <w:lang w:val="en-US"/>
        </w:rPr>
      </w:pPr>
    </w:p>
    <w:p w14:paraId="16C866CA" w14:textId="0932BEAD" w:rsidR="00447901" w:rsidRDefault="00447901" w:rsidP="00A90E38">
      <w:pPr>
        <w:pStyle w:val="DecisionBody"/>
        <w:widowControl/>
        <w:numPr>
          <w:ilvl w:val="0"/>
          <w:numId w:val="0"/>
        </w:numPr>
        <w:spacing w:beforeLines="0" w:before="0" w:afterLines="0" w:after="0" w:line="240" w:lineRule="auto"/>
        <w:ind w:left="1440" w:right="1080"/>
        <w:rPr>
          <w:sz w:val="20"/>
          <w:szCs w:val="20"/>
          <w:lang w:val="en-US"/>
        </w:rPr>
      </w:pPr>
      <w:r w:rsidRPr="000315E1">
        <w:rPr>
          <w:sz w:val="20"/>
          <w:szCs w:val="20"/>
          <w:lang w:val="en-US"/>
        </w:rPr>
        <w:t xml:space="preserve">It is my land use planning opinion that the Milliken-Passmore lands should more appropriately provide for a diverse range of economic functions throughout lands forming part of the Employment Areas…. An opportunity to provide for redevelopment of the Milliken-Passmore lands for Class 2 and 3 industrial facilities </w:t>
      </w:r>
      <w:r w:rsidRPr="000315E1">
        <w:rPr>
          <w:b/>
          <w:sz w:val="20"/>
          <w:szCs w:val="20"/>
          <w:lang w:val="en-US"/>
        </w:rPr>
        <w:t>does not exist</w:t>
      </w:r>
      <w:r w:rsidRPr="000315E1">
        <w:rPr>
          <w:sz w:val="20"/>
          <w:szCs w:val="20"/>
          <w:lang w:val="en-US"/>
        </w:rPr>
        <w:t xml:space="preserve"> at the present time or within the foreseeable future. The introduction of Class 2 and 3 industrial facilities would be significantly restricted, if at all possible, by reason of the proximity to sensitive land uses, the area of each of the properties in question, and the need to implement mitigation measures to provide for an appropriate measure of compatibility which would negatively impact upon the economic </w:t>
      </w:r>
      <w:r w:rsidRPr="00A90E38">
        <w:rPr>
          <w:sz w:val="20"/>
          <w:szCs w:val="20"/>
          <w:lang w:val="en-US"/>
        </w:rPr>
        <w:t>viability of such uses.  (emphasis added)</w:t>
      </w:r>
    </w:p>
    <w:p w14:paraId="24E29E43" w14:textId="24DE4490" w:rsidR="00003E3C" w:rsidRDefault="00003E3C" w:rsidP="00003E3C">
      <w:pPr>
        <w:pStyle w:val="DecisionBody"/>
        <w:numPr>
          <w:ilvl w:val="0"/>
          <w:numId w:val="0"/>
        </w:numPr>
        <w:spacing w:beforeLines="0" w:before="0" w:afterLines="0" w:after="0" w:line="240" w:lineRule="auto"/>
        <w:ind w:left="1440" w:right="1080"/>
        <w:rPr>
          <w:sz w:val="20"/>
          <w:szCs w:val="20"/>
          <w:lang w:val="en-US"/>
        </w:rPr>
      </w:pPr>
    </w:p>
    <w:p w14:paraId="7DF90214" w14:textId="77777777" w:rsidR="00003E3C" w:rsidRPr="00003E3C" w:rsidRDefault="00003E3C" w:rsidP="00003E3C">
      <w:pPr>
        <w:pStyle w:val="DecisionBody"/>
        <w:numPr>
          <w:ilvl w:val="0"/>
          <w:numId w:val="0"/>
        </w:numPr>
        <w:spacing w:beforeLines="0" w:before="0" w:afterLines="0" w:after="0" w:line="240" w:lineRule="auto"/>
        <w:ind w:left="1440" w:right="1080"/>
        <w:rPr>
          <w:sz w:val="20"/>
          <w:szCs w:val="20"/>
          <w:lang w:val="en-US"/>
        </w:rPr>
      </w:pPr>
    </w:p>
    <w:p w14:paraId="4DACDBA9" w14:textId="248A18E5" w:rsidR="00447901" w:rsidRDefault="00447901" w:rsidP="000315E1">
      <w:pPr>
        <w:pStyle w:val="DecisionBody"/>
        <w:widowControl/>
        <w:spacing w:beforeLines="0" w:before="0" w:afterLines="0" w:after="0"/>
        <w:rPr>
          <w:iCs/>
          <w:lang w:val="en-US"/>
        </w:rPr>
      </w:pPr>
      <w:r w:rsidRPr="00447901">
        <w:rPr>
          <w:iCs/>
          <w:lang w:val="en-US"/>
        </w:rPr>
        <w:lastRenderedPageBreak/>
        <w:t xml:space="preserve">Essentially, he is of the opinion that the City </w:t>
      </w:r>
      <w:r w:rsidR="00914F53">
        <w:rPr>
          <w:iCs/>
          <w:lang w:val="en-US"/>
        </w:rPr>
        <w:t xml:space="preserve">of Toronto </w:t>
      </w:r>
      <w:r w:rsidRPr="00447901">
        <w:rPr>
          <w:iCs/>
          <w:lang w:val="en-US"/>
        </w:rPr>
        <w:t>cannot accomplish the uses allowed within the CE designation because of the potential “influence” of both existing uses and sensitive uses in the designations proposed, and the size of the separately-owned properties.</w:t>
      </w:r>
    </w:p>
    <w:p w14:paraId="4DD9EBB2" w14:textId="77777777" w:rsidR="00DD170A" w:rsidRPr="00447901" w:rsidRDefault="00DD170A" w:rsidP="00DD170A">
      <w:pPr>
        <w:pStyle w:val="DecisionBody"/>
        <w:numPr>
          <w:ilvl w:val="0"/>
          <w:numId w:val="0"/>
        </w:numPr>
        <w:spacing w:beforeLines="0" w:before="0" w:afterLines="0" w:after="0"/>
        <w:rPr>
          <w:iCs/>
          <w:lang w:val="en-US"/>
        </w:rPr>
      </w:pPr>
    </w:p>
    <w:p w14:paraId="20CCE9B2" w14:textId="4823D03D" w:rsidR="00447901" w:rsidRDefault="00447901" w:rsidP="00DD170A">
      <w:pPr>
        <w:pStyle w:val="DecisionBody"/>
        <w:spacing w:beforeLines="0" w:before="0" w:afterLines="0" w:after="0"/>
        <w:rPr>
          <w:iCs/>
          <w:lang w:val="en-US"/>
        </w:rPr>
      </w:pPr>
      <w:r w:rsidRPr="00447901">
        <w:rPr>
          <w:iCs/>
          <w:lang w:val="en-US"/>
        </w:rPr>
        <w:t>He would also restrict the size of certain uses at 275, 285 and 295 Milliken Boulevard in a SASP</w:t>
      </w:r>
      <w:r w:rsidR="00737F5D">
        <w:rPr>
          <w:iCs/>
          <w:lang w:val="en-US"/>
        </w:rPr>
        <w:t>,</w:t>
      </w:r>
      <w:r w:rsidRPr="00447901">
        <w:rPr>
          <w:iCs/>
          <w:lang w:val="en-US"/>
        </w:rPr>
        <w:t xml:space="preserve"> which would permit retail and service commercial uses, inclusive of restaurants. </w:t>
      </w:r>
      <w:r w:rsidR="00737F5D">
        <w:rPr>
          <w:iCs/>
          <w:lang w:val="en-US"/>
        </w:rPr>
        <w:t xml:space="preserve"> </w:t>
      </w:r>
      <w:r w:rsidRPr="00447901">
        <w:rPr>
          <w:iCs/>
          <w:lang w:val="en-US"/>
        </w:rPr>
        <w:t>However, the GFA of any one such establishment could not exceed 300 sq m, and the combined GFA of all retail and service commercial uses within the three multi-unit commercial-industrial structures could not exceed 4,500 sq m.  He opined that such a designation, along with the SASP, is consistent with the PPS</w:t>
      </w:r>
      <w:r w:rsidR="00737F5D">
        <w:rPr>
          <w:iCs/>
          <w:lang w:val="en-US"/>
        </w:rPr>
        <w:t xml:space="preserve"> </w:t>
      </w:r>
      <w:r w:rsidR="00737F5D" w:rsidRPr="00447901">
        <w:rPr>
          <w:iCs/>
          <w:lang w:val="en-US"/>
        </w:rPr>
        <w:t>2020</w:t>
      </w:r>
      <w:r w:rsidRPr="00447901">
        <w:rPr>
          <w:iCs/>
          <w:lang w:val="en-US"/>
        </w:rPr>
        <w:t>, and conforms with the intent and purpose of the GP 2020.</w:t>
      </w:r>
    </w:p>
    <w:p w14:paraId="2DECD80E" w14:textId="77777777" w:rsidR="00DD170A" w:rsidRPr="00447901" w:rsidRDefault="00DD170A" w:rsidP="00DD170A">
      <w:pPr>
        <w:pStyle w:val="DecisionBody"/>
        <w:numPr>
          <w:ilvl w:val="0"/>
          <w:numId w:val="0"/>
        </w:numPr>
        <w:spacing w:beforeLines="0" w:before="0" w:afterLines="0" w:after="0"/>
        <w:rPr>
          <w:iCs/>
          <w:lang w:val="en-US"/>
        </w:rPr>
      </w:pPr>
    </w:p>
    <w:p w14:paraId="53071DCE" w14:textId="79F96CD7" w:rsidR="00DD170A" w:rsidRPr="00DD170A" w:rsidRDefault="00447901" w:rsidP="00DD170A">
      <w:pPr>
        <w:pStyle w:val="DecisionBody"/>
        <w:spacing w:beforeLines="0" w:before="0" w:afterLines="0" w:after="0"/>
        <w:rPr>
          <w:iCs/>
          <w:lang w:val="en-US"/>
        </w:rPr>
      </w:pPr>
      <w:r w:rsidRPr="00447901">
        <w:rPr>
          <w:iCs/>
          <w:lang w:val="en-US"/>
        </w:rPr>
        <w:t xml:space="preserve">Ms. </w:t>
      </w:r>
      <w:r w:rsidR="0082627C">
        <w:rPr>
          <w:iCs/>
          <w:lang w:val="en-US"/>
        </w:rPr>
        <w:t>Heydorn</w:t>
      </w:r>
      <w:r w:rsidRPr="00447901">
        <w:rPr>
          <w:iCs/>
          <w:lang w:val="en-US"/>
        </w:rPr>
        <w:t xml:space="preserve"> disagrees with Mr. McDermott, both in respect of the change of designation and the proposed SASPs.  Once again, she points out that the applicable </w:t>
      </w:r>
      <w:r w:rsidR="00056084">
        <w:rPr>
          <w:iCs/>
          <w:lang w:val="en-US"/>
        </w:rPr>
        <w:t>GP</w:t>
      </w:r>
      <w:r w:rsidRPr="00447901">
        <w:rPr>
          <w:iCs/>
          <w:lang w:val="en-US"/>
        </w:rPr>
        <w:t xml:space="preserve"> is the 2006 and not 2020.</w:t>
      </w:r>
    </w:p>
    <w:p w14:paraId="1626368B" w14:textId="77777777" w:rsidR="00DD170A" w:rsidRPr="00447901" w:rsidRDefault="00DD170A" w:rsidP="00DD170A">
      <w:pPr>
        <w:pStyle w:val="DecisionBody"/>
        <w:numPr>
          <w:ilvl w:val="0"/>
          <w:numId w:val="0"/>
        </w:numPr>
        <w:spacing w:beforeLines="0" w:before="0" w:afterLines="0" w:after="0"/>
        <w:rPr>
          <w:iCs/>
          <w:lang w:val="en-US"/>
        </w:rPr>
      </w:pPr>
    </w:p>
    <w:p w14:paraId="369A4896" w14:textId="300B7991" w:rsidR="00447901" w:rsidRDefault="00447901" w:rsidP="00DD170A">
      <w:pPr>
        <w:pStyle w:val="DecisionBody"/>
        <w:spacing w:beforeLines="0" w:before="0" w:afterLines="0" w:after="0"/>
        <w:rPr>
          <w:iCs/>
          <w:lang w:val="en-US"/>
        </w:rPr>
      </w:pPr>
      <w:r w:rsidRPr="00447901">
        <w:rPr>
          <w:iCs/>
          <w:lang w:val="en-US"/>
        </w:rPr>
        <w:t xml:space="preserve">Addressing the SASP issue, Ms. </w:t>
      </w:r>
      <w:r w:rsidR="0082627C">
        <w:rPr>
          <w:iCs/>
          <w:lang w:val="en-US"/>
        </w:rPr>
        <w:t>Heydorn</w:t>
      </w:r>
      <w:r w:rsidRPr="00447901">
        <w:rPr>
          <w:iCs/>
          <w:lang w:val="en-US"/>
        </w:rPr>
        <w:t xml:space="preserve"> said that in her professional opinion, the requested </w:t>
      </w:r>
      <w:r w:rsidRPr="00447901">
        <w:rPr>
          <w:i/>
          <w:iCs/>
          <w:lang w:val="en-US"/>
        </w:rPr>
        <w:t xml:space="preserve">General Employment Areas </w:t>
      </w:r>
      <w:r w:rsidRPr="00447901">
        <w:rPr>
          <w:iCs/>
          <w:lang w:val="en-US"/>
        </w:rPr>
        <w:t xml:space="preserve">designation with special provisions for these lands is not consistent with the PPS 2020 and does not conform to the </w:t>
      </w:r>
      <w:r w:rsidR="00056084">
        <w:rPr>
          <w:iCs/>
          <w:lang w:val="en-US"/>
        </w:rPr>
        <w:t>GP</w:t>
      </w:r>
      <w:r w:rsidRPr="00447901">
        <w:rPr>
          <w:iCs/>
          <w:lang w:val="en-US"/>
        </w:rPr>
        <w:t xml:space="preserve"> 2006. Any proposed GE designation here does not embody good planning and is not in the public interest.</w:t>
      </w:r>
    </w:p>
    <w:p w14:paraId="0D98534D" w14:textId="77777777" w:rsidR="00DD170A" w:rsidRPr="00447901" w:rsidRDefault="00DD170A" w:rsidP="00DD170A">
      <w:pPr>
        <w:pStyle w:val="DecisionBody"/>
        <w:numPr>
          <w:ilvl w:val="0"/>
          <w:numId w:val="0"/>
        </w:numPr>
        <w:spacing w:beforeLines="0" w:before="0" w:afterLines="0" w:after="0"/>
        <w:rPr>
          <w:iCs/>
          <w:lang w:val="en-US"/>
        </w:rPr>
      </w:pPr>
    </w:p>
    <w:p w14:paraId="31617531" w14:textId="198CF074" w:rsidR="00447901" w:rsidRDefault="00447901" w:rsidP="00DD170A">
      <w:pPr>
        <w:pStyle w:val="DecisionBody"/>
        <w:spacing w:beforeLines="0" w:before="0" w:afterLines="0" w:after="0"/>
        <w:rPr>
          <w:iCs/>
          <w:lang w:val="en-US"/>
        </w:rPr>
      </w:pPr>
      <w:r w:rsidRPr="00447901">
        <w:rPr>
          <w:iCs/>
          <w:lang w:val="en-US"/>
        </w:rPr>
        <w:t>She pointed out that on the issue of the SASP cap, Mr. McDermott overlooked the wording change to the preamble. It now reads:</w:t>
      </w:r>
    </w:p>
    <w:p w14:paraId="4EF156D9" w14:textId="77777777" w:rsidR="00DD170A" w:rsidRPr="00447901" w:rsidRDefault="00DD170A" w:rsidP="00DD170A">
      <w:pPr>
        <w:pStyle w:val="DecisionBody"/>
        <w:numPr>
          <w:ilvl w:val="0"/>
          <w:numId w:val="0"/>
        </w:numPr>
        <w:spacing w:beforeLines="0" w:before="0" w:afterLines="0" w:after="0"/>
        <w:rPr>
          <w:iCs/>
          <w:lang w:val="en-US"/>
        </w:rPr>
      </w:pPr>
    </w:p>
    <w:p w14:paraId="0A67FEA8" w14:textId="7AC9A439" w:rsidR="00914F53" w:rsidRPr="000315E1" w:rsidRDefault="00447901" w:rsidP="000315E1">
      <w:pPr>
        <w:pStyle w:val="DecisionBody"/>
        <w:numPr>
          <w:ilvl w:val="0"/>
          <w:numId w:val="0"/>
        </w:numPr>
        <w:spacing w:beforeLines="0" w:before="0" w:afterLines="0" w:after="0" w:line="240" w:lineRule="auto"/>
        <w:ind w:left="1440" w:right="1080"/>
        <w:rPr>
          <w:iCs/>
          <w:sz w:val="20"/>
          <w:szCs w:val="20"/>
          <w:lang w:val="en-US"/>
        </w:rPr>
      </w:pPr>
      <w:r w:rsidRPr="000315E1">
        <w:rPr>
          <w:iCs/>
          <w:sz w:val="20"/>
          <w:szCs w:val="20"/>
          <w:lang w:val="en-US"/>
        </w:rPr>
        <w:t xml:space="preserve">“All types of retail are provided for in General Employment Areas. However, because major retail developments have the potential for greater impacts, they may be permitted only through </w:t>
      </w:r>
      <w:r w:rsidRPr="000315E1">
        <w:rPr>
          <w:b/>
          <w:iCs/>
          <w:sz w:val="20"/>
          <w:szCs w:val="20"/>
          <w:lang w:val="en-US"/>
        </w:rPr>
        <w:t xml:space="preserve">an amendment to this Plan and the enactment of a site specific zoning bylaw by way of a City initiated Municipal Comprehensive Review”.  </w:t>
      </w:r>
      <w:r w:rsidRPr="000315E1">
        <w:rPr>
          <w:iCs/>
          <w:sz w:val="20"/>
          <w:szCs w:val="20"/>
          <w:lang w:val="en-US"/>
        </w:rPr>
        <w:t xml:space="preserve">(emphasis added) </w:t>
      </w:r>
    </w:p>
    <w:p w14:paraId="6D92358E" w14:textId="6D314DA2" w:rsidR="00DD170A" w:rsidRDefault="00DD170A" w:rsidP="00DD170A">
      <w:pPr>
        <w:pStyle w:val="ListParagraph"/>
        <w:rPr>
          <w:iCs/>
        </w:rPr>
      </w:pPr>
    </w:p>
    <w:p w14:paraId="177C3305" w14:textId="77777777" w:rsidR="00456E54" w:rsidRDefault="00456E54" w:rsidP="00DD170A">
      <w:pPr>
        <w:pStyle w:val="ListParagraph"/>
        <w:rPr>
          <w:iCs/>
        </w:rPr>
      </w:pPr>
    </w:p>
    <w:p w14:paraId="2B0CBBF9" w14:textId="24AE1373" w:rsidR="00447901" w:rsidRDefault="00447901" w:rsidP="00DD170A">
      <w:pPr>
        <w:pStyle w:val="DecisionBody"/>
        <w:spacing w:beforeLines="0" w:before="0" w:afterLines="0" w:after="0"/>
        <w:rPr>
          <w:iCs/>
          <w:lang w:val="en-US"/>
        </w:rPr>
      </w:pPr>
      <w:r w:rsidRPr="00447901">
        <w:rPr>
          <w:iCs/>
          <w:lang w:val="en-US"/>
        </w:rPr>
        <w:t>Mr. Biggart in argument on the proposed 6</w:t>
      </w:r>
      <w:r w:rsidR="00737F5D">
        <w:rPr>
          <w:iCs/>
          <w:lang w:val="en-US"/>
        </w:rPr>
        <w:t>,</w:t>
      </w:r>
      <w:r w:rsidRPr="00447901">
        <w:rPr>
          <w:iCs/>
          <w:lang w:val="en-US"/>
        </w:rPr>
        <w:t xml:space="preserve">000 sq m cap indicates that the City does not want to be bound by policies that are not justified. No evidence was provided as </w:t>
      </w:r>
      <w:r w:rsidRPr="00447901">
        <w:rPr>
          <w:iCs/>
          <w:lang w:val="en-US"/>
        </w:rPr>
        <w:lastRenderedPageBreak/>
        <w:t>to why the figure of 6</w:t>
      </w:r>
      <w:r w:rsidR="00737F5D">
        <w:rPr>
          <w:iCs/>
          <w:lang w:val="en-US"/>
        </w:rPr>
        <w:t>,</w:t>
      </w:r>
      <w:r w:rsidRPr="00447901">
        <w:rPr>
          <w:iCs/>
          <w:lang w:val="en-US"/>
        </w:rPr>
        <w:t>000 was chosen.  He stated that “the City wants to provide for a wide variety of uses for a wide variety of sites”, and referred to difficulties Reisman in past had experienced at the counter “ in respect of the desires of its tenants when dealing with zoning permissions.  The problem at the counter with a zoning by-law matter is not a justification to redesignate lands with an SASP in the Official Plan”.</w:t>
      </w:r>
    </w:p>
    <w:p w14:paraId="07174C2A" w14:textId="77777777" w:rsidR="00DD170A" w:rsidRPr="00447901" w:rsidRDefault="00DD170A" w:rsidP="00DD170A">
      <w:pPr>
        <w:pStyle w:val="DecisionBody"/>
        <w:numPr>
          <w:ilvl w:val="0"/>
          <w:numId w:val="0"/>
        </w:numPr>
        <w:spacing w:beforeLines="0" w:before="0" w:afterLines="0" w:after="0"/>
        <w:rPr>
          <w:iCs/>
          <w:lang w:val="en-US"/>
        </w:rPr>
      </w:pPr>
    </w:p>
    <w:p w14:paraId="25F771A8" w14:textId="452CD641" w:rsidR="00447901" w:rsidRDefault="00447901" w:rsidP="00DD170A">
      <w:pPr>
        <w:pStyle w:val="DecisionBody"/>
        <w:spacing w:beforeLines="0" w:before="0" w:afterLines="0" w:after="0"/>
        <w:rPr>
          <w:iCs/>
          <w:lang w:val="en-US"/>
        </w:rPr>
      </w:pPr>
      <w:r w:rsidRPr="00447901">
        <w:rPr>
          <w:iCs/>
          <w:lang w:val="en-US"/>
        </w:rPr>
        <w:t xml:space="preserve">Ms. </w:t>
      </w:r>
      <w:r w:rsidR="0082627C">
        <w:rPr>
          <w:iCs/>
          <w:lang w:val="en-US"/>
        </w:rPr>
        <w:t>Heydorn</w:t>
      </w:r>
      <w:r w:rsidRPr="00447901">
        <w:rPr>
          <w:iCs/>
          <w:lang w:val="en-US"/>
        </w:rPr>
        <w:t>’s evidence included (Exhibit 3, para 8):</w:t>
      </w:r>
    </w:p>
    <w:p w14:paraId="12299104" w14:textId="77777777" w:rsidR="00DD170A" w:rsidRPr="00447901" w:rsidRDefault="00DD170A" w:rsidP="00DD170A">
      <w:pPr>
        <w:pStyle w:val="DecisionBody"/>
        <w:numPr>
          <w:ilvl w:val="0"/>
          <w:numId w:val="0"/>
        </w:numPr>
        <w:spacing w:beforeLines="0" w:before="0" w:afterLines="0" w:after="0"/>
        <w:rPr>
          <w:iCs/>
          <w:lang w:val="en-US"/>
        </w:rPr>
      </w:pPr>
    </w:p>
    <w:p w14:paraId="2BB7955F" w14:textId="1EEEBAB9" w:rsidR="00DD170A" w:rsidRDefault="00447901" w:rsidP="00377DB9">
      <w:pPr>
        <w:pStyle w:val="DecisionBody"/>
        <w:numPr>
          <w:ilvl w:val="0"/>
          <w:numId w:val="0"/>
        </w:numPr>
        <w:spacing w:beforeLines="0" w:before="0" w:afterLines="0" w:after="0" w:line="240" w:lineRule="auto"/>
        <w:ind w:left="1440" w:right="1080"/>
        <w:rPr>
          <w:i/>
          <w:iCs/>
          <w:sz w:val="20"/>
          <w:szCs w:val="20"/>
          <w:lang w:val="en-US"/>
        </w:rPr>
      </w:pPr>
      <w:r w:rsidRPr="000315E1">
        <w:rPr>
          <w:i/>
          <w:iCs/>
          <w:sz w:val="20"/>
          <w:szCs w:val="20"/>
          <w:lang w:val="en-US"/>
        </w:rPr>
        <w:t xml:space="preserve">I do not agree with the opinions expressed in Paragraphs 6.8 and 8.3 of Mr. McDermott's Witness Statement in which he opines that the lands are not well suited for the Core Employment Areas designation, referencing sensitive uses on neighbouring properties, the area and configuration of the lands, </w:t>
      </w:r>
      <w:r w:rsidRPr="000315E1">
        <w:rPr>
          <w:b/>
          <w:i/>
          <w:iCs/>
          <w:sz w:val="20"/>
          <w:szCs w:val="20"/>
          <w:lang w:val="en-US"/>
        </w:rPr>
        <w:t>and the existing built form and economic function of the premises.</w:t>
      </w:r>
      <w:r w:rsidRPr="000315E1">
        <w:rPr>
          <w:i/>
          <w:iCs/>
          <w:sz w:val="20"/>
          <w:szCs w:val="20"/>
          <w:lang w:val="en-US"/>
        </w:rPr>
        <w:t xml:space="preserve"> ….</w:t>
      </w:r>
    </w:p>
    <w:p w14:paraId="001B77BD" w14:textId="77777777" w:rsidR="00377DB9" w:rsidRPr="00377DB9" w:rsidRDefault="00377DB9" w:rsidP="00377DB9">
      <w:pPr>
        <w:pStyle w:val="DecisionBody"/>
        <w:numPr>
          <w:ilvl w:val="0"/>
          <w:numId w:val="0"/>
        </w:numPr>
        <w:spacing w:beforeLines="0" w:before="0" w:afterLines="0" w:after="0" w:line="240" w:lineRule="auto"/>
        <w:ind w:left="1440" w:right="1080"/>
        <w:rPr>
          <w:i/>
          <w:iCs/>
          <w:sz w:val="20"/>
          <w:szCs w:val="20"/>
          <w:lang w:val="en-US"/>
        </w:rPr>
      </w:pPr>
    </w:p>
    <w:p w14:paraId="7E7A3EF6" w14:textId="477E0DAB" w:rsidR="00DD170A" w:rsidRPr="00377DB9" w:rsidRDefault="00447901" w:rsidP="00377DB9">
      <w:pPr>
        <w:pStyle w:val="DecisionBody"/>
        <w:numPr>
          <w:ilvl w:val="0"/>
          <w:numId w:val="0"/>
        </w:numPr>
        <w:spacing w:beforeLines="0" w:before="0" w:afterLines="0" w:after="0" w:line="240" w:lineRule="auto"/>
        <w:ind w:left="1440" w:right="1080"/>
        <w:rPr>
          <w:sz w:val="20"/>
          <w:szCs w:val="20"/>
          <w:lang w:val="en-US"/>
        </w:rPr>
      </w:pPr>
      <w:r w:rsidRPr="00377DB9">
        <w:rPr>
          <w:sz w:val="20"/>
          <w:szCs w:val="20"/>
          <w:lang w:val="en-US"/>
        </w:rPr>
        <w:t>In my opinion, the location of the lands relative to sensitive institutional and educational uses on neighbouring properties is relevant. However, in my opinion, the presence of these uses does not prevent the lands subject to this appeal to be used for their intended purpose as Core Employment Areas.</w:t>
      </w:r>
    </w:p>
    <w:p w14:paraId="3BA6DBA9" w14:textId="77777777" w:rsidR="00377DB9" w:rsidRDefault="00377DB9" w:rsidP="00377DB9">
      <w:pPr>
        <w:pStyle w:val="DecisionBody"/>
        <w:numPr>
          <w:ilvl w:val="0"/>
          <w:numId w:val="0"/>
        </w:numPr>
        <w:spacing w:beforeLines="0" w:before="0" w:afterLines="0" w:after="0" w:line="240" w:lineRule="auto"/>
        <w:ind w:left="1440" w:right="1080"/>
        <w:rPr>
          <w:sz w:val="20"/>
          <w:szCs w:val="20"/>
          <w:lang w:val="en-US"/>
        </w:rPr>
      </w:pPr>
    </w:p>
    <w:p w14:paraId="671A95B6" w14:textId="0659BCA6" w:rsidR="00447901" w:rsidRPr="00377DB9" w:rsidRDefault="00447901" w:rsidP="00377DB9">
      <w:pPr>
        <w:pStyle w:val="DecisionBody"/>
        <w:numPr>
          <w:ilvl w:val="0"/>
          <w:numId w:val="0"/>
        </w:numPr>
        <w:spacing w:beforeLines="0" w:before="0" w:afterLines="0" w:after="0" w:line="240" w:lineRule="auto"/>
        <w:ind w:left="1440" w:right="1080"/>
        <w:rPr>
          <w:sz w:val="20"/>
          <w:szCs w:val="20"/>
          <w:lang w:val="en-US"/>
        </w:rPr>
      </w:pPr>
      <w:r w:rsidRPr="00377DB9">
        <w:rPr>
          <w:sz w:val="20"/>
          <w:szCs w:val="20"/>
          <w:lang w:val="en-US"/>
        </w:rPr>
        <w:t>Mr. McDermott opines on the suitability of the lands for Class 2 and Class 3 Industrial Facilities but does not provide an opinion of the suitability of the lands for Class 1 Industrial Facilities or other permitted uses on lands designated Core Employment Areas, such as office. With respect to Figure 2 in his Witness Statement, I do not agree with some of the land use categories he has attributed to land in the vicinity of the lands.</w:t>
      </w:r>
    </w:p>
    <w:p w14:paraId="32644EA6" w14:textId="77777777" w:rsidR="00DD170A" w:rsidRPr="00377DB9" w:rsidRDefault="00DD170A" w:rsidP="00377DB9">
      <w:pPr>
        <w:pStyle w:val="DecisionBody"/>
        <w:numPr>
          <w:ilvl w:val="0"/>
          <w:numId w:val="0"/>
        </w:numPr>
        <w:spacing w:beforeLines="0" w:before="0" w:afterLines="0" w:after="0" w:line="240" w:lineRule="auto"/>
        <w:ind w:left="1440" w:right="1080"/>
        <w:rPr>
          <w:sz w:val="20"/>
          <w:szCs w:val="20"/>
          <w:lang w:val="en-US"/>
        </w:rPr>
      </w:pPr>
    </w:p>
    <w:p w14:paraId="01EE4AB3" w14:textId="5C779592" w:rsidR="00447901" w:rsidRPr="00377DB9" w:rsidRDefault="00447901" w:rsidP="00377DB9">
      <w:pPr>
        <w:pStyle w:val="DecisionBody"/>
        <w:numPr>
          <w:ilvl w:val="0"/>
          <w:numId w:val="0"/>
        </w:numPr>
        <w:spacing w:beforeLines="0" w:before="0" w:afterLines="0" w:after="0" w:line="240" w:lineRule="auto"/>
        <w:ind w:left="1440" w:right="1080"/>
        <w:rPr>
          <w:sz w:val="20"/>
          <w:szCs w:val="20"/>
          <w:lang w:val="en-US"/>
        </w:rPr>
      </w:pPr>
      <w:r w:rsidRPr="00377DB9">
        <w:rPr>
          <w:sz w:val="20"/>
          <w:szCs w:val="20"/>
          <w:lang w:val="en-US"/>
        </w:rPr>
        <w:t>I disagree that the area and configuration of the lands may prevent the lands subject to this appeal to be used for their intended purpose as Core Employment Areas. In Paragraph 3.2 of his Witness Statement, 29, 31 and 31A Passmore Avenue is identified as being 2.3 hectares (5.67 acres) in size with frontage on Milliken Boulevard. In Paragraph 3.6, 41 Passmore Avenue is described as being 0.82 hectares (2 acres) in size with frontage on Passmore Avenue. Both properties are regularly shaped. Also, both properties are within the same ownership, suggesting potential opportunities for land assembly and the benefits that come with it, including appeal to large-site seekers and greater opportunity for at-source mitigation buffers.</w:t>
      </w:r>
    </w:p>
    <w:p w14:paraId="7D7DE888" w14:textId="77777777" w:rsidR="00DD170A" w:rsidRPr="00377DB9" w:rsidRDefault="00DD170A" w:rsidP="00377DB9">
      <w:pPr>
        <w:pStyle w:val="DecisionBody"/>
        <w:numPr>
          <w:ilvl w:val="0"/>
          <w:numId w:val="0"/>
        </w:numPr>
        <w:spacing w:beforeLines="0" w:before="0" w:afterLines="0" w:after="0" w:line="240" w:lineRule="auto"/>
        <w:ind w:left="1440" w:right="1080"/>
        <w:rPr>
          <w:sz w:val="20"/>
          <w:szCs w:val="20"/>
          <w:lang w:val="en-US"/>
        </w:rPr>
      </w:pPr>
    </w:p>
    <w:p w14:paraId="2DB477DD" w14:textId="624EB692" w:rsidR="00447901" w:rsidRPr="00377DB9" w:rsidRDefault="00447901" w:rsidP="00377DB9">
      <w:pPr>
        <w:pStyle w:val="DecisionBody"/>
        <w:widowControl/>
        <w:numPr>
          <w:ilvl w:val="0"/>
          <w:numId w:val="0"/>
        </w:numPr>
        <w:spacing w:beforeLines="0" w:before="0" w:afterLines="0" w:after="0" w:line="240" w:lineRule="auto"/>
        <w:ind w:left="1440" w:right="1080"/>
        <w:rPr>
          <w:sz w:val="20"/>
          <w:szCs w:val="20"/>
          <w:lang w:val="en-US"/>
        </w:rPr>
      </w:pPr>
      <w:r w:rsidRPr="00377DB9">
        <w:rPr>
          <w:sz w:val="20"/>
          <w:szCs w:val="20"/>
          <w:lang w:val="en-US"/>
        </w:rPr>
        <w:t>Mr. McDermott does not substantiate his opinion that the existing built form and economic function of the premises prevent the lands subject to this appeal to be used for their intended purpose as Core Employment Areas. I note that in his assessment of the Milliken Employment Area, Mr. Michael in his Witness Statement states:</w:t>
      </w:r>
    </w:p>
    <w:p w14:paraId="00BEE0F9" w14:textId="77777777" w:rsidR="00DD170A" w:rsidRPr="00377DB9" w:rsidRDefault="00DD170A" w:rsidP="00377DB9">
      <w:pPr>
        <w:pStyle w:val="DecisionBody"/>
        <w:numPr>
          <w:ilvl w:val="0"/>
          <w:numId w:val="0"/>
        </w:numPr>
        <w:spacing w:beforeLines="0" w:before="0" w:afterLines="0" w:after="0" w:line="240" w:lineRule="auto"/>
        <w:ind w:left="1440" w:right="1080"/>
        <w:rPr>
          <w:sz w:val="20"/>
          <w:szCs w:val="20"/>
          <w:lang w:val="en-US"/>
        </w:rPr>
      </w:pPr>
    </w:p>
    <w:p w14:paraId="7F673406" w14:textId="6E0A3BC0" w:rsidR="00447901" w:rsidRPr="00377DB9" w:rsidRDefault="00447901" w:rsidP="00A90E38">
      <w:pPr>
        <w:pStyle w:val="DecisionBody"/>
        <w:widowControl/>
        <w:numPr>
          <w:ilvl w:val="0"/>
          <w:numId w:val="87"/>
        </w:numPr>
        <w:spacing w:beforeLines="0" w:before="0" w:afterLines="0" w:after="0" w:line="240" w:lineRule="auto"/>
        <w:ind w:left="1800" w:right="1080"/>
        <w:rPr>
          <w:sz w:val="20"/>
          <w:szCs w:val="20"/>
          <w:lang w:val="en-US"/>
        </w:rPr>
      </w:pPr>
      <w:r w:rsidRPr="00377DB9">
        <w:rPr>
          <w:sz w:val="20"/>
          <w:szCs w:val="20"/>
          <w:lang w:val="en-US"/>
        </w:rPr>
        <w:t>Generally the office uses can be described as health and stable. The office vacancy rate was 1.4% in March 2021, below the city-wide vacancy rate of 6.5% (Section 4.3.1, page 31)</w:t>
      </w:r>
      <w:r w:rsidR="007D4D46">
        <w:rPr>
          <w:sz w:val="20"/>
          <w:szCs w:val="20"/>
          <w:lang w:val="en-US"/>
        </w:rPr>
        <w:t>.</w:t>
      </w:r>
    </w:p>
    <w:p w14:paraId="24FC215C" w14:textId="77777777" w:rsidR="00DD170A" w:rsidRPr="00377DB9" w:rsidRDefault="00DD170A" w:rsidP="00377DB9">
      <w:pPr>
        <w:pStyle w:val="DecisionBody"/>
        <w:numPr>
          <w:ilvl w:val="0"/>
          <w:numId w:val="0"/>
        </w:numPr>
        <w:spacing w:beforeLines="0" w:before="0" w:afterLines="0" w:after="0" w:line="240" w:lineRule="auto"/>
        <w:ind w:left="1800" w:right="1080" w:hanging="360"/>
        <w:rPr>
          <w:sz w:val="20"/>
          <w:szCs w:val="20"/>
          <w:lang w:val="en-US"/>
        </w:rPr>
      </w:pPr>
    </w:p>
    <w:p w14:paraId="3543B9C0" w14:textId="72B1E65E" w:rsidR="00447901" w:rsidRPr="00377DB9" w:rsidRDefault="00447901" w:rsidP="00456E54">
      <w:pPr>
        <w:pStyle w:val="DecisionBody"/>
        <w:widowControl/>
        <w:numPr>
          <w:ilvl w:val="0"/>
          <w:numId w:val="87"/>
        </w:numPr>
        <w:spacing w:beforeLines="0" w:before="0" w:afterLines="0" w:after="0" w:line="240" w:lineRule="auto"/>
        <w:ind w:left="1800" w:right="1080"/>
        <w:rPr>
          <w:sz w:val="20"/>
          <w:szCs w:val="20"/>
          <w:lang w:val="en-US"/>
        </w:rPr>
      </w:pPr>
      <w:r w:rsidRPr="00377DB9">
        <w:rPr>
          <w:sz w:val="20"/>
          <w:szCs w:val="20"/>
          <w:lang w:val="en-US"/>
        </w:rPr>
        <w:t xml:space="preserve">Industrial space is in high demand, with none of the 1.9 million square feet of space being available for lease as of June 2021. Very little industrial </w:t>
      </w:r>
      <w:r w:rsidRPr="00377DB9">
        <w:rPr>
          <w:sz w:val="20"/>
          <w:szCs w:val="20"/>
          <w:lang w:val="en-US"/>
        </w:rPr>
        <w:lastRenderedPageBreak/>
        <w:t>space has come to the market in this area over the past three years (Section 4.3.2, page 32).</w:t>
      </w:r>
    </w:p>
    <w:p w14:paraId="2CEF0600" w14:textId="77777777" w:rsidR="00DD170A" w:rsidRPr="00377DB9" w:rsidRDefault="00DD170A" w:rsidP="00377DB9">
      <w:pPr>
        <w:pStyle w:val="DecisionBody"/>
        <w:numPr>
          <w:ilvl w:val="0"/>
          <w:numId w:val="0"/>
        </w:numPr>
        <w:spacing w:beforeLines="0" w:before="0" w:afterLines="0" w:after="0" w:line="240" w:lineRule="auto"/>
        <w:ind w:left="1800" w:right="1080" w:hanging="360"/>
        <w:rPr>
          <w:sz w:val="20"/>
          <w:szCs w:val="20"/>
          <w:lang w:val="en-US"/>
        </w:rPr>
      </w:pPr>
    </w:p>
    <w:p w14:paraId="7C89D9F6" w14:textId="2DDF864E" w:rsidR="00447901" w:rsidRPr="00377DB9" w:rsidRDefault="00447901" w:rsidP="00377DB9">
      <w:pPr>
        <w:pStyle w:val="DecisionBody"/>
        <w:numPr>
          <w:ilvl w:val="0"/>
          <w:numId w:val="87"/>
        </w:numPr>
        <w:spacing w:beforeLines="0" w:before="0" w:afterLines="0" w:after="0" w:line="240" w:lineRule="auto"/>
        <w:ind w:left="1800" w:right="1080"/>
        <w:rPr>
          <w:sz w:val="20"/>
          <w:szCs w:val="20"/>
          <w:lang w:val="en-US"/>
        </w:rPr>
      </w:pPr>
      <w:r w:rsidRPr="00377DB9">
        <w:rPr>
          <w:sz w:val="20"/>
          <w:szCs w:val="20"/>
          <w:lang w:val="en-US"/>
        </w:rPr>
        <w:t>The retail uses in the Milliken Employment Area appear stable and healthy with a vacancy rate of only 0.1% as of June 2021 (Section 4.3.3, page 32).</w:t>
      </w:r>
    </w:p>
    <w:p w14:paraId="22EC3DB8" w14:textId="77777777" w:rsidR="00DD170A" w:rsidRPr="00447901" w:rsidRDefault="00DD170A" w:rsidP="00DD170A">
      <w:pPr>
        <w:pStyle w:val="DecisionBody"/>
        <w:numPr>
          <w:ilvl w:val="0"/>
          <w:numId w:val="0"/>
        </w:numPr>
        <w:spacing w:beforeLines="0" w:before="0" w:afterLines="0" w:after="0"/>
        <w:rPr>
          <w:lang w:val="en-US"/>
        </w:rPr>
      </w:pPr>
    </w:p>
    <w:p w14:paraId="134FACE9" w14:textId="20728815" w:rsidR="00914F53" w:rsidRDefault="00447901" w:rsidP="00DD170A">
      <w:pPr>
        <w:pStyle w:val="DecisionBody"/>
        <w:spacing w:beforeLines="0" w:before="0" w:afterLines="0" w:after="0"/>
        <w:rPr>
          <w:i/>
          <w:iCs/>
          <w:lang w:val="en-US"/>
        </w:rPr>
      </w:pPr>
      <w:r w:rsidRPr="00447901">
        <w:rPr>
          <w:iCs/>
          <w:lang w:val="en-US"/>
        </w:rPr>
        <w:t>She also stated:</w:t>
      </w:r>
    </w:p>
    <w:p w14:paraId="72A91E9D" w14:textId="77777777" w:rsidR="00914F53" w:rsidRDefault="00914F53" w:rsidP="00200BBC">
      <w:pPr>
        <w:pStyle w:val="ListParagraph"/>
        <w:rPr>
          <w:i/>
          <w:iCs/>
        </w:rPr>
      </w:pPr>
    </w:p>
    <w:p w14:paraId="542B99FE" w14:textId="03CABA09" w:rsidR="00447901" w:rsidRPr="000315E1" w:rsidRDefault="00447901" w:rsidP="000315E1">
      <w:pPr>
        <w:pStyle w:val="DecisionBody"/>
        <w:numPr>
          <w:ilvl w:val="0"/>
          <w:numId w:val="0"/>
        </w:numPr>
        <w:spacing w:beforeLines="0" w:before="0" w:afterLines="0" w:after="0" w:line="240" w:lineRule="auto"/>
        <w:ind w:left="1440" w:right="1080"/>
        <w:rPr>
          <w:sz w:val="20"/>
          <w:szCs w:val="20"/>
          <w:lang w:val="en-US"/>
        </w:rPr>
      </w:pPr>
      <w:r w:rsidRPr="000315E1">
        <w:rPr>
          <w:sz w:val="20"/>
          <w:szCs w:val="20"/>
          <w:lang w:val="en-US"/>
        </w:rPr>
        <w:t>In my opinion, it is not appropriate to opine on the relationship of the appealed lands  in the context of future potential boundaries of the Milliken GO Station MTSA; speculate as to the area’s ability to achieve the established minimum density target; and, the potential influence of the proposals in achieving that target.”</w:t>
      </w:r>
    </w:p>
    <w:p w14:paraId="588A8776" w14:textId="77777777" w:rsidR="00DD170A" w:rsidRPr="00447901" w:rsidRDefault="00DD170A" w:rsidP="00DD170A">
      <w:pPr>
        <w:pStyle w:val="DecisionBody"/>
        <w:numPr>
          <w:ilvl w:val="0"/>
          <w:numId w:val="0"/>
        </w:numPr>
        <w:spacing w:beforeLines="0" w:before="0" w:afterLines="0" w:after="0"/>
        <w:rPr>
          <w:i/>
          <w:iCs/>
          <w:lang w:val="en-US"/>
        </w:rPr>
      </w:pPr>
    </w:p>
    <w:p w14:paraId="7763C95C" w14:textId="4BDFAAC2" w:rsidR="00DD170A" w:rsidRDefault="00447901" w:rsidP="00DD170A">
      <w:pPr>
        <w:pStyle w:val="DecisionBody"/>
        <w:spacing w:beforeLines="0" w:before="0" w:afterLines="0" w:after="0"/>
        <w:rPr>
          <w:iCs/>
          <w:lang w:val="en-US"/>
        </w:rPr>
      </w:pPr>
      <w:r w:rsidRPr="00447901">
        <w:rPr>
          <w:iCs/>
          <w:lang w:val="en-US"/>
        </w:rPr>
        <w:t>In argument Mr. Biggart pointed out again that Mr. McDermott’s evidence was focused incorrectly.</w:t>
      </w:r>
    </w:p>
    <w:p w14:paraId="5EA6A1CD" w14:textId="77777777" w:rsidR="00DD170A" w:rsidRPr="00447901" w:rsidRDefault="00DD170A" w:rsidP="00DD170A">
      <w:pPr>
        <w:pStyle w:val="DecisionBody"/>
        <w:numPr>
          <w:ilvl w:val="0"/>
          <w:numId w:val="0"/>
        </w:numPr>
        <w:spacing w:beforeLines="0" w:before="0" w:afterLines="0" w:after="0"/>
        <w:rPr>
          <w:iCs/>
          <w:lang w:val="en-US"/>
        </w:rPr>
      </w:pPr>
    </w:p>
    <w:p w14:paraId="7BA408DD" w14:textId="5422F3FB" w:rsidR="00447901" w:rsidRPr="000315E1" w:rsidRDefault="00447901" w:rsidP="000315E1">
      <w:pPr>
        <w:pStyle w:val="DecisionBody"/>
        <w:widowControl/>
        <w:numPr>
          <w:ilvl w:val="0"/>
          <w:numId w:val="0"/>
        </w:numPr>
        <w:spacing w:beforeLines="0" w:before="0" w:afterLines="0" w:after="0" w:line="240" w:lineRule="auto"/>
        <w:ind w:left="1440" w:right="1080"/>
        <w:rPr>
          <w:iCs/>
          <w:sz w:val="20"/>
          <w:szCs w:val="20"/>
          <w:lang w:val="en-US"/>
        </w:rPr>
      </w:pPr>
      <w:r w:rsidRPr="000315E1">
        <w:rPr>
          <w:iCs/>
          <w:sz w:val="20"/>
          <w:szCs w:val="20"/>
          <w:lang w:val="en-US"/>
        </w:rPr>
        <w:t>In Paragraph 5.2.4 of his Witness Statement, Mr. McDermott references Growth Plan 2020 Policy 2.2.4.6 that states that land uses and built form that would adversely affect the achievement of the minimum density targets in the Plan will be prohibited. This is a new Growth Plan 2020 requirement that is being considered as new Official Plan policy as part of the MCR. The boundaries of the Milliken GO Station MTSA have not yet been delineated and the minimum density targets have not been established.</w:t>
      </w:r>
    </w:p>
    <w:p w14:paraId="3BDA26D5" w14:textId="77777777" w:rsidR="00DD170A" w:rsidRPr="00447901" w:rsidRDefault="00DD170A" w:rsidP="00DD170A">
      <w:pPr>
        <w:pStyle w:val="DecisionBody"/>
        <w:widowControl/>
        <w:numPr>
          <w:ilvl w:val="0"/>
          <w:numId w:val="0"/>
        </w:numPr>
        <w:spacing w:beforeLines="0" w:before="0" w:afterLines="0" w:after="0"/>
        <w:rPr>
          <w:iCs/>
          <w:lang w:val="en-US"/>
        </w:rPr>
      </w:pPr>
    </w:p>
    <w:p w14:paraId="77E4684A" w14:textId="22E4E95D" w:rsidR="00447901" w:rsidRDefault="00447901" w:rsidP="00DD170A">
      <w:pPr>
        <w:pStyle w:val="DecisionBody"/>
        <w:spacing w:beforeLines="0" w:before="0" w:afterLines="0" w:after="0"/>
        <w:rPr>
          <w:iCs/>
          <w:lang w:val="en-US"/>
        </w:rPr>
      </w:pPr>
      <w:r w:rsidRPr="00447901">
        <w:rPr>
          <w:iCs/>
          <w:lang w:val="en-US"/>
        </w:rPr>
        <w:t xml:space="preserve">It bears repeating that it is the </w:t>
      </w:r>
      <w:r w:rsidR="00056084">
        <w:rPr>
          <w:iCs/>
          <w:lang w:val="en-US"/>
        </w:rPr>
        <w:t>GP</w:t>
      </w:r>
      <w:r w:rsidRPr="00447901">
        <w:rPr>
          <w:iCs/>
          <w:lang w:val="en-US"/>
        </w:rPr>
        <w:t xml:space="preserve"> </w:t>
      </w:r>
      <w:r w:rsidR="007D4D46" w:rsidRPr="00447901">
        <w:rPr>
          <w:iCs/>
          <w:lang w:val="en-US"/>
        </w:rPr>
        <w:t xml:space="preserve">2006 </w:t>
      </w:r>
      <w:r w:rsidRPr="00447901">
        <w:rPr>
          <w:iCs/>
          <w:lang w:val="en-US"/>
        </w:rPr>
        <w:t>that applies in these Appeals.</w:t>
      </w:r>
    </w:p>
    <w:p w14:paraId="4F58AB85" w14:textId="77777777" w:rsidR="00DD170A" w:rsidRPr="00447901" w:rsidRDefault="00DD170A" w:rsidP="00DD170A">
      <w:pPr>
        <w:pStyle w:val="DecisionBody"/>
        <w:numPr>
          <w:ilvl w:val="0"/>
          <w:numId w:val="0"/>
        </w:numPr>
        <w:spacing w:beforeLines="0" w:before="0" w:afterLines="0" w:after="0"/>
        <w:rPr>
          <w:iCs/>
          <w:lang w:val="en-US"/>
        </w:rPr>
      </w:pPr>
    </w:p>
    <w:p w14:paraId="0C359C98" w14:textId="5C0C3433" w:rsidR="00DD170A" w:rsidRDefault="00447901" w:rsidP="007D4D46">
      <w:pPr>
        <w:pStyle w:val="DecisionBody"/>
        <w:spacing w:beforeLines="0" w:before="0" w:afterLines="0" w:after="0"/>
        <w:rPr>
          <w:iCs/>
          <w:lang w:val="en-US"/>
        </w:rPr>
      </w:pPr>
      <w:r w:rsidRPr="00447901">
        <w:rPr>
          <w:iCs/>
          <w:lang w:val="en-US"/>
        </w:rPr>
        <w:t xml:space="preserve">Ms. </w:t>
      </w:r>
      <w:r w:rsidR="0082627C">
        <w:rPr>
          <w:iCs/>
          <w:lang w:val="en-US"/>
        </w:rPr>
        <w:t>Heydorn</w:t>
      </w:r>
      <w:r w:rsidRPr="00447901">
        <w:rPr>
          <w:iCs/>
          <w:lang w:val="en-US"/>
        </w:rPr>
        <w:t xml:space="preserve"> reached the following conclusions on the proposed designations in the Reisman </w:t>
      </w:r>
      <w:r w:rsidR="007D4D46">
        <w:rPr>
          <w:iCs/>
          <w:lang w:val="en-US"/>
        </w:rPr>
        <w:t>A</w:t>
      </w:r>
      <w:r w:rsidRPr="00447901">
        <w:rPr>
          <w:iCs/>
          <w:lang w:val="en-US"/>
        </w:rPr>
        <w:t>ppeals:</w:t>
      </w:r>
    </w:p>
    <w:p w14:paraId="5B3B67C3" w14:textId="77777777" w:rsidR="00456E54" w:rsidRPr="007D4D46" w:rsidRDefault="00456E54" w:rsidP="00456E54">
      <w:pPr>
        <w:pStyle w:val="DecisionBody"/>
        <w:numPr>
          <w:ilvl w:val="0"/>
          <w:numId w:val="0"/>
        </w:numPr>
        <w:spacing w:beforeLines="0" w:before="0" w:afterLines="0" w:after="0"/>
        <w:rPr>
          <w:iCs/>
          <w:lang w:val="en-US"/>
        </w:rPr>
      </w:pPr>
    </w:p>
    <w:p w14:paraId="6B444DA0" w14:textId="11366D50" w:rsidR="00447901" w:rsidRDefault="00447901" w:rsidP="00914F53">
      <w:pPr>
        <w:pStyle w:val="DecisionBody"/>
        <w:numPr>
          <w:ilvl w:val="0"/>
          <w:numId w:val="0"/>
        </w:numPr>
        <w:spacing w:beforeLines="0" w:before="0" w:afterLines="0" w:after="0"/>
        <w:ind w:left="1260" w:hanging="540"/>
        <w:rPr>
          <w:iCs/>
          <w:lang w:val="en-US"/>
        </w:rPr>
      </w:pPr>
      <w:r w:rsidRPr="00447901">
        <w:rPr>
          <w:iCs/>
          <w:lang w:val="en-US"/>
        </w:rPr>
        <w:t xml:space="preserve">- </w:t>
      </w:r>
      <w:r w:rsidR="00914F53">
        <w:rPr>
          <w:iCs/>
          <w:lang w:val="en-US"/>
        </w:rPr>
        <w:tab/>
      </w:r>
      <w:r w:rsidRPr="00447901">
        <w:rPr>
          <w:iCs/>
          <w:lang w:val="en-US"/>
        </w:rPr>
        <w:t xml:space="preserve">The </w:t>
      </w:r>
      <w:r w:rsidRPr="00447901">
        <w:rPr>
          <w:i/>
          <w:iCs/>
          <w:lang w:val="en-US"/>
        </w:rPr>
        <w:t xml:space="preserve">General Employment Areas </w:t>
      </w:r>
      <w:r w:rsidRPr="00447901">
        <w:rPr>
          <w:iCs/>
          <w:lang w:val="en-US"/>
        </w:rPr>
        <w:t xml:space="preserve">designation is appropriate for the 3.8 hectare lands at 3241-3261 Kennedy Road and 19-27 Passmore Avenue.  </w:t>
      </w:r>
    </w:p>
    <w:p w14:paraId="700C5A27" w14:textId="77777777" w:rsidR="00A90E38" w:rsidRPr="00447901" w:rsidRDefault="00A90E38" w:rsidP="00A90E38">
      <w:pPr>
        <w:pStyle w:val="DecisionBody"/>
        <w:numPr>
          <w:ilvl w:val="0"/>
          <w:numId w:val="0"/>
        </w:numPr>
        <w:spacing w:beforeLines="0" w:before="0" w:afterLines="0" w:after="0"/>
        <w:rPr>
          <w:iCs/>
          <w:lang w:val="en-US"/>
        </w:rPr>
      </w:pPr>
    </w:p>
    <w:p w14:paraId="78C5F195" w14:textId="753AEE6A" w:rsidR="007D4D46" w:rsidRDefault="00447901" w:rsidP="000651A1">
      <w:pPr>
        <w:pStyle w:val="DecisionBody"/>
        <w:numPr>
          <w:ilvl w:val="0"/>
          <w:numId w:val="0"/>
        </w:numPr>
        <w:spacing w:beforeLines="0" w:before="0" w:afterLines="0" w:after="0"/>
        <w:ind w:left="1260" w:hanging="540"/>
        <w:rPr>
          <w:iCs/>
          <w:lang w:val="en-US"/>
        </w:rPr>
      </w:pPr>
      <w:r w:rsidRPr="00447901">
        <w:rPr>
          <w:iCs/>
          <w:lang w:val="en-US"/>
        </w:rPr>
        <w:t>-</w:t>
      </w:r>
      <w:r w:rsidR="00914F53">
        <w:rPr>
          <w:iCs/>
          <w:lang w:val="en-US"/>
        </w:rPr>
        <w:tab/>
      </w:r>
      <w:r w:rsidRPr="00447901">
        <w:rPr>
          <w:iCs/>
          <w:lang w:val="en-US"/>
        </w:rPr>
        <w:t xml:space="preserve"> Similarly for May Flower, the </w:t>
      </w:r>
      <w:r w:rsidRPr="00447901">
        <w:rPr>
          <w:i/>
          <w:iCs/>
          <w:lang w:val="en-US"/>
        </w:rPr>
        <w:t>Core Employment Areas</w:t>
      </w:r>
      <w:r w:rsidRPr="00447901">
        <w:rPr>
          <w:iCs/>
          <w:lang w:val="en-US"/>
        </w:rPr>
        <w:t xml:space="preserve"> designation is appropriate for the 3.1 hectare lands at 29, 31, 31A and 41 Passmore</w:t>
      </w:r>
      <w:r w:rsidR="007D4D46">
        <w:rPr>
          <w:iCs/>
          <w:lang w:val="en-US"/>
        </w:rPr>
        <w:t xml:space="preserve"> Avenue</w:t>
      </w:r>
      <w:r w:rsidRPr="00447901">
        <w:rPr>
          <w:iCs/>
          <w:lang w:val="en-US"/>
        </w:rPr>
        <w:t>.</w:t>
      </w:r>
    </w:p>
    <w:p w14:paraId="70D94D78" w14:textId="77777777" w:rsidR="00456E54" w:rsidRPr="00447901" w:rsidRDefault="00456E54" w:rsidP="00456E54">
      <w:pPr>
        <w:pStyle w:val="DecisionBody"/>
        <w:numPr>
          <w:ilvl w:val="0"/>
          <w:numId w:val="0"/>
        </w:numPr>
        <w:spacing w:beforeLines="0" w:before="0" w:afterLines="0" w:after="0"/>
        <w:rPr>
          <w:iCs/>
          <w:lang w:val="en-US"/>
        </w:rPr>
      </w:pPr>
    </w:p>
    <w:p w14:paraId="0A2C9126" w14:textId="3F332504" w:rsidR="00447901" w:rsidRDefault="00447901" w:rsidP="00914F53">
      <w:pPr>
        <w:pStyle w:val="DecisionBody"/>
        <w:numPr>
          <w:ilvl w:val="0"/>
          <w:numId w:val="0"/>
        </w:numPr>
        <w:spacing w:beforeLines="0" w:before="0" w:afterLines="0" w:after="0"/>
        <w:ind w:left="1260" w:hanging="540"/>
        <w:rPr>
          <w:iCs/>
          <w:lang w:val="en-US"/>
        </w:rPr>
      </w:pPr>
      <w:r w:rsidRPr="00447901">
        <w:rPr>
          <w:iCs/>
          <w:lang w:val="en-US"/>
        </w:rPr>
        <w:t xml:space="preserve">- </w:t>
      </w:r>
      <w:r w:rsidR="00914F53">
        <w:rPr>
          <w:iCs/>
          <w:lang w:val="en-US"/>
        </w:rPr>
        <w:tab/>
      </w:r>
      <w:r w:rsidRPr="00447901">
        <w:rPr>
          <w:iCs/>
          <w:lang w:val="en-US"/>
        </w:rPr>
        <w:t>At 33 Passmore</w:t>
      </w:r>
      <w:r w:rsidR="007D4D46">
        <w:rPr>
          <w:iCs/>
          <w:lang w:val="en-US"/>
        </w:rPr>
        <w:t xml:space="preserve"> Avenue</w:t>
      </w:r>
      <w:r w:rsidRPr="00447901">
        <w:rPr>
          <w:iCs/>
          <w:lang w:val="en-US"/>
        </w:rPr>
        <w:t xml:space="preserve">, </w:t>
      </w:r>
      <w:r w:rsidRPr="00447901">
        <w:rPr>
          <w:i/>
          <w:iCs/>
          <w:lang w:val="en-US"/>
        </w:rPr>
        <w:t>Core Employment Areas</w:t>
      </w:r>
      <w:r w:rsidRPr="00447901">
        <w:rPr>
          <w:iCs/>
          <w:lang w:val="en-US"/>
        </w:rPr>
        <w:t xml:space="preserve"> designation is appropriate for the 0.5 hectare property.</w:t>
      </w:r>
    </w:p>
    <w:p w14:paraId="6FF7AC39" w14:textId="77777777" w:rsidR="00A90E38" w:rsidRPr="00447901" w:rsidRDefault="00A90E38" w:rsidP="00A90E38">
      <w:pPr>
        <w:pStyle w:val="DecisionBody"/>
        <w:numPr>
          <w:ilvl w:val="0"/>
          <w:numId w:val="0"/>
        </w:numPr>
        <w:spacing w:beforeLines="0" w:before="0" w:afterLines="0" w:after="0"/>
        <w:rPr>
          <w:iCs/>
          <w:lang w:val="en-US"/>
        </w:rPr>
      </w:pPr>
    </w:p>
    <w:p w14:paraId="7DB0323B" w14:textId="0F9D1DE3" w:rsidR="00DD170A" w:rsidRDefault="00447901" w:rsidP="00456E54">
      <w:pPr>
        <w:pStyle w:val="DecisionBody"/>
        <w:widowControl/>
        <w:numPr>
          <w:ilvl w:val="0"/>
          <w:numId w:val="0"/>
        </w:numPr>
        <w:spacing w:beforeLines="0" w:before="0" w:afterLines="0" w:after="0"/>
        <w:ind w:left="1267" w:hanging="547"/>
        <w:rPr>
          <w:iCs/>
          <w:lang w:val="en-US"/>
        </w:rPr>
      </w:pPr>
      <w:r w:rsidRPr="00447901">
        <w:rPr>
          <w:iCs/>
          <w:lang w:val="en-US"/>
        </w:rPr>
        <w:lastRenderedPageBreak/>
        <w:t>-</w:t>
      </w:r>
      <w:r w:rsidR="00914F53">
        <w:rPr>
          <w:iCs/>
          <w:lang w:val="en-US"/>
        </w:rPr>
        <w:tab/>
      </w:r>
      <w:r w:rsidRPr="00447901">
        <w:rPr>
          <w:iCs/>
          <w:lang w:val="en-US"/>
        </w:rPr>
        <w:t xml:space="preserve"> For</w:t>
      </w:r>
      <w:r w:rsidRPr="00447901">
        <w:rPr>
          <w:b/>
          <w:iCs/>
          <w:lang w:val="en-US"/>
        </w:rPr>
        <w:t xml:space="preserve"> </w:t>
      </w:r>
      <w:r w:rsidRPr="00447901">
        <w:rPr>
          <w:iCs/>
          <w:lang w:val="en-US"/>
        </w:rPr>
        <w:t>the 1182929 Appeal</w:t>
      </w:r>
      <w:r w:rsidRPr="00447901">
        <w:rPr>
          <w:b/>
          <w:iCs/>
          <w:lang w:val="en-US"/>
        </w:rPr>
        <w:t xml:space="preserve">, </w:t>
      </w:r>
      <w:r w:rsidRPr="000315E1">
        <w:rPr>
          <w:bCs w:val="0"/>
          <w:iCs/>
          <w:lang w:val="en-US"/>
        </w:rPr>
        <w:t>t</w:t>
      </w:r>
      <w:r w:rsidRPr="00447901">
        <w:rPr>
          <w:iCs/>
          <w:lang w:val="en-US"/>
        </w:rPr>
        <w:t xml:space="preserve">he </w:t>
      </w:r>
      <w:r w:rsidRPr="00447901">
        <w:rPr>
          <w:i/>
          <w:iCs/>
          <w:lang w:val="en-US"/>
        </w:rPr>
        <w:t>Core Employment Areas</w:t>
      </w:r>
      <w:r w:rsidRPr="00447901">
        <w:rPr>
          <w:b/>
          <w:i/>
          <w:iCs/>
          <w:lang w:val="en-US"/>
        </w:rPr>
        <w:t xml:space="preserve"> </w:t>
      </w:r>
      <w:r w:rsidRPr="00447901">
        <w:rPr>
          <w:iCs/>
          <w:lang w:val="en-US"/>
        </w:rPr>
        <w:t>designation is appropriate for the 3.1 hectare lands at 29, 31, 31A and 41 Passmore</w:t>
      </w:r>
      <w:r w:rsidR="007D4D46">
        <w:rPr>
          <w:iCs/>
          <w:lang w:val="en-US"/>
        </w:rPr>
        <w:t xml:space="preserve"> Avenue</w:t>
      </w:r>
      <w:r w:rsidRPr="00447901">
        <w:rPr>
          <w:iCs/>
          <w:lang w:val="en-US"/>
        </w:rPr>
        <w:t>.</w:t>
      </w:r>
    </w:p>
    <w:p w14:paraId="703D2F06" w14:textId="77777777" w:rsidR="00DD170A" w:rsidRPr="00447901" w:rsidRDefault="00DD170A" w:rsidP="00DD170A">
      <w:pPr>
        <w:pStyle w:val="DecisionBody"/>
        <w:numPr>
          <w:ilvl w:val="0"/>
          <w:numId w:val="0"/>
        </w:numPr>
        <w:spacing w:beforeLines="0" w:before="0" w:afterLines="0" w:after="0"/>
        <w:rPr>
          <w:iCs/>
          <w:lang w:val="en-US"/>
        </w:rPr>
      </w:pPr>
    </w:p>
    <w:p w14:paraId="0633A7E1" w14:textId="010EFBC3" w:rsidR="00447901" w:rsidRPr="00447901" w:rsidRDefault="00447901" w:rsidP="000315E1">
      <w:pPr>
        <w:pStyle w:val="DecisionBody"/>
        <w:widowControl/>
        <w:spacing w:beforeLines="0" w:before="0" w:afterLines="0" w:after="0"/>
        <w:rPr>
          <w:iCs/>
          <w:lang w:val="en-US"/>
        </w:rPr>
      </w:pPr>
      <w:r w:rsidRPr="00447901">
        <w:rPr>
          <w:iCs/>
          <w:lang w:val="en-US"/>
        </w:rPr>
        <w:t xml:space="preserve">However, the SASP proposal for including special provisions in the OP to implement site-specific zoning permissions, is not appropriate in her view. "Special provisions" that may broaden the type or scale of uses beyond those permitted in </w:t>
      </w:r>
      <w:r w:rsidRPr="00447901">
        <w:rPr>
          <w:i/>
          <w:iCs/>
          <w:lang w:val="en-US"/>
        </w:rPr>
        <w:t xml:space="preserve">General Employment Areas </w:t>
      </w:r>
      <w:r w:rsidRPr="00447901">
        <w:rPr>
          <w:iCs/>
          <w:lang w:val="en-US"/>
        </w:rPr>
        <w:t>is not consistent with the PPS 2020, and does not conform to the GP 2006. The proposed "special provisions" in a SASP do not embody good planning and are not in the public interest, she testified.</w:t>
      </w:r>
    </w:p>
    <w:p w14:paraId="59823385" w14:textId="77777777" w:rsidR="00DD170A" w:rsidRDefault="00DD170A" w:rsidP="00DD170A">
      <w:pPr>
        <w:pStyle w:val="DecisionBody"/>
        <w:numPr>
          <w:ilvl w:val="0"/>
          <w:numId w:val="0"/>
        </w:numPr>
        <w:spacing w:beforeLines="0" w:before="0" w:afterLines="0" w:after="0"/>
        <w:rPr>
          <w:b/>
          <w:iCs/>
          <w:lang w:val="en-US"/>
        </w:rPr>
      </w:pPr>
    </w:p>
    <w:p w14:paraId="5254E8D6" w14:textId="0B409BAE" w:rsidR="00447901" w:rsidRDefault="00447901" w:rsidP="00DD170A">
      <w:pPr>
        <w:pStyle w:val="DecisionBody"/>
        <w:numPr>
          <w:ilvl w:val="0"/>
          <w:numId w:val="0"/>
        </w:numPr>
        <w:spacing w:beforeLines="0" w:before="0" w:afterLines="0" w:after="0"/>
        <w:rPr>
          <w:b/>
          <w:iCs/>
          <w:lang w:val="en-US"/>
        </w:rPr>
      </w:pPr>
      <w:r w:rsidRPr="00447901">
        <w:rPr>
          <w:b/>
          <w:iCs/>
          <w:lang w:val="en-US"/>
        </w:rPr>
        <w:t>Loblaw</w:t>
      </w:r>
      <w:r w:rsidR="00F41936">
        <w:rPr>
          <w:b/>
          <w:iCs/>
          <w:lang w:val="en-US"/>
        </w:rPr>
        <w:t xml:space="preserve"> or Choice</w:t>
      </w:r>
      <w:r w:rsidRPr="00447901">
        <w:rPr>
          <w:b/>
          <w:iCs/>
          <w:lang w:val="en-US"/>
        </w:rPr>
        <w:t xml:space="preserve"> Appeal – No. 19</w:t>
      </w:r>
    </w:p>
    <w:p w14:paraId="4A8EE08B" w14:textId="77777777" w:rsidR="00DD170A" w:rsidRPr="00447901" w:rsidRDefault="00DD170A" w:rsidP="00DD170A">
      <w:pPr>
        <w:pStyle w:val="DecisionBody"/>
        <w:numPr>
          <w:ilvl w:val="0"/>
          <w:numId w:val="0"/>
        </w:numPr>
        <w:spacing w:beforeLines="0" w:before="0" w:afterLines="0" w:after="0"/>
        <w:rPr>
          <w:iCs/>
          <w:lang w:val="en-US"/>
        </w:rPr>
      </w:pPr>
    </w:p>
    <w:p w14:paraId="148A474D" w14:textId="4610E7D2" w:rsidR="00447901" w:rsidRDefault="00447901" w:rsidP="00DD170A">
      <w:pPr>
        <w:pStyle w:val="DecisionBody"/>
        <w:spacing w:beforeLines="0" w:before="0" w:afterLines="0" w:after="0"/>
        <w:rPr>
          <w:iCs/>
          <w:lang w:val="en-US"/>
        </w:rPr>
      </w:pPr>
      <w:r w:rsidRPr="00447901">
        <w:rPr>
          <w:iCs/>
          <w:lang w:val="en-US"/>
        </w:rPr>
        <w:t>Evidence on behalf of Loblaw Properties Limited (“Loblaw”) and CP REIT Ontario Properties Limited (“Choice”) was provided by Jonathan Rodger, an experienced land use planner hired by Loblaw in 2011</w:t>
      </w:r>
      <w:r w:rsidR="00F41936">
        <w:rPr>
          <w:iCs/>
          <w:lang w:val="en-US"/>
        </w:rPr>
        <w:t>,</w:t>
      </w:r>
      <w:r w:rsidRPr="00447901">
        <w:rPr>
          <w:iCs/>
          <w:lang w:val="en-US"/>
        </w:rPr>
        <w:t xml:space="preserve"> to provide advice with respect to OPA 231. He had submitted preliminary comments in 2013.  Recently</w:t>
      </w:r>
      <w:r w:rsidR="00F41936">
        <w:rPr>
          <w:iCs/>
          <w:lang w:val="en-US"/>
        </w:rPr>
        <w:t>,</w:t>
      </w:r>
      <w:r w:rsidRPr="00447901">
        <w:rPr>
          <w:iCs/>
          <w:lang w:val="en-US"/>
        </w:rPr>
        <w:t xml:space="preserve"> he was involved for these Parties in the mediation for earlier Phases of the OPA 231 appeal process.</w:t>
      </w:r>
    </w:p>
    <w:p w14:paraId="1CE2BD77" w14:textId="77777777" w:rsidR="00DD170A" w:rsidRPr="00447901" w:rsidRDefault="00DD170A" w:rsidP="00DD170A">
      <w:pPr>
        <w:pStyle w:val="DecisionBody"/>
        <w:numPr>
          <w:ilvl w:val="0"/>
          <w:numId w:val="0"/>
        </w:numPr>
        <w:spacing w:beforeLines="0" w:before="0" w:afterLines="0" w:after="0"/>
        <w:rPr>
          <w:iCs/>
          <w:lang w:val="en-US"/>
        </w:rPr>
      </w:pPr>
    </w:p>
    <w:p w14:paraId="2591284C" w14:textId="77777777" w:rsidR="000315E1" w:rsidRPr="000315E1" w:rsidRDefault="00447901" w:rsidP="000315E1">
      <w:pPr>
        <w:pStyle w:val="DecisionBody"/>
        <w:spacing w:beforeLines="0" w:before="0" w:afterLines="0" w:after="0"/>
        <w:rPr>
          <w:b/>
          <w:iCs/>
          <w:lang w:val="en-US"/>
        </w:rPr>
      </w:pPr>
      <w:r w:rsidRPr="00447901">
        <w:rPr>
          <w:iCs/>
          <w:lang w:val="en-US"/>
        </w:rPr>
        <w:t xml:space="preserve">More recently, as part of the current Toronto OP Review and the Municipal Comprehensive Review (“MCR”) for conformity with the </w:t>
      </w:r>
      <w:r w:rsidR="00F41936" w:rsidRPr="00447901">
        <w:rPr>
          <w:iCs/>
          <w:lang w:val="en-US"/>
        </w:rPr>
        <w:t>2019</w:t>
      </w:r>
      <w:r w:rsidR="00F41936">
        <w:rPr>
          <w:iCs/>
          <w:lang w:val="en-US"/>
        </w:rPr>
        <w:t xml:space="preserve"> GP</w:t>
      </w:r>
      <w:r w:rsidRPr="00447901">
        <w:rPr>
          <w:iCs/>
          <w:lang w:val="en-US"/>
        </w:rPr>
        <w:t>, he oversaw the submission of an employment conversion request (the “Conversion Request”) in July 2021. This was for lands owned by Choice and located at 681 Silver Star Boulevard (the “Choice Lands”).  The Conversion Request was supported by materials including a Planning Justification Report, Preliminary Concept Plan, Compatibility and Mitigation Study, Employment Conversion Review, Transportation Impact Study and Preliminary Servicing Investigation.  He is aware of four other similar conversion requests for lands in proximity to the Milliken GO Station and the Choice Lands.</w:t>
      </w:r>
      <w:bookmarkStart w:id="4" w:name="Overview_of_the_Choice_Lands"/>
      <w:bookmarkEnd w:id="4"/>
    </w:p>
    <w:p w14:paraId="4CC3B3EA" w14:textId="77777777" w:rsidR="000315E1" w:rsidRDefault="000315E1" w:rsidP="000315E1">
      <w:pPr>
        <w:pStyle w:val="ListParagraph"/>
        <w:rPr>
          <w:b w:val="0"/>
          <w:iCs/>
        </w:rPr>
      </w:pPr>
    </w:p>
    <w:p w14:paraId="25D3C145" w14:textId="67BE5A04" w:rsidR="000315E1" w:rsidRDefault="00447901" w:rsidP="000315E1">
      <w:pPr>
        <w:pStyle w:val="DecisionBody"/>
        <w:numPr>
          <w:ilvl w:val="0"/>
          <w:numId w:val="0"/>
        </w:numPr>
        <w:spacing w:beforeLines="0" w:before="0" w:afterLines="0" w:after="0"/>
        <w:rPr>
          <w:b/>
          <w:iCs/>
          <w:lang w:val="en-US"/>
        </w:rPr>
      </w:pPr>
      <w:r w:rsidRPr="00447901">
        <w:rPr>
          <w:b/>
          <w:iCs/>
          <w:lang w:val="en-US"/>
        </w:rPr>
        <w:t>THE CHOICE LANDS</w:t>
      </w:r>
    </w:p>
    <w:p w14:paraId="0C904271" w14:textId="77777777" w:rsidR="000315E1" w:rsidRPr="00447901" w:rsidRDefault="000315E1" w:rsidP="000315E1">
      <w:pPr>
        <w:pStyle w:val="DecisionBody"/>
        <w:numPr>
          <w:ilvl w:val="0"/>
          <w:numId w:val="0"/>
        </w:numPr>
        <w:spacing w:beforeLines="0" w:before="0" w:afterLines="0" w:after="0"/>
        <w:rPr>
          <w:b/>
          <w:iCs/>
          <w:lang w:val="en-US"/>
        </w:rPr>
      </w:pPr>
    </w:p>
    <w:p w14:paraId="33BA4754" w14:textId="0BD9E092" w:rsidR="00447901" w:rsidRDefault="00447901" w:rsidP="000315E1">
      <w:pPr>
        <w:pStyle w:val="DecisionBody"/>
        <w:spacing w:beforeLines="0" w:before="0" w:afterLines="0" w:after="0"/>
        <w:rPr>
          <w:iCs/>
          <w:lang w:val="en-US"/>
        </w:rPr>
      </w:pPr>
      <w:r w:rsidRPr="00447901">
        <w:rPr>
          <w:iCs/>
          <w:lang w:val="en-US"/>
        </w:rPr>
        <w:t>The Choice Lands are approximately 2.72 h</w:t>
      </w:r>
      <w:r w:rsidR="00F41936">
        <w:rPr>
          <w:iCs/>
          <w:lang w:val="en-US"/>
        </w:rPr>
        <w:t>ect</w:t>
      </w:r>
      <w:r w:rsidRPr="00447901">
        <w:rPr>
          <w:iCs/>
          <w:lang w:val="en-US"/>
        </w:rPr>
        <w:t>a</w:t>
      </w:r>
      <w:r w:rsidR="00F41936">
        <w:rPr>
          <w:iCs/>
          <w:lang w:val="en-US"/>
        </w:rPr>
        <w:t>res</w:t>
      </w:r>
      <w:r w:rsidRPr="00447901">
        <w:rPr>
          <w:iCs/>
          <w:lang w:val="en-US"/>
        </w:rPr>
        <w:t xml:space="preserve"> (6.71 a</w:t>
      </w:r>
      <w:r w:rsidR="00F41936">
        <w:rPr>
          <w:iCs/>
          <w:lang w:val="en-US"/>
        </w:rPr>
        <w:t>cres</w:t>
      </w:r>
      <w:r w:rsidRPr="00447901">
        <w:rPr>
          <w:iCs/>
          <w:lang w:val="en-US"/>
        </w:rPr>
        <w:t xml:space="preserve">). They are south of Steeles Avenue East, with frontage along Silver Star Boulevard.  They are best seen in </w:t>
      </w:r>
      <w:r w:rsidRPr="00447901">
        <w:rPr>
          <w:iCs/>
          <w:lang w:val="en-US"/>
        </w:rPr>
        <w:lastRenderedPageBreak/>
        <w:t>context in Exhibit 9, Tab 1 and especially</w:t>
      </w:r>
      <w:r w:rsidR="00F41936">
        <w:rPr>
          <w:iCs/>
          <w:lang w:val="en-US"/>
        </w:rPr>
        <w:t>, in</w:t>
      </w:r>
      <w:r w:rsidRPr="00447901">
        <w:rPr>
          <w:iCs/>
          <w:lang w:val="en-US"/>
        </w:rPr>
        <w:t xml:space="preserve"> Tab 2.  Loblaw is the leaseholder of the existing No Frills supermarket, with a gross floor area (“GFA”) of approximately 5,154 sq m (55,480 sq ft).  These lands are part of a broader commercial node in Milliken extending north/south and connected by drive aisles, but under separate ownership.  Other uses within the node include a bank to the north of Choice, fronting on Steeles Avenue, and a retail plaza to the south with a variety of retail and commercial outlets (Exhibit 9, Tab 2).</w:t>
      </w:r>
    </w:p>
    <w:p w14:paraId="38B92477" w14:textId="77777777" w:rsidR="00DD170A" w:rsidRPr="00447901" w:rsidRDefault="00DD170A" w:rsidP="00DD170A">
      <w:pPr>
        <w:pStyle w:val="DecisionBody"/>
        <w:numPr>
          <w:ilvl w:val="0"/>
          <w:numId w:val="0"/>
        </w:numPr>
        <w:spacing w:beforeLines="0" w:before="0" w:afterLines="0" w:after="0"/>
        <w:rPr>
          <w:iCs/>
          <w:lang w:val="en-US"/>
        </w:rPr>
      </w:pPr>
    </w:p>
    <w:p w14:paraId="571D9E4C" w14:textId="34BDAFC8" w:rsidR="00447901" w:rsidRDefault="00447901" w:rsidP="00DD170A">
      <w:pPr>
        <w:pStyle w:val="DecisionBody"/>
        <w:spacing w:beforeLines="0" w:before="0" w:afterLines="0" w:after="0"/>
        <w:rPr>
          <w:iCs/>
          <w:lang w:val="en-US"/>
        </w:rPr>
      </w:pPr>
      <w:r w:rsidRPr="00447901">
        <w:rPr>
          <w:iCs/>
          <w:lang w:val="en-US"/>
        </w:rPr>
        <w:t>To the west is a commercial/retail plaza, with a variety of commercial uses.  Further west is the rail line and the Milliken GO Station.  North of the station and west of the subject site, at 4665 Steeles Avenue East, is the Splendid China Mall site. This was redesignated to MU under OPA 231 and OPA 321, to permit residential uses.  Approval has been granted for a mixed-use development here, having three towers of 17, 26 and 28 storeys and containing 793 residential units. There has also been an application for a mixed-use development (a 10-storey medical office building and two residential towers of 26 and 23 storeys with 500 units) at 4631 Steeles Avenue East.</w:t>
      </w:r>
    </w:p>
    <w:p w14:paraId="6C0D5861" w14:textId="77777777" w:rsidR="002759ED" w:rsidRPr="00447901" w:rsidRDefault="002759ED" w:rsidP="002759ED">
      <w:pPr>
        <w:pStyle w:val="DecisionBody"/>
        <w:numPr>
          <w:ilvl w:val="0"/>
          <w:numId w:val="0"/>
        </w:numPr>
        <w:spacing w:beforeLines="0" w:before="0" w:afterLines="0" w:after="0"/>
        <w:rPr>
          <w:iCs/>
          <w:lang w:val="en-US"/>
        </w:rPr>
      </w:pPr>
    </w:p>
    <w:p w14:paraId="264EB5BC" w14:textId="4088EAC6" w:rsidR="00447901" w:rsidRDefault="00447901" w:rsidP="00DD170A">
      <w:pPr>
        <w:pStyle w:val="DecisionBody"/>
        <w:spacing w:beforeLines="0" w:before="0" w:afterLines="0" w:after="0"/>
        <w:rPr>
          <w:iCs/>
          <w:lang w:val="en-US"/>
        </w:rPr>
      </w:pPr>
      <w:r w:rsidRPr="00447901">
        <w:rPr>
          <w:iCs/>
          <w:lang w:val="en-US"/>
        </w:rPr>
        <w:t xml:space="preserve">North of the Choice </w:t>
      </w:r>
      <w:r w:rsidR="00CA30A7">
        <w:rPr>
          <w:iCs/>
          <w:lang w:val="en-US"/>
        </w:rPr>
        <w:t>L</w:t>
      </w:r>
      <w:r w:rsidRPr="00447901">
        <w:rPr>
          <w:iCs/>
          <w:lang w:val="en-US"/>
        </w:rPr>
        <w:t xml:space="preserve">ands </w:t>
      </w:r>
      <w:r w:rsidR="00CA30A7">
        <w:rPr>
          <w:iCs/>
          <w:lang w:val="en-US"/>
        </w:rPr>
        <w:t xml:space="preserve">is </w:t>
      </w:r>
      <w:r w:rsidRPr="00447901">
        <w:rPr>
          <w:iCs/>
          <w:lang w:val="en-US"/>
        </w:rPr>
        <w:t xml:space="preserve">a bank </w:t>
      </w:r>
      <w:r w:rsidR="00CA30A7">
        <w:rPr>
          <w:iCs/>
          <w:lang w:val="en-US"/>
        </w:rPr>
        <w:t xml:space="preserve">that </w:t>
      </w:r>
      <w:r w:rsidRPr="00447901">
        <w:rPr>
          <w:iCs/>
          <w:lang w:val="en-US"/>
        </w:rPr>
        <w:t>fronts on</w:t>
      </w:r>
      <w:r w:rsidR="00CA30A7">
        <w:rPr>
          <w:iCs/>
          <w:lang w:val="en-US"/>
        </w:rPr>
        <w:t>to</w:t>
      </w:r>
      <w:r w:rsidRPr="00447901">
        <w:rPr>
          <w:iCs/>
          <w:lang w:val="en-US"/>
        </w:rPr>
        <w:t xml:space="preserve"> Steeles Avenue East, as mentioned the northern boundary of the City of Toronto. On the </w:t>
      </w:r>
      <w:r w:rsidR="00CA30A7">
        <w:rPr>
          <w:iCs/>
          <w:lang w:val="en-US"/>
        </w:rPr>
        <w:t xml:space="preserve">City of </w:t>
      </w:r>
      <w:r w:rsidRPr="00447901">
        <w:rPr>
          <w:iCs/>
          <w:lang w:val="en-US"/>
        </w:rPr>
        <w:t>Markham side of the boundary here</w:t>
      </w:r>
      <w:r w:rsidR="00CA30A7">
        <w:rPr>
          <w:iCs/>
          <w:lang w:val="en-US"/>
        </w:rPr>
        <w:t>,</w:t>
      </w:r>
      <w:r w:rsidRPr="00447901">
        <w:rPr>
          <w:iCs/>
          <w:lang w:val="en-US"/>
        </w:rPr>
        <w:t xml:space="preserve"> there is a mix of uses, retail/commercial, high density residential apartments and employment (industrial) uses. To the northwest above Steeles</w:t>
      </w:r>
      <w:r w:rsidR="00CA30A7">
        <w:rPr>
          <w:iCs/>
          <w:lang w:val="en-US"/>
        </w:rPr>
        <w:t xml:space="preserve"> Avenue</w:t>
      </w:r>
      <w:r w:rsidRPr="00447901">
        <w:rPr>
          <w:iCs/>
          <w:lang w:val="en-US"/>
        </w:rPr>
        <w:t xml:space="preserve"> is Pacific Mall, an indoor shopping mall (Exhibit 9, Tab 3).</w:t>
      </w:r>
    </w:p>
    <w:p w14:paraId="15CA761D" w14:textId="77777777" w:rsidR="00DD170A" w:rsidRPr="00447901" w:rsidRDefault="00DD170A" w:rsidP="00DD170A">
      <w:pPr>
        <w:pStyle w:val="DecisionBody"/>
        <w:numPr>
          <w:ilvl w:val="0"/>
          <w:numId w:val="0"/>
        </w:numPr>
        <w:spacing w:beforeLines="0" w:before="0" w:afterLines="0" w:after="0"/>
        <w:rPr>
          <w:iCs/>
          <w:lang w:val="en-US"/>
        </w:rPr>
      </w:pPr>
    </w:p>
    <w:p w14:paraId="1903F0C7" w14:textId="5FA38E70" w:rsidR="00DD170A" w:rsidRDefault="00447901" w:rsidP="00A90E38">
      <w:pPr>
        <w:pStyle w:val="DecisionBody"/>
        <w:spacing w:beforeLines="0" w:before="0" w:afterLines="0" w:after="0"/>
        <w:rPr>
          <w:iCs/>
          <w:lang w:val="en-US"/>
        </w:rPr>
      </w:pPr>
      <w:r w:rsidRPr="00447901">
        <w:rPr>
          <w:iCs/>
          <w:lang w:val="en-US"/>
        </w:rPr>
        <w:t xml:space="preserve">East and south of the </w:t>
      </w:r>
      <w:r w:rsidR="00CA30A7">
        <w:rPr>
          <w:iCs/>
          <w:lang w:val="en-US"/>
        </w:rPr>
        <w:t>Choice L</w:t>
      </w:r>
      <w:r w:rsidRPr="00447901">
        <w:rPr>
          <w:iCs/>
          <w:lang w:val="en-US"/>
        </w:rPr>
        <w:t xml:space="preserve">ands, within the City of Toronto, are existing commercial/retail uses along Steeles Avenue.  Employment (industrial) uses as well as low density residential dwellings are found on the east side of Midland Avenue, further east still. There is a commercial retail plaza to the south of </w:t>
      </w:r>
      <w:r w:rsidR="00CA30A7">
        <w:rPr>
          <w:iCs/>
          <w:lang w:val="en-US"/>
        </w:rPr>
        <w:t xml:space="preserve">the </w:t>
      </w:r>
      <w:r w:rsidRPr="00447901">
        <w:rPr>
          <w:iCs/>
          <w:lang w:val="en-US"/>
        </w:rPr>
        <w:t>Choice</w:t>
      </w:r>
      <w:r w:rsidR="00CA30A7">
        <w:rPr>
          <w:iCs/>
          <w:lang w:val="en-US"/>
        </w:rPr>
        <w:t xml:space="preserve"> Lands</w:t>
      </w:r>
      <w:r w:rsidRPr="00447901">
        <w:rPr>
          <w:iCs/>
          <w:lang w:val="en-US"/>
        </w:rPr>
        <w:t>, and further south still, employment (industrial) uses.</w:t>
      </w:r>
    </w:p>
    <w:p w14:paraId="33120636" w14:textId="77777777" w:rsidR="00CA30A7" w:rsidRPr="00A90E38" w:rsidRDefault="00CA30A7" w:rsidP="00CA30A7">
      <w:pPr>
        <w:pStyle w:val="DecisionBody"/>
        <w:numPr>
          <w:ilvl w:val="0"/>
          <w:numId w:val="0"/>
        </w:numPr>
        <w:spacing w:beforeLines="0" w:before="0" w:afterLines="0" w:after="0"/>
        <w:rPr>
          <w:iCs/>
          <w:lang w:val="en-US"/>
        </w:rPr>
      </w:pPr>
    </w:p>
    <w:p w14:paraId="4B784A9E" w14:textId="54DA94E0" w:rsidR="00447901" w:rsidRDefault="00447901" w:rsidP="000315E1">
      <w:pPr>
        <w:pStyle w:val="DecisionBody"/>
        <w:widowControl/>
        <w:spacing w:beforeLines="0" w:before="0" w:afterLines="0" w:after="0"/>
        <w:rPr>
          <w:iCs/>
          <w:lang w:val="en-US"/>
        </w:rPr>
      </w:pPr>
      <w:r w:rsidRPr="00447901">
        <w:rPr>
          <w:iCs/>
          <w:lang w:val="en-US"/>
        </w:rPr>
        <w:t xml:space="preserve">The existing commercial node here is close to the Milliken GO Station, on the Stouffville GO Transit line, providing direct connection to Union Station in Downtown Toronto.  Mr. Rodger explained that services on this line are anticipated to expand, with </w:t>
      </w:r>
      <w:r w:rsidRPr="00447901">
        <w:rPr>
          <w:iCs/>
          <w:lang w:val="en-US"/>
        </w:rPr>
        <w:lastRenderedPageBreak/>
        <w:t>more frequent service of 10-minute intervals all day, and shorter at peak periods.  It would be part of the Toronto SmartTrack program, which proposes to utilize Milliken GO Station as part of this rapid service. The SmartTrack program is anticipated to be entirely constructed by 2026.</w:t>
      </w:r>
    </w:p>
    <w:p w14:paraId="608E3BE0" w14:textId="77777777" w:rsidR="00DD170A" w:rsidRPr="00447901" w:rsidRDefault="00DD170A" w:rsidP="00DD170A">
      <w:pPr>
        <w:pStyle w:val="DecisionBody"/>
        <w:numPr>
          <w:ilvl w:val="0"/>
          <w:numId w:val="0"/>
        </w:numPr>
        <w:spacing w:beforeLines="0" w:before="0" w:afterLines="0" w:after="0"/>
        <w:rPr>
          <w:iCs/>
          <w:lang w:val="en-US"/>
        </w:rPr>
      </w:pPr>
    </w:p>
    <w:p w14:paraId="2CD4942A" w14:textId="5FB5C2E8" w:rsidR="00447901" w:rsidRPr="00447901" w:rsidRDefault="00447901" w:rsidP="00DD170A">
      <w:pPr>
        <w:pStyle w:val="DecisionBody"/>
        <w:widowControl/>
        <w:spacing w:beforeLines="0" w:before="0" w:afterLines="0" w:after="0"/>
        <w:rPr>
          <w:b/>
          <w:iCs/>
          <w:lang w:val="en-US"/>
        </w:rPr>
      </w:pPr>
      <w:r w:rsidRPr="00447901">
        <w:rPr>
          <w:iCs/>
          <w:lang w:val="en-US"/>
        </w:rPr>
        <w:t xml:space="preserve">As mentioned, the Minister approved OPA 231 in July 2014, with modifications. (The decision was withheld for changes applying to lands located with the flood plain Lower Don Special Policy Area, not related to these Appeals.)  Both Loblaw and Choice launched Appeals in July 2014, referred to by Mr. Rodger as the Appeals.  While portions of OPA 231 have been approved by the Tribunal, these decisions were without prejudice to the positions taken on any site-specific Appeals. Thus, Mr. Rodger testified, the Appeals should be determined in accordance with the City of Toronto OP Policies </w:t>
      </w:r>
      <w:r w:rsidRPr="00447901">
        <w:rPr>
          <w:b/>
          <w:iCs/>
          <w:lang w:val="en-US"/>
        </w:rPr>
        <w:t>prior to</w:t>
      </w:r>
      <w:r w:rsidRPr="00447901">
        <w:rPr>
          <w:iCs/>
          <w:lang w:val="en-US"/>
        </w:rPr>
        <w:t xml:space="preserve"> the adoption of OPA 231.</w:t>
      </w:r>
    </w:p>
    <w:p w14:paraId="798D11F0" w14:textId="77777777" w:rsidR="00DD170A" w:rsidRDefault="00DD170A" w:rsidP="00DD170A">
      <w:pPr>
        <w:pStyle w:val="DecisionBody"/>
        <w:numPr>
          <w:ilvl w:val="0"/>
          <w:numId w:val="0"/>
        </w:numPr>
        <w:spacing w:beforeLines="0" w:before="0" w:afterLines="0" w:after="0"/>
        <w:rPr>
          <w:b/>
          <w:iCs/>
          <w:lang w:val="en-US"/>
        </w:rPr>
      </w:pPr>
    </w:p>
    <w:p w14:paraId="7244E413" w14:textId="33F628F6" w:rsidR="00447901" w:rsidRDefault="00447901" w:rsidP="00C840A9">
      <w:pPr>
        <w:pStyle w:val="DecisionBody"/>
        <w:keepNext/>
        <w:keepLines/>
        <w:numPr>
          <w:ilvl w:val="0"/>
          <w:numId w:val="0"/>
        </w:numPr>
        <w:spacing w:beforeLines="0" w:before="0" w:afterLines="0" w:after="0"/>
        <w:rPr>
          <w:b/>
          <w:iCs/>
          <w:lang w:val="en-US"/>
        </w:rPr>
      </w:pPr>
      <w:r w:rsidRPr="00447901">
        <w:rPr>
          <w:b/>
          <w:iCs/>
          <w:lang w:val="en-US"/>
        </w:rPr>
        <w:t>Proposals for Choice Lands</w:t>
      </w:r>
    </w:p>
    <w:p w14:paraId="058E3A1D" w14:textId="77777777" w:rsidR="00DD170A" w:rsidRPr="00447901" w:rsidRDefault="00DD170A" w:rsidP="00C840A9">
      <w:pPr>
        <w:pStyle w:val="DecisionBody"/>
        <w:keepNext/>
        <w:keepLines/>
        <w:numPr>
          <w:ilvl w:val="0"/>
          <w:numId w:val="0"/>
        </w:numPr>
        <w:spacing w:beforeLines="0" w:before="0" w:afterLines="0" w:after="0"/>
        <w:rPr>
          <w:b/>
          <w:iCs/>
          <w:lang w:val="en-US"/>
        </w:rPr>
      </w:pPr>
    </w:p>
    <w:p w14:paraId="78404FE6" w14:textId="23EC67D2" w:rsidR="00447901" w:rsidRDefault="00447901" w:rsidP="00DD170A">
      <w:pPr>
        <w:pStyle w:val="DecisionBody"/>
        <w:spacing w:beforeLines="0" w:before="0" w:afterLines="0" w:after="0"/>
        <w:rPr>
          <w:iCs/>
          <w:lang w:val="en-US"/>
        </w:rPr>
      </w:pPr>
      <w:r w:rsidRPr="00447901">
        <w:rPr>
          <w:iCs/>
          <w:lang w:val="en-US"/>
        </w:rPr>
        <w:t>He then outlined the proposals for the Choice Lands.  Under OPA 231</w:t>
      </w:r>
      <w:r w:rsidR="00CA30A7">
        <w:rPr>
          <w:iCs/>
          <w:lang w:val="en-US"/>
        </w:rPr>
        <w:t>,</w:t>
      </w:r>
      <w:r w:rsidRPr="00447901">
        <w:rPr>
          <w:iCs/>
          <w:lang w:val="en-US"/>
        </w:rPr>
        <w:t xml:space="preserve"> the Choice Lands were designated “Employment Areas” on Map 2 Urban Structure, and “General Employment Areas” on Map 19.  He testified that it was important to have these lands designated as “Mixed Use” instead. This would permit residential uses, a more efficient use of the investment in Milliken GO Station, and would better meet the provincial direction to make efficient use of major transit.  To accommodate additional job and housing growth close to transit, in his opinion there should be options here beyond the existing retail uses, which themselves are not reflective of a traditional employment (industrial) use.</w:t>
      </w:r>
    </w:p>
    <w:p w14:paraId="03F9F28C" w14:textId="77777777" w:rsidR="00C840A9" w:rsidRPr="00447901" w:rsidRDefault="00C840A9" w:rsidP="00C840A9">
      <w:pPr>
        <w:pStyle w:val="DecisionBody"/>
        <w:numPr>
          <w:ilvl w:val="0"/>
          <w:numId w:val="0"/>
        </w:numPr>
        <w:spacing w:beforeLines="0" w:before="0" w:afterLines="0" w:after="0"/>
        <w:rPr>
          <w:iCs/>
          <w:lang w:val="en-US"/>
        </w:rPr>
      </w:pPr>
    </w:p>
    <w:p w14:paraId="5E2DB76D" w14:textId="108EAE3E" w:rsidR="00447901" w:rsidRDefault="00447901" w:rsidP="000651A1">
      <w:pPr>
        <w:pStyle w:val="DecisionBody"/>
        <w:widowControl/>
        <w:spacing w:beforeLines="0" w:before="0" w:afterLines="0" w:after="0"/>
        <w:rPr>
          <w:iCs/>
          <w:lang w:val="en-US"/>
        </w:rPr>
      </w:pPr>
      <w:r w:rsidRPr="00447901">
        <w:rPr>
          <w:iCs/>
          <w:lang w:val="en-US"/>
        </w:rPr>
        <w:t>With a Mixed Use Areas designation, Mr. Rodger testified, the owner proposes to introduce residential uses to the Choice Lands, while also retaining the permissions and GFA of the existing supermarket. This would expand the number of people and jobs per hectare, to accommodate a mix of population-related employment and high-density residential uses.</w:t>
      </w:r>
    </w:p>
    <w:p w14:paraId="2D5792CB" w14:textId="77777777" w:rsidR="00C840A9" w:rsidRPr="00447901" w:rsidRDefault="00C840A9" w:rsidP="00C840A9">
      <w:pPr>
        <w:pStyle w:val="DecisionBody"/>
        <w:numPr>
          <w:ilvl w:val="0"/>
          <w:numId w:val="0"/>
        </w:numPr>
        <w:spacing w:beforeLines="0" w:before="0" w:afterLines="0" w:after="0"/>
        <w:rPr>
          <w:iCs/>
          <w:lang w:val="en-US"/>
        </w:rPr>
      </w:pPr>
    </w:p>
    <w:p w14:paraId="5EBEEFB9" w14:textId="5B7DE343" w:rsidR="00C840A9" w:rsidRDefault="00447901" w:rsidP="000315E1">
      <w:pPr>
        <w:pStyle w:val="DecisionBody"/>
        <w:spacing w:beforeLines="0" w:before="0" w:afterLines="0" w:after="0"/>
        <w:rPr>
          <w:iCs/>
          <w:lang w:val="en-US"/>
        </w:rPr>
      </w:pPr>
      <w:r w:rsidRPr="00447901">
        <w:rPr>
          <w:iCs/>
          <w:lang w:val="en-US"/>
        </w:rPr>
        <w:lastRenderedPageBreak/>
        <w:t>The redesignation request does not propose development, but rather would establish the types of uses that could be appropriate as part of a future redevelopment.</w:t>
      </w:r>
    </w:p>
    <w:p w14:paraId="0784661F" w14:textId="77777777" w:rsidR="00456E54" w:rsidRPr="000315E1" w:rsidRDefault="00456E54" w:rsidP="00456E54">
      <w:pPr>
        <w:pStyle w:val="DecisionBody"/>
        <w:numPr>
          <w:ilvl w:val="0"/>
          <w:numId w:val="0"/>
        </w:numPr>
        <w:spacing w:beforeLines="0" w:before="0" w:afterLines="0" w:after="0"/>
        <w:rPr>
          <w:iCs/>
          <w:lang w:val="en-US"/>
        </w:rPr>
      </w:pPr>
    </w:p>
    <w:p w14:paraId="28C5BF96" w14:textId="3F57AC7F" w:rsidR="00447901" w:rsidRPr="00447901" w:rsidRDefault="00447901" w:rsidP="00DD170A">
      <w:pPr>
        <w:pStyle w:val="DecisionBody"/>
        <w:spacing w:beforeLines="0" w:before="0" w:afterLines="0" w:after="0"/>
        <w:rPr>
          <w:iCs/>
          <w:lang w:val="en-US"/>
        </w:rPr>
      </w:pPr>
      <w:r w:rsidRPr="00447901">
        <w:rPr>
          <w:iCs/>
          <w:lang w:val="en-US"/>
        </w:rPr>
        <w:t>A redesignation to Mixed Use Areas would allow for the appropriate wide range of uses for the Choice Lands, including residential, commercial, office and institutional uses.  A mix of residential and population-related employment (retail, commercial and community services) uses has inherent synergies, he stated. The existing supermarket use would be supported by additional residents with immediate access to local goods and services.</w:t>
      </w:r>
      <w:bookmarkStart w:id="5" w:name="Site_and_Area_Specific_Policy"/>
      <w:bookmarkEnd w:id="5"/>
    </w:p>
    <w:p w14:paraId="4553ACC4" w14:textId="659EC949" w:rsidR="00447901" w:rsidRDefault="00447901" w:rsidP="00DD170A">
      <w:pPr>
        <w:pStyle w:val="DecisionBody"/>
        <w:numPr>
          <w:ilvl w:val="0"/>
          <w:numId w:val="0"/>
        </w:numPr>
        <w:spacing w:beforeLines="0" w:before="0" w:afterLines="0" w:after="0"/>
        <w:rPr>
          <w:b/>
          <w:iCs/>
          <w:lang w:val="en-US"/>
        </w:rPr>
      </w:pPr>
      <w:r w:rsidRPr="00447901">
        <w:rPr>
          <w:b/>
          <w:iCs/>
          <w:lang w:val="en-US"/>
        </w:rPr>
        <w:t>SASP</w:t>
      </w:r>
    </w:p>
    <w:p w14:paraId="2679A35A" w14:textId="77777777" w:rsidR="00C840A9" w:rsidRPr="00447901" w:rsidRDefault="00C840A9" w:rsidP="00DD170A">
      <w:pPr>
        <w:pStyle w:val="DecisionBody"/>
        <w:numPr>
          <w:ilvl w:val="0"/>
          <w:numId w:val="0"/>
        </w:numPr>
        <w:spacing w:beforeLines="0" w:before="0" w:afterLines="0" w:after="0"/>
        <w:rPr>
          <w:b/>
          <w:iCs/>
          <w:lang w:val="en-US"/>
        </w:rPr>
      </w:pPr>
    </w:p>
    <w:p w14:paraId="478BED07" w14:textId="77E8950E" w:rsidR="00447901" w:rsidRDefault="00447901" w:rsidP="00DD170A">
      <w:pPr>
        <w:pStyle w:val="DecisionBody"/>
        <w:spacing w:beforeLines="0" w:before="0" w:afterLines="0" w:after="0"/>
        <w:rPr>
          <w:iCs/>
          <w:lang w:val="en-US"/>
        </w:rPr>
      </w:pPr>
      <w:r w:rsidRPr="00447901">
        <w:rPr>
          <w:iCs/>
          <w:lang w:val="en-US"/>
        </w:rPr>
        <w:t xml:space="preserve">Also proposed is a </w:t>
      </w:r>
      <w:r w:rsidR="00EC4C11">
        <w:rPr>
          <w:iCs/>
          <w:lang w:val="en-US"/>
        </w:rPr>
        <w:t>SASP</w:t>
      </w:r>
      <w:r w:rsidRPr="00447901">
        <w:rPr>
          <w:iCs/>
          <w:lang w:val="en-US"/>
        </w:rPr>
        <w:t xml:space="preserve"> for the Choice Lands. This would ensure development in a comprehensive manner, he stated.  It would provide appropriate built form and setbacks, mitigation for compatibility with surrounding uses, maintenance of minimum job numbers on site, further evaluation of existing services and facilities, and sufficient infrastructure to support the proposed development.</w:t>
      </w:r>
    </w:p>
    <w:p w14:paraId="7ADBC31F" w14:textId="77777777" w:rsidR="00C840A9" w:rsidRPr="00447901" w:rsidRDefault="00C840A9" w:rsidP="00C840A9">
      <w:pPr>
        <w:pStyle w:val="DecisionBody"/>
        <w:numPr>
          <w:ilvl w:val="0"/>
          <w:numId w:val="0"/>
        </w:numPr>
        <w:spacing w:beforeLines="0" w:before="0" w:afterLines="0" w:after="0"/>
        <w:rPr>
          <w:iCs/>
          <w:lang w:val="en-US"/>
        </w:rPr>
      </w:pPr>
    </w:p>
    <w:p w14:paraId="5E110BAB" w14:textId="30AB283B" w:rsidR="00447901" w:rsidRDefault="00447901" w:rsidP="00DD170A">
      <w:pPr>
        <w:pStyle w:val="DecisionBody"/>
        <w:spacing w:beforeLines="0" w:before="0" w:afterLines="0" w:after="0"/>
        <w:rPr>
          <w:iCs/>
          <w:lang w:val="en-US"/>
        </w:rPr>
      </w:pPr>
      <w:r w:rsidRPr="00447901">
        <w:rPr>
          <w:iCs/>
          <w:lang w:val="en-US"/>
        </w:rPr>
        <w:t xml:space="preserve">The proposed SASP is outlined in Mr. Rodger’s witness statement </w:t>
      </w:r>
      <w:r w:rsidR="00511C06">
        <w:rPr>
          <w:iCs/>
          <w:lang w:val="en-US"/>
        </w:rPr>
        <w:t>(</w:t>
      </w:r>
      <w:r w:rsidRPr="00447901">
        <w:rPr>
          <w:iCs/>
          <w:lang w:val="en-US"/>
        </w:rPr>
        <w:t>Exhibit 7</w:t>
      </w:r>
      <w:r w:rsidR="00511C06">
        <w:rPr>
          <w:iCs/>
          <w:lang w:val="en-US"/>
        </w:rPr>
        <w:t>)</w:t>
      </w:r>
      <w:r w:rsidRPr="00447901">
        <w:rPr>
          <w:iCs/>
          <w:lang w:val="en-US"/>
        </w:rPr>
        <w:t>.  It would provide (in summary) that before residential uses are permitted on the site, the following matters must be addressed to the satisfaction of the City</w:t>
      </w:r>
      <w:r w:rsidR="00914F53">
        <w:rPr>
          <w:iCs/>
          <w:lang w:val="en-US"/>
        </w:rPr>
        <w:t xml:space="preserve"> of Toronto</w:t>
      </w:r>
      <w:r w:rsidRPr="00447901">
        <w:rPr>
          <w:iCs/>
          <w:lang w:val="en-US"/>
        </w:rPr>
        <w:t>:</w:t>
      </w:r>
    </w:p>
    <w:p w14:paraId="40A59D1F" w14:textId="77777777" w:rsidR="00C840A9" w:rsidRPr="00447901" w:rsidRDefault="00C840A9" w:rsidP="00C840A9">
      <w:pPr>
        <w:pStyle w:val="DecisionBody"/>
        <w:numPr>
          <w:ilvl w:val="0"/>
          <w:numId w:val="0"/>
        </w:numPr>
        <w:spacing w:beforeLines="0" w:before="0" w:afterLines="0" w:after="0"/>
        <w:rPr>
          <w:iCs/>
          <w:lang w:val="en-US"/>
        </w:rPr>
      </w:pPr>
    </w:p>
    <w:p w14:paraId="4EF98F10" w14:textId="313339E0" w:rsidR="00447901" w:rsidRDefault="00447901" w:rsidP="00C840A9">
      <w:pPr>
        <w:pStyle w:val="DecisionBody"/>
        <w:numPr>
          <w:ilvl w:val="0"/>
          <w:numId w:val="85"/>
        </w:numPr>
        <w:spacing w:beforeLines="0" w:before="0" w:afterLines="0" w:after="0"/>
        <w:ind w:left="1260" w:hanging="540"/>
        <w:rPr>
          <w:iCs/>
          <w:lang w:val="en-US"/>
        </w:rPr>
      </w:pPr>
      <w:r w:rsidRPr="00447901">
        <w:rPr>
          <w:iCs/>
          <w:lang w:val="en-US"/>
        </w:rPr>
        <w:t>sensitive uses must be designed to mitigate noise, vibration and other adverse effects from Employment Area lands;</w:t>
      </w:r>
    </w:p>
    <w:p w14:paraId="2EC29E83" w14:textId="77777777" w:rsidR="00C840A9" w:rsidRPr="00447901" w:rsidRDefault="00C840A9" w:rsidP="000315E1">
      <w:pPr>
        <w:pStyle w:val="DecisionBody"/>
        <w:numPr>
          <w:ilvl w:val="0"/>
          <w:numId w:val="0"/>
        </w:numPr>
        <w:spacing w:beforeLines="0" w:before="0" w:afterLines="0" w:after="0"/>
        <w:ind w:left="1260"/>
        <w:rPr>
          <w:iCs/>
          <w:lang w:val="en-US"/>
        </w:rPr>
      </w:pPr>
    </w:p>
    <w:p w14:paraId="01E8BED6" w14:textId="0079BDA6" w:rsidR="004A7BEE" w:rsidRDefault="00447901" w:rsidP="000315E1">
      <w:pPr>
        <w:pStyle w:val="DecisionBody"/>
        <w:numPr>
          <w:ilvl w:val="0"/>
          <w:numId w:val="85"/>
        </w:numPr>
        <w:spacing w:beforeLines="0" w:before="0" w:afterLines="0" w:after="0"/>
        <w:ind w:left="1260" w:hanging="540"/>
        <w:rPr>
          <w:iCs/>
          <w:lang w:val="en-US"/>
        </w:rPr>
      </w:pPr>
      <w:r w:rsidRPr="00447901">
        <w:rPr>
          <w:iCs/>
          <w:lang w:val="en-US"/>
        </w:rPr>
        <w:t>buffers must separate residential and sensitive non-residential uses from the abutting Employment Area lands to the east;</w:t>
      </w:r>
    </w:p>
    <w:p w14:paraId="596D4C5D" w14:textId="77777777" w:rsidR="000315E1" w:rsidRPr="000315E1" w:rsidRDefault="000315E1" w:rsidP="00456E54">
      <w:pPr>
        <w:pStyle w:val="DecisionBody"/>
        <w:numPr>
          <w:ilvl w:val="0"/>
          <w:numId w:val="0"/>
        </w:numPr>
        <w:spacing w:beforeLines="0" w:before="0" w:afterLines="0" w:after="0"/>
        <w:rPr>
          <w:iCs/>
          <w:lang w:val="en-US"/>
        </w:rPr>
      </w:pPr>
    </w:p>
    <w:p w14:paraId="26B029C5" w14:textId="15400312" w:rsidR="00447901" w:rsidRDefault="00447901" w:rsidP="00C840A9">
      <w:pPr>
        <w:pStyle w:val="DecisionBody"/>
        <w:numPr>
          <w:ilvl w:val="0"/>
          <w:numId w:val="85"/>
        </w:numPr>
        <w:spacing w:beforeLines="0" w:before="0" w:afterLines="0" w:after="0"/>
        <w:ind w:left="1260" w:hanging="540"/>
        <w:rPr>
          <w:iCs/>
          <w:lang w:val="en-US"/>
        </w:rPr>
      </w:pPr>
      <w:r w:rsidRPr="00447901">
        <w:rPr>
          <w:iCs/>
          <w:lang w:val="en-US"/>
        </w:rPr>
        <w:t>any development with residential units must maintain or increase non-residential GFA beyond what exists on the site in 2021 (5,154 sq m);</w:t>
      </w:r>
    </w:p>
    <w:p w14:paraId="72CBAA6C" w14:textId="77777777" w:rsidR="00C840A9" w:rsidRPr="00447901" w:rsidRDefault="00C840A9" w:rsidP="00C840A9">
      <w:pPr>
        <w:pStyle w:val="DecisionBody"/>
        <w:numPr>
          <w:ilvl w:val="0"/>
          <w:numId w:val="0"/>
        </w:numPr>
        <w:spacing w:beforeLines="0" w:before="0" w:afterLines="0" w:after="0"/>
        <w:rPr>
          <w:iCs/>
          <w:lang w:val="en-US"/>
        </w:rPr>
      </w:pPr>
    </w:p>
    <w:p w14:paraId="4F3F3438" w14:textId="53C281F6" w:rsidR="00447901" w:rsidRDefault="00447901" w:rsidP="00C840A9">
      <w:pPr>
        <w:pStyle w:val="DecisionBody"/>
        <w:numPr>
          <w:ilvl w:val="0"/>
          <w:numId w:val="85"/>
        </w:numPr>
        <w:spacing w:beforeLines="0" w:before="0" w:afterLines="0" w:after="0"/>
        <w:ind w:left="1260" w:hanging="540"/>
        <w:rPr>
          <w:iCs/>
          <w:lang w:val="en-US"/>
        </w:rPr>
      </w:pPr>
      <w:r w:rsidRPr="00447901">
        <w:rPr>
          <w:iCs/>
          <w:lang w:val="en-US"/>
        </w:rPr>
        <w:t xml:space="preserve">an environmental study in addition to those required under section 4.10.3 of the province's D-6 Guidelines for Compatibility Between Industrial Facilities </w:t>
      </w:r>
      <w:r w:rsidRPr="00447901">
        <w:rPr>
          <w:iCs/>
          <w:lang w:val="en-US"/>
        </w:rPr>
        <w:lastRenderedPageBreak/>
        <w:t>and Sensitive Land Uses, to the satisfaction of the City</w:t>
      </w:r>
      <w:r w:rsidR="00914F53">
        <w:rPr>
          <w:iCs/>
          <w:lang w:val="en-US"/>
        </w:rPr>
        <w:t xml:space="preserve"> of Toronto</w:t>
      </w:r>
      <w:r w:rsidRPr="00447901">
        <w:rPr>
          <w:iCs/>
          <w:lang w:val="en-US"/>
        </w:rPr>
        <w:t xml:space="preserve"> and the Ministry, and subject to any resulting conditions and requirements;</w:t>
      </w:r>
    </w:p>
    <w:p w14:paraId="2F44C1EA" w14:textId="77777777" w:rsidR="00C840A9" w:rsidRPr="00447901" w:rsidRDefault="00C840A9" w:rsidP="00C840A9">
      <w:pPr>
        <w:pStyle w:val="DecisionBody"/>
        <w:numPr>
          <w:ilvl w:val="0"/>
          <w:numId w:val="0"/>
        </w:numPr>
        <w:spacing w:beforeLines="0" w:before="0" w:afterLines="0" w:after="0"/>
        <w:rPr>
          <w:iCs/>
          <w:lang w:val="en-US"/>
        </w:rPr>
      </w:pPr>
    </w:p>
    <w:p w14:paraId="4A30B226" w14:textId="5CF9B852" w:rsidR="00447901" w:rsidRPr="00447901" w:rsidRDefault="00447901" w:rsidP="000315E1">
      <w:pPr>
        <w:pStyle w:val="DecisionBody"/>
        <w:numPr>
          <w:ilvl w:val="0"/>
          <w:numId w:val="85"/>
        </w:numPr>
        <w:spacing w:beforeLines="0" w:before="0" w:afterLines="0" w:after="0"/>
        <w:ind w:left="1260" w:hanging="540"/>
        <w:rPr>
          <w:iCs/>
          <w:lang w:val="en-US"/>
        </w:rPr>
      </w:pPr>
      <w:r w:rsidRPr="00447901">
        <w:rPr>
          <w:iCs/>
          <w:lang w:val="en-US"/>
        </w:rPr>
        <w:t>demonstrate to the satisfaction of the City</w:t>
      </w:r>
      <w:r w:rsidR="00914F53">
        <w:rPr>
          <w:iCs/>
          <w:lang w:val="en-US"/>
        </w:rPr>
        <w:t xml:space="preserve"> of Toronto</w:t>
      </w:r>
      <w:r w:rsidRPr="00447901">
        <w:rPr>
          <w:iCs/>
          <w:lang w:val="en-US"/>
        </w:rPr>
        <w:t xml:space="preserve"> that existing or planned infrastructure and public service facilities will accommodate the proposed uses; and</w:t>
      </w:r>
      <w:r w:rsidR="00DD170A">
        <w:rPr>
          <w:iCs/>
          <w:lang w:val="en-US"/>
        </w:rPr>
        <w:t xml:space="preserve"> </w:t>
      </w:r>
      <w:r w:rsidRPr="00447901">
        <w:rPr>
          <w:iCs/>
          <w:lang w:val="en-US"/>
        </w:rPr>
        <w:t>apply Urban Design Guidelines for appropriate built form.</w:t>
      </w:r>
    </w:p>
    <w:p w14:paraId="30CB47E7" w14:textId="771120FD" w:rsidR="00447901" w:rsidRDefault="00C840A9" w:rsidP="00DD170A">
      <w:pPr>
        <w:pStyle w:val="DecisionBody"/>
        <w:numPr>
          <w:ilvl w:val="0"/>
          <w:numId w:val="0"/>
        </w:numPr>
        <w:spacing w:beforeLines="0" w:before="0" w:afterLines="0" w:after="0"/>
        <w:rPr>
          <w:b/>
          <w:iCs/>
          <w:lang w:val="en-US"/>
        </w:rPr>
      </w:pPr>
      <w:bookmarkStart w:id="6" w:name="Preliminary_Concept_Plan"/>
      <w:bookmarkEnd w:id="6"/>
      <w:r>
        <w:rPr>
          <w:b/>
          <w:iCs/>
          <w:lang w:val="en-US"/>
        </w:rPr>
        <w:br/>
      </w:r>
      <w:r w:rsidR="00447901" w:rsidRPr="00447901">
        <w:rPr>
          <w:b/>
          <w:iCs/>
          <w:lang w:val="en-US"/>
        </w:rPr>
        <w:t>Preliminary Concept Plan</w:t>
      </w:r>
    </w:p>
    <w:p w14:paraId="619A5406" w14:textId="77777777" w:rsidR="00C840A9" w:rsidRPr="00447901" w:rsidRDefault="00C840A9" w:rsidP="00DD170A">
      <w:pPr>
        <w:pStyle w:val="DecisionBody"/>
        <w:numPr>
          <w:ilvl w:val="0"/>
          <w:numId w:val="0"/>
        </w:numPr>
        <w:spacing w:beforeLines="0" w:before="0" w:afterLines="0" w:after="0"/>
        <w:rPr>
          <w:b/>
          <w:iCs/>
          <w:lang w:val="en-US"/>
        </w:rPr>
      </w:pPr>
    </w:p>
    <w:p w14:paraId="611B150A" w14:textId="6353A159" w:rsidR="00447901" w:rsidRDefault="00447901" w:rsidP="00DD170A">
      <w:pPr>
        <w:pStyle w:val="DecisionBody"/>
        <w:spacing w:beforeLines="0" w:before="0" w:afterLines="0" w:after="0"/>
        <w:rPr>
          <w:iCs/>
          <w:lang w:val="en-US"/>
        </w:rPr>
      </w:pPr>
      <w:r w:rsidRPr="00447901">
        <w:rPr>
          <w:iCs/>
          <w:lang w:val="en-US"/>
        </w:rPr>
        <w:t>As part of Choice’s Conversion Request, a Preliminary Concept Plan (Exhibit 1C, Tab 37) was prepared, for the proposed intensification and a range of supportive uses. This includes six towers from 18 storeys to 35 storeys above podiums, with 1,716 dwelling units. As required, a range of unit types and sizes is contemplated, with a target of 60% one-bedroom, 30% two-bedroom and 10% three-bedroom units. While retaining the existing commercial GFA with possible grocery uses, it expands the GFA for retail/commercial uses on the ground floors to approximately 6,168 sq m (66,392 sq ft). It would also create a buffer from abutting employment uses, particularly to the east where a 15 m setback is maintained. The concept plan would maintain the connections to the surrounding uses in the existing commercial node, including the vehicular connection to the commercial plaza to the south.</w:t>
      </w:r>
    </w:p>
    <w:p w14:paraId="3C960D9F" w14:textId="77777777" w:rsidR="00C840A9" w:rsidRPr="00447901" w:rsidRDefault="00C840A9" w:rsidP="00C840A9">
      <w:pPr>
        <w:pStyle w:val="DecisionBody"/>
        <w:numPr>
          <w:ilvl w:val="0"/>
          <w:numId w:val="0"/>
        </w:numPr>
        <w:spacing w:beforeLines="0" w:before="0" w:afterLines="0" w:after="0"/>
        <w:rPr>
          <w:iCs/>
          <w:lang w:val="en-US"/>
        </w:rPr>
      </w:pPr>
    </w:p>
    <w:p w14:paraId="7852B0F6" w14:textId="1A61BB8F" w:rsidR="00447901" w:rsidRDefault="00447901" w:rsidP="00DD170A">
      <w:pPr>
        <w:pStyle w:val="DecisionBody"/>
        <w:spacing w:beforeLines="0" w:before="0" w:afterLines="0" w:after="0"/>
        <w:rPr>
          <w:iCs/>
          <w:lang w:val="en-US"/>
        </w:rPr>
      </w:pPr>
      <w:r w:rsidRPr="00447901">
        <w:rPr>
          <w:iCs/>
          <w:lang w:val="en-US"/>
        </w:rPr>
        <w:t>If redesignated to Mixed Use Area, other approvals would</w:t>
      </w:r>
      <w:r w:rsidR="00E140C0">
        <w:rPr>
          <w:iCs/>
          <w:lang w:val="en-US"/>
        </w:rPr>
        <w:t>,</w:t>
      </w:r>
      <w:r w:rsidRPr="00447901">
        <w:rPr>
          <w:iCs/>
          <w:lang w:val="en-US"/>
        </w:rPr>
        <w:t xml:space="preserve"> of course</w:t>
      </w:r>
      <w:r w:rsidR="00E140C0">
        <w:rPr>
          <w:iCs/>
          <w:lang w:val="en-US"/>
        </w:rPr>
        <w:t>,</w:t>
      </w:r>
      <w:r w:rsidRPr="00447901">
        <w:rPr>
          <w:iCs/>
          <w:lang w:val="en-US"/>
        </w:rPr>
        <w:t xml:space="preserve"> be required. The preliminary concept plan must be refined, by additional technical studies and feedback from City</w:t>
      </w:r>
      <w:r w:rsidR="00914F53">
        <w:rPr>
          <w:iCs/>
          <w:lang w:val="en-US"/>
        </w:rPr>
        <w:t xml:space="preserve"> of Toronto</w:t>
      </w:r>
      <w:r w:rsidRPr="00447901">
        <w:rPr>
          <w:iCs/>
          <w:lang w:val="en-US"/>
        </w:rPr>
        <w:t xml:space="preserve"> Staff, Council and the local community</w:t>
      </w:r>
      <w:r w:rsidR="00D779A5">
        <w:rPr>
          <w:iCs/>
          <w:lang w:val="en-US"/>
        </w:rPr>
        <w:t>,</w:t>
      </w:r>
      <w:r w:rsidRPr="00447901">
        <w:rPr>
          <w:iCs/>
          <w:lang w:val="en-US"/>
        </w:rPr>
        <w:t xml:space="preserve"> following a development application.</w:t>
      </w:r>
      <w:bookmarkStart w:id="7" w:name="Technical_Studies"/>
      <w:bookmarkEnd w:id="7"/>
    </w:p>
    <w:p w14:paraId="6523E336" w14:textId="77777777" w:rsidR="00D779A5" w:rsidRDefault="00D779A5" w:rsidP="00BC0DCF">
      <w:pPr>
        <w:pStyle w:val="DecisionBody"/>
        <w:numPr>
          <w:ilvl w:val="0"/>
          <w:numId w:val="0"/>
        </w:numPr>
        <w:spacing w:beforeLines="0" w:before="0" w:afterLines="0" w:after="0"/>
        <w:rPr>
          <w:iCs/>
          <w:lang w:val="en-US"/>
        </w:rPr>
      </w:pPr>
    </w:p>
    <w:p w14:paraId="175BC0FC" w14:textId="0DFC21B3" w:rsidR="00447901" w:rsidRDefault="00447901" w:rsidP="00DD170A">
      <w:pPr>
        <w:pStyle w:val="DecisionBody"/>
        <w:numPr>
          <w:ilvl w:val="0"/>
          <w:numId w:val="0"/>
        </w:numPr>
        <w:spacing w:beforeLines="0" w:before="0" w:afterLines="0" w:after="0"/>
        <w:rPr>
          <w:b/>
          <w:iCs/>
          <w:lang w:val="en-US"/>
        </w:rPr>
      </w:pPr>
      <w:r w:rsidRPr="00447901">
        <w:rPr>
          <w:b/>
          <w:iCs/>
          <w:lang w:val="en-US"/>
        </w:rPr>
        <w:t>Technical Studies</w:t>
      </w:r>
    </w:p>
    <w:p w14:paraId="1CA58E12" w14:textId="77777777" w:rsidR="00C840A9" w:rsidRPr="00447901" w:rsidRDefault="00C840A9" w:rsidP="00DD170A">
      <w:pPr>
        <w:pStyle w:val="DecisionBody"/>
        <w:numPr>
          <w:ilvl w:val="0"/>
          <w:numId w:val="0"/>
        </w:numPr>
        <w:spacing w:beforeLines="0" w:before="0" w:afterLines="0" w:after="0"/>
        <w:rPr>
          <w:iCs/>
          <w:lang w:val="en-US"/>
        </w:rPr>
      </w:pPr>
    </w:p>
    <w:p w14:paraId="4F6920BF" w14:textId="1ECB7419" w:rsidR="00447901" w:rsidRDefault="00447901" w:rsidP="00DD170A">
      <w:pPr>
        <w:pStyle w:val="DecisionBody"/>
        <w:spacing w:beforeLines="0" w:before="0" w:afterLines="0" w:after="0"/>
        <w:rPr>
          <w:iCs/>
          <w:lang w:val="en-US"/>
        </w:rPr>
      </w:pPr>
      <w:r w:rsidRPr="00447901">
        <w:rPr>
          <w:iCs/>
          <w:lang w:val="en-US"/>
        </w:rPr>
        <w:t xml:space="preserve">The Conversion Request of July 2021 was supported by many technical studies (as set out above) that the Appellants rely on </w:t>
      </w:r>
      <w:r w:rsidR="00D779A5">
        <w:rPr>
          <w:iCs/>
          <w:lang w:val="en-US"/>
        </w:rPr>
        <w:t xml:space="preserve">how </w:t>
      </w:r>
      <w:r w:rsidRPr="00447901">
        <w:rPr>
          <w:iCs/>
          <w:lang w:val="en-US"/>
        </w:rPr>
        <w:t xml:space="preserve">to propose a Mixed Use Areas designation with a SASP.  These include a Compatibility and Mitigation Study by SLR Consulting </w:t>
      </w:r>
      <w:r w:rsidRPr="00447901">
        <w:rPr>
          <w:iCs/>
          <w:lang w:val="en-US"/>
        </w:rPr>
        <w:lastRenderedPageBreak/>
        <w:t xml:space="preserve">(Canada) Ltd. in July 2021 (the “SLR Study”). It examined potentially sensitive uses (these include residential) on the Choice Lands, under the subjects of air quality, dust, odour, noise, and vibration impacts. It concluded that any conversion request merely establishes use. The detailed design phase would address compatibility and mitigation. The </w:t>
      </w:r>
      <w:r w:rsidR="00D779A5">
        <w:rPr>
          <w:iCs/>
          <w:lang w:val="en-US"/>
        </w:rPr>
        <w:t xml:space="preserve">SLR </w:t>
      </w:r>
      <w:r w:rsidRPr="00447901">
        <w:rPr>
          <w:iCs/>
          <w:lang w:val="en-US"/>
        </w:rPr>
        <w:t>Study recommended warning clauses on title and in purchase and sale documents about dust and other industrial emissions.  For noise above the guidelines, it foresaw either receptor- or source-based mitigation, because of the presence of industrial operations as well as the rail corridor to the west.  Vibration impacts were not considered to have adverse impacts.</w:t>
      </w:r>
    </w:p>
    <w:p w14:paraId="64E65CBE" w14:textId="77777777" w:rsidR="00C840A9" w:rsidRPr="00447901" w:rsidRDefault="00C840A9" w:rsidP="00C840A9">
      <w:pPr>
        <w:pStyle w:val="DecisionBody"/>
        <w:numPr>
          <w:ilvl w:val="0"/>
          <w:numId w:val="0"/>
        </w:numPr>
        <w:spacing w:beforeLines="0" w:before="0" w:afterLines="0" w:after="0"/>
        <w:rPr>
          <w:iCs/>
          <w:lang w:val="en-US"/>
        </w:rPr>
      </w:pPr>
    </w:p>
    <w:p w14:paraId="76FBDB1A" w14:textId="6DE02463" w:rsidR="00447901" w:rsidRDefault="00447901" w:rsidP="00DD170A">
      <w:pPr>
        <w:pStyle w:val="DecisionBody"/>
        <w:spacing w:beforeLines="0" w:before="0" w:afterLines="0" w:after="0"/>
        <w:rPr>
          <w:iCs/>
          <w:lang w:val="en-US"/>
        </w:rPr>
      </w:pPr>
      <w:r w:rsidRPr="00447901">
        <w:rPr>
          <w:iCs/>
          <w:lang w:val="en-US"/>
        </w:rPr>
        <w:t>The SLR Study concluded that there would be no issue with compliance with provincial environmental policies, regulations, approvals, authorizations, and guidelines, including the City</w:t>
      </w:r>
      <w:r w:rsidR="00D779A5">
        <w:rPr>
          <w:iCs/>
          <w:lang w:val="en-US"/>
        </w:rPr>
        <w:t xml:space="preserve"> of Toronto</w:t>
      </w:r>
      <w:r w:rsidRPr="00447901">
        <w:rPr>
          <w:iCs/>
          <w:lang w:val="en-US"/>
        </w:rPr>
        <w:t>’s Noise By</w:t>
      </w:r>
      <w:r w:rsidR="00D779A5">
        <w:rPr>
          <w:iCs/>
          <w:lang w:val="en-US"/>
        </w:rPr>
        <w:t>-</w:t>
      </w:r>
      <w:r w:rsidRPr="00447901">
        <w:rPr>
          <w:iCs/>
          <w:lang w:val="en-US"/>
        </w:rPr>
        <w:t xml:space="preserve">law, provided appropriate mitigation is included.  This included the requirements of </w:t>
      </w:r>
      <w:r w:rsidR="00D779A5">
        <w:rPr>
          <w:iCs/>
          <w:lang w:val="en-US"/>
        </w:rPr>
        <w:t xml:space="preserve">the </w:t>
      </w:r>
      <w:r w:rsidRPr="00447901">
        <w:rPr>
          <w:iCs/>
          <w:lang w:val="en-US"/>
        </w:rPr>
        <w:t>M</w:t>
      </w:r>
      <w:r w:rsidR="00D779A5">
        <w:rPr>
          <w:iCs/>
          <w:lang w:val="en-US"/>
        </w:rPr>
        <w:t xml:space="preserve">inistry of </w:t>
      </w:r>
      <w:r w:rsidRPr="00447901">
        <w:rPr>
          <w:iCs/>
          <w:lang w:val="en-US"/>
        </w:rPr>
        <w:t>E</w:t>
      </w:r>
      <w:r w:rsidR="00D779A5">
        <w:rPr>
          <w:iCs/>
          <w:lang w:val="en-US"/>
        </w:rPr>
        <w:t>nvironment, Conservation and Parks</w:t>
      </w:r>
      <w:r w:rsidRPr="00447901">
        <w:rPr>
          <w:iCs/>
          <w:lang w:val="en-US"/>
        </w:rPr>
        <w:t xml:space="preserve"> Guideline D-6 (Exhibit 1, Tab 20), </w:t>
      </w:r>
      <w:r w:rsidR="00D779A5">
        <w:rPr>
          <w:iCs/>
          <w:lang w:val="en-US"/>
        </w:rPr>
        <w:t xml:space="preserve">Ontario </w:t>
      </w:r>
      <w:r w:rsidRPr="00447901">
        <w:rPr>
          <w:iCs/>
          <w:lang w:val="en-US"/>
        </w:rPr>
        <w:t>Regulation 419/05, and Publication NPC300.</w:t>
      </w:r>
      <w:bookmarkStart w:id="8" w:name="Employment_Conversion_Review"/>
      <w:bookmarkEnd w:id="8"/>
    </w:p>
    <w:p w14:paraId="0A94310C" w14:textId="77777777" w:rsidR="00C840A9" w:rsidRPr="00447901" w:rsidRDefault="00C840A9" w:rsidP="00C840A9">
      <w:pPr>
        <w:pStyle w:val="DecisionBody"/>
        <w:numPr>
          <w:ilvl w:val="0"/>
          <w:numId w:val="0"/>
        </w:numPr>
        <w:spacing w:beforeLines="0" w:before="0" w:afterLines="0" w:after="0"/>
        <w:rPr>
          <w:iCs/>
          <w:lang w:val="en-US"/>
        </w:rPr>
      </w:pPr>
    </w:p>
    <w:p w14:paraId="3272E489" w14:textId="046C1125" w:rsidR="00447901" w:rsidRPr="00447901" w:rsidRDefault="00447901" w:rsidP="00DD170A">
      <w:pPr>
        <w:pStyle w:val="DecisionBody"/>
        <w:spacing w:beforeLines="0" w:before="0" w:afterLines="0" w:after="0"/>
        <w:rPr>
          <w:iCs/>
          <w:lang w:val="en-US"/>
        </w:rPr>
      </w:pPr>
      <w:r w:rsidRPr="00447901">
        <w:rPr>
          <w:iCs/>
          <w:lang w:val="en-US"/>
        </w:rPr>
        <w:t xml:space="preserve">The issue of an employment conversion was dealt with by N. Barry Lyon Consultants (“NBLC”) for the owner, prepared by the witness </w:t>
      </w:r>
      <w:r w:rsidR="00DC1D26">
        <w:rPr>
          <w:iCs/>
          <w:lang w:val="en-US"/>
        </w:rPr>
        <w:t>Nick</w:t>
      </w:r>
      <w:r w:rsidRPr="00447901">
        <w:rPr>
          <w:iCs/>
          <w:lang w:val="en-US"/>
        </w:rPr>
        <w:t xml:space="preserve"> Michael (see below).  This report (Exhibit 8, Tab B) noted the requirements in planning documents to retain employment lands, including the </w:t>
      </w:r>
      <w:r w:rsidR="00A56038">
        <w:rPr>
          <w:iCs/>
          <w:lang w:val="en-US"/>
        </w:rPr>
        <w:t>MEA</w:t>
      </w:r>
      <w:r w:rsidRPr="00447901">
        <w:rPr>
          <w:iCs/>
          <w:lang w:val="en-US"/>
        </w:rPr>
        <w:t xml:space="preserve">, a healthy employment node. There are instances, however, where it is appropriate to consider employment conversions to a Mixed Use </w:t>
      </w:r>
      <w:r w:rsidR="00D779A5">
        <w:rPr>
          <w:iCs/>
          <w:lang w:val="en-US"/>
        </w:rPr>
        <w:t xml:space="preserve">Area </w:t>
      </w:r>
      <w:r w:rsidRPr="00447901">
        <w:rPr>
          <w:iCs/>
          <w:lang w:val="en-US"/>
        </w:rPr>
        <w:t xml:space="preserve">designation, he testified.  For the Choice </w:t>
      </w:r>
      <w:r w:rsidR="00D779A5">
        <w:rPr>
          <w:iCs/>
          <w:lang w:val="en-US"/>
        </w:rPr>
        <w:t>Lands</w:t>
      </w:r>
      <w:r w:rsidRPr="00447901">
        <w:rPr>
          <w:iCs/>
          <w:lang w:val="en-US"/>
        </w:rPr>
        <w:t xml:space="preserve">, these are the reasons given </w:t>
      </w:r>
      <w:r w:rsidR="00A56038">
        <w:rPr>
          <w:iCs/>
          <w:lang w:val="en-US"/>
        </w:rPr>
        <w:t>by</w:t>
      </w:r>
      <w:r w:rsidR="00A56038" w:rsidRPr="00447901">
        <w:rPr>
          <w:iCs/>
          <w:lang w:val="en-US"/>
        </w:rPr>
        <w:t xml:space="preserve"> </w:t>
      </w:r>
      <w:r w:rsidRPr="00447901">
        <w:rPr>
          <w:iCs/>
          <w:lang w:val="en-US"/>
        </w:rPr>
        <w:t>the NBLC approval of this conversion:</w:t>
      </w:r>
    </w:p>
    <w:p w14:paraId="1CEE1078" w14:textId="77777777" w:rsidR="00C840A9" w:rsidRDefault="00C840A9" w:rsidP="00DD170A">
      <w:pPr>
        <w:pStyle w:val="DecisionBody"/>
        <w:numPr>
          <w:ilvl w:val="0"/>
          <w:numId w:val="0"/>
        </w:numPr>
        <w:spacing w:beforeLines="0" w:before="0" w:afterLines="0" w:after="0"/>
        <w:rPr>
          <w:iCs/>
          <w:lang w:val="en-US"/>
        </w:rPr>
      </w:pPr>
    </w:p>
    <w:p w14:paraId="0DEB957B" w14:textId="40DA768F" w:rsidR="00C840A9" w:rsidRDefault="00447901" w:rsidP="00A90E38">
      <w:pPr>
        <w:pStyle w:val="DecisionBody"/>
        <w:numPr>
          <w:ilvl w:val="0"/>
          <w:numId w:val="86"/>
        </w:numPr>
        <w:spacing w:beforeLines="0" w:before="0" w:afterLines="0" w:after="0"/>
        <w:rPr>
          <w:iCs/>
          <w:lang w:val="en-US"/>
        </w:rPr>
      </w:pPr>
      <w:r w:rsidRPr="00447901">
        <w:rPr>
          <w:iCs/>
          <w:lang w:val="en-US"/>
        </w:rPr>
        <w:t>Improved higher-order transit will impact the land economics here. Heavy industrial operators will likely seek other locations in the City more appropriate to their function;</w:t>
      </w:r>
    </w:p>
    <w:p w14:paraId="047159E0" w14:textId="77777777" w:rsidR="00D779A5" w:rsidRPr="00A90E38" w:rsidRDefault="00D779A5" w:rsidP="000315E1">
      <w:pPr>
        <w:pStyle w:val="DecisionBody"/>
        <w:numPr>
          <w:ilvl w:val="0"/>
          <w:numId w:val="0"/>
        </w:numPr>
        <w:spacing w:beforeLines="0" w:before="0" w:afterLines="0" w:after="0"/>
        <w:ind w:left="1080"/>
        <w:rPr>
          <w:iCs/>
          <w:lang w:val="en-US"/>
        </w:rPr>
      </w:pPr>
    </w:p>
    <w:p w14:paraId="709E1105" w14:textId="458B7E07" w:rsidR="00C840A9" w:rsidRDefault="00447901" w:rsidP="000315E1">
      <w:pPr>
        <w:pStyle w:val="DecisionBody"/>
        <w:numPr>
          <w:ilvl w:val="0"/>
          <w:numId w:val="0"/>
        </w:numPr>
        <w:spacing w:beforeLines="0" w:before="0" w:afterLines="0" w:after="0"/>
        <w:ind w:left="1080" w:hanging="360"/>
        <w:rPr>
          <w:iCs/>
          <w:lang w:val="en-US"/>
        </w:rPr>
      </w:pPr>
      <w:r w:rsidRPr="00447901">
        <w:rPr>
          <w:iCs/>
          <w:lang w:val="en-US"/>
        </w:rPr>
        <w:t>-</w:t>
      </w:r>
      <w:r w:rsidR="00C840A9">
        <w:rPr>
          <w:iCs/>
          <w:lang w:val="en-US"/>
        </w:rPr>
        <w:tab/>
      </w:r>
      <w:r w:rsidRPr="00447901">
        <w:rPr>
          <w:iCs/>
          <w:lang w:val="en-US"/>
        </w:rPr>
        <w:t xml:space="preserve">From a market and land economics perspective, a MU designation is compatible with the existing retail commercial uses nearby. The General Employment (“GE”) Areas to the south form a buffer from heavier industrial uses in the Core </w:t>
      </w:r>
      <w:r w:rsidRPr="00447901">
        <w:rPr>
          <w:iCs/>
          <w:lang w:val="en-US"/>
        </w:rPr>
        <w:lastRenderedPageBreak/>
        <w:t>Employment Areas further south.  In NBLC’s opinion, Mr. Rodger testified, the introduction of a mixed-use community here would not cause compatibility issues with existing employment uses;</w:t>
      </w:r>
    </w:p>
    <w:p w14:paraId="136EB12E" w14:textId="65B6B8D2" w:rsidR="00456E54" w:rsidRPr="00447901" w:rsidRDefault="00456E54" w:rsidP="000315E1">
      <w:pPr>
        <w:pStyle w:val="DecisionBody"/>
        <w:numPr>
          <w:ilvl w:val="0"/>
          <w:numId w:val="0"/>
        </w:numPr>
        <w:spacing w:beforeLines="0" w:before="0" w:afterLines="0" w:after="0"/>
        <w:ind w:left="1080" w:hanging="360"/>
        <w:rPr>
          <w:iCs/>
          <w:lang w:val="en-US"/>
        </w:rPr>
      </w:pPr>
    </w:p>
    <w:p w14:paraId="4029CBE2" w14:textId="180315AE" w:rsidR="00447901" w:rsidRDefault="00447901" w:rsidP="000315E1">
      <w:pPr>
        <w:pStyle w:val="DecisionBody"/>
        <w:numPr>
          <w:ilvl w:val="0"/>
          <w:numId w:val="86"/>
        </w:numPr>
        <w:spacing w:beforeLines="0" w:before="0" w:afterLines="0" w:after="0"/>
        <w:rPr>
          <w:iCs/>
          <w:lang w:val="en-US"/>
        </w:rPr>
      </w:pPr>
      <w:r w:rsidRPr="00447901">
        <w:rPr>
          <w:iCs/>
          <w:lang w:val="en-US"/>
        </w:rPr>
        <w:t>A development with walkable live-work opportunities will support a larger and more diverse workforce.  Here the job density is very low, and a modest increase in residential and commercial space could lead to a significant increase in jobs.  “A mixed-use development that incorporates both residential and employment space will also allow developers to leverage the transit investment and increasing land values to deliver a transit-oriented development” (Exhibit 7, p. 11); and</w:t>
      </w:r>
      <w:r w:rsidR="00A56038">
        <w:rPr>
          <w:iCs/>
          <w:lang w:val="en-US"/>
        </w:rPr>
        <w:t>,</w:t>
      </w:r>
    </w:p>
    <w:p w14:paraId="083B044D" w14:textId="77777777" w:rsidR="00C840A9" w:rsidRPr="00447901" w:rsidRDefault="00C840A9" w:rsidP="000315E1">
      <w:pPr>
        <w:pStyle w:val="DecisionBody"/>
        <w:numPr>
          <w:ilvl w:val="0"/>
          <w:numId w:val="0"/>
        </w:numPr>
        <w:spacing w:beforeLines="0" w:before="0" w:afterLines="0" w:after="0"/>
        <w:ind w:left="1260" w:hanging="540"/>
        <w:rPr>
          <w:iCs/>
          <w:lang w:val="en-US"/>
        </w:rPr>
      </w:pPr>
    </w:p>
    <w:p w14:paraId="4717EBDB" w14:textId="496383DC" w:rsidR="00C840A9" w:rsidRDefault="00447901" w:rsidP="000315E1">
      <w:pPr>
        <w:pStyle w:val="DecisionBody"/>
        <w:widowControl/>
        <w:numPr>
          <w:ilvl w:val="0"/>
          <w:numId w:val="86"/>
        </w:numPr>
        <w:spacing w:beforeLines="0" w:before="0" w:afterLines="0" w:after="0"/>
        <w:rPr>
          <w:iCs/>
          <w:lang w:val="en-US"/>
        </w:rPr>
      </w:pPr>
      <w:r w:rsidRPr="00447901">
        <w:rPr>
          <w:iCs/>
          <w:lang w:val="en-US"/>
        </w:rPr>
        <w:t xml:space="preserve">If not converted, it is likely that the site will remain underutilized and would not generate an increase in employment levels.… a stand-alone office development would not generate the rents, and industrial users will likely look elsewhere. </w:t>
      </w:r>
    </w:p>
    <w:p w14:paraId="4E0C232F" w14:textId="77777777" w:rsidR="00C840A9" w:rsidRPr="00447901" w:rsidRDefault="00C840A9" w:rsidP="00C840A9">
      <w:pPr>
        <w:pStyle w:val="DecisionBody"/>
        <w:numPr>
          <w:ilvl w:val="0"/>
          <w:numId w:val="0"/>
        </w:numPr>
        <w:spacing w:beforeLines="0" w:before="0" w:afterLines="0" w:after="0"/>
        <w:rPr>
          <w:iCs/>
          <w:lang w:val="en-US"/>
        </w:rPr>
      </w:pPr>
    </w:p>
    <w:p w14:paraId="387F2419" w14:textId="54E73F1F" w:rsidR="00447901" w:rsidRDefault="00447901" w:rsidP="00DD170A">
      <w:pPr>
        <w:pStyle w:val="DecisionBody"/>
        <w:spacing w:beforeLines="0" w:before="0" w:afterLines="0" w:after="0"/>
        <w:rPr>
          <w:iCs/>
          <w:lang w:val="en-US"/>
        </w:rPr>
      </w:pPr>
      <w:r w:rsidRPr="00447901">
        <w:rPr>
          <w:iCs/>
          <w:lang w:val="en-US"/>
        </w:rPr>
        <w:t>Thus, the NBLC report concluded, it is unlikely that market conditions alone would spur a change to a higher-intensity employment use, and this is not a desirable outcome for a site close to higher-order transit.</w:t>
      </w:r>
    </w:p>
    <w:p w14:paraId="466D592F" w14:textId="77777777" w:rsidR="00C840A9" w:rsidRPr="00447901" w:rsidRDefault="00C840A9" w:rsidP="00C840A9">
      <w:pPr>
        <w:pStyle w:val="DecisionBody"/>
        <w:numPr>
          <w:ilvl w:val="0"/>
          <w:numId w:val="0"/>
        </w:numPr>
        <w:spacing w:beforeLines="0" w:before="0" w:afterLines="0" w:after="0"/>
        <w:rPr>
          <w:iCs/>
          <w:lang w:val="en-US"/>
        </w:rPr>
      </w:pPr>
    </w:p>
    <w:p w14:paraId="78ADD3C1" w14:textId="13701821" w:rsidR="00447901" w:rsidRDefault="00447901" w:rsidP="00A90E38">
      <w:pPr>
        <w:pStyle w:val="DecisionBody"/>
        <w:widowControl/>
        <w:spacing w:beforeLines="0" w:before="0" w:afterLines="0" w:after="0"/>
        <w:rPr>
          <w:iCs/>
          <w:lang w:val="en-US"/>
        </w:rPr>
      </w:pPr>
      <w:r w:rsidRPr="00447901">
        <w:rPr>
          <w:iCs/>
          <w:lang w:val="en-US"/>
        </w:rPr>
        <w:t xml:space="preserve">Mr. Rodger then considered the applicable provincial and municipal policy documents, concluding that the applications are consistent with and conform to the PPS and the </w:t>
      </w:r>
      <w:r w:rsidR="00A56038">
        <w:rPr>
          <w:iCs/>
          <w:lang w:val="en-US"/>
        </w:rPr>
        <w:t>GP</w:t>
      </w:r>
      <w:r w:rsidRPr="00447901">
        <w:rPr>
          <w:iCs/>
          <w:lang w:val="en-US"/>
        </w:rPr>
        <w:t xml:space="preserve">.  He also pointed out that the </w:t>
      </w:r>
      <w:r w:rsidR="00A56038">
        <w:rPr>
          <w:iCs/>
          <w:lang w:val="en-US"/>
        </w:rPr>
        <w:t>GP 2006</w:t>
      </w:r>
      <w:r w:rsidRPr="00447901">
        <w:rPr>
          <w:iCs/>
          <w:lang w:val="en-US"/>
        </w:rPr>
        <w:t xml:space="preserve"> (June 2013</w:t>
      </w:r>
      <w:r w:rsidR="00A56038">
        <w:rPr>
          <w:iCs/>
          <w:lang w:val="en-US"/>
        </w:rPr>
        <w:t>,</w:t>
      </w:r>
      <w:r w:rsidRPr="00447901">
        <w:rPr>
          <w:iCs/>
          <w:lang w:val="en-US"/>
        </w:rPr>
        <w:t xml:space="preserve"> Office Consolidation) provides guidance for decisions and growth management policy direction for the Greater Golden Horseshoe to the year 2031. All Tribunal decisions must conform with the </w:t>
      </w:r>
      <w:r w:rsidR="00A56038">
        <w:rPr>
          <w:iCs/>
          <w:lang w:val="en-US"/>
        </w:rPr>
        <w:t>GP</w:t>
      </w:r>
      <w:r w:rsidRPr="00447901">
        <w:rPr>
          <w:iCs/>
          <w:lang w:val="en-US"/>
        </w:rPr>
        <w:t xml:space="preserve">.  (Tribunal note: it is important to recognize that the applicable GP is the 2006, which is referred to by Mr. Rodger here, and not a later version. Other witnesses </w:t>
      </w:r>
      <w:r w:rsidR="00BE7831">
        <w:rPr>
          <w:iCs/>
          <w:lang w:val="en-US"/>
        </w:rPr>
        <w:t xml:space="preserve">wrongly </w:t>
      </w:r>
      <w:r w:rsidRPr="00447901">
        <w:rPr>
          <w:iCs/>
          <w:lang w:val="en-US"/>
        </w:rPr>
        <w:t>based</w:t>
      </w:r>
      <w:r w:rsidR="00BE7831">
        <w:rPr>
          <w:iCs/>
          <w:lang w:val="en-US"/>
        </w:rPr>
        <w:t xml:space="preserve"> </w:t>
      </w:r>
      <w:r w:rsidRPr="00447901">
        <w:rPr>
          <w:iCs/>
          <w:lang w:val="en-US"/>
        </w:rPr>
        <w:t xml:space="preserve">their evaluations on the later-enacted GP, especially respecting higher-order transit.) </w:t>
      </w:r>
    </w:p>
    <w:p w14:paraId="53CE8C4C" w14:textId="77777777" w:rsidR="00C840A9" w:rsidRPr="00447901" w:rsidRDefault="00C840A9" w:rsidP="00C840A9">
      <w:pPr>
        <w:pStyle w:val="DecisionBody"/>
        <w:numPr>
          <w:ilvl w:val="0"/>
          <w:numId w:val="0"/>
        </w:numPr>
        <w:spacing w:beforeLines="0" w:before="0" w:afterLines="0" w:after="0"/>
        <w:rPr>
          <w:iCs/>
          <w:lang w:val="en-US"/>
        </w:rPr>
      </w:pPr>
    </w:p>
    <w:p w14:paraId="615A98FD" w14:textId="2DDD367E" w:rsidR="00C840A9" w:rsidRDefault="00447901" w:rsidP="000315E1">
      <w:pPr>
        <w:pStyle w:val="DecisionBody"/>
        <w:spacing w:beforeLines="0" w:before="0" w:afterLines="0" w:after="0"/>
        <w:rPr>
          <w:iCs/>
          <w:lang w:val="en-US"/>
        </w:rPr>
      </w:pPr>
      <w:r w:rsidRPr="00447901">
        <w:rPr>
          <w:iCs/>
          <w:lang w:val="en-US"/>
        </w:rPr>
        <w:t xml:space="preserve">Considering the 2010 version of the City OP, which applies to this Application for conversion, he opined that the stand-alone retail store leased by Loblaws is indeed a </w:t>
      </w:r>
      <w:r w:rsidRPr="00447901">
        <w:rPr>
          <w:iCs/>
          <w:lang w:val="en-US"/>
        </w:rPr>
        <w:lastRenderedPageBreak/>
        <w:t xml:space="preserve">permitted use under the OP provisions as well as under SASP </w:t>
      </w:r>
      <w:r w:rsidR="00A56038">
        <w:rPr>
          <w:iCs/>
          <w:lang w:val="en-US"/>
        </w:rPr>
        <w:t xml:space="preserve">No. </w:t>
      </w:r>
      <w:r w:rsidRPr="00447901">
        <w:rPr>
          <w:iCs/>
          <w:lang w:val="en-US"/>
        </w:rPr>
        <w:t>133.  However, he concluded that even though the land is within an Employment Area (Map 19), the land is located next to the Milliken GO station. Thus</w:t>
      </w:r>
      <w:r w:rsidR="00A56038">
        <w:rPr>
          <w:iCs/>
          <w:lang w:val="en-US"/>
        </w:rPr>
        <w:t>,</w:t>
      </w:r>
      <w:r w:rsidRPr="00447901">
        <w:rPr>
          <w:iCs/>
          <w:lang w:val="en-US"/>
        </w:rPr>
        <w:t xml:space="preserve"> it is an appropriate location for growth under a MU designation.</w:t>
      </w:r>
    </w:p>
    <w:p w14:paraId="1A805053" w14:textId="77777777" w:rsidR="00456E54" w:rsidRPr="000315E1" w:rsidRDefault="00456E54" w:rsidP="00456E54">
      <w:pPr>
        <w:pStyle w:val="DecisionBody"/>
        <w:numPr>
          <w:ilvl w:val="0"/>
          <w:numId w:val="0"/>
        </w:numPr>
        <w:spacing w:beforeLines="0" w:before="0" w:afterLines="0" w:after="0"/>
        <w:rPr>
          <w:iCs/>
          <w:lang w:val="en-US"/>
        </w:rPr>
      </w:pPr>
    </w:p>
    <w:p w14:paraId="02431ABA" w14:textId="7FB44260" w:rsidR="00DC1D26" w:rsidRPr="00BC0DCF" w:rsidRDefault="00447901" w:rsidP="00BC0DCF">
      <w:pPr>
        <w:pStyle w:val="DecisionBody"/>
        <w:spacing w:beforeLines="0" w:before="0" w:afterLines="0" w:after="0"/>
        <w:rPr>
          <w:bCs w:val="0"/>
          <w:iCs/>
        </w:rPr>
      </w:pPr>
      <w:r w:rsidRPr="00447901">
        <w:rPr>
          <w:iCs/>
          <w:lang w:val="en-US"/>
        </w:rPr>
        <w:t>The non-policy introduction to s</w:t>
      </w:r>
      <w:r w:rsidR="00A56038">
        <w:rPr>
          <w:iCs/>
          <w:lang w:val="en-US"/>
        </w:rPr>
        <w:t>.</w:t>
      </w:r>
      <w:r w:rsidRPr="00447901">
        <w:rPr>
          <w:iCs/>
          <w:lang w:val="en-US"/>
        </w:rPr>
        <w:t xml:space="preserve"> 2.2.4 of the OP </w:t>
      </w:r>
      <w:r w:rsidR="00A56038" w:rsidRPr="00447901">
        <w:rPr>
          <w:iCs/>
          <w:lang w:val="en-US"/>
        </w:rPr>
        <w:t xml:space="preserve">2010 </w:t>
      </w:r>
      <w:r w:rsidRPr="00447901">
        <w:rPr>
          <w:iCs/>
          <w:lang w:val="en-US"/>
        </w:rPr>
        <w:t xml:space="preserve">provides that once lands are lost to economic activity, for example where they become residential, it is almost impossible to return them to commercial or industrial uses.  Mr. Rodger counters this by stating that the MU designation and the proposed SASP would require the </w:t>
      </w:r>
      <w:r w:rsidRPr="00447901">
        <w:rPr>
          <w:i/>
          <w:iCs/>
          <w:lang w:val="en-US"/>
        </w:rPr>
        <w:t>existing non-residential GFA</w:t>
      </w:r>
      <w:r w:rsidRPr="00447901">
        <w:rPr>
          <w:iCs/>
          <w:lang w:val="en-US"/>
        </w:rPr>
        <w:t xml:space="preserve"> to be retained.</w:t>
      </w:r>
    </w:p>
    <w:p w14:paraId="3FFFE6F4" w14:textId="77777777" w:rsidR="00BC0DCF" w:rsidRDefault="00BC0DCF" w:rsidP="00BC0DCF">
      <w:pPr>
        <w:pStyle w:val="DecisionBody"/>
        <w:numPr>
          <w:ilvl w:val="0"/>
          <w:numId w:val="0"/>
        </w:numPr>
        <w:spacing w:beforeLines="0" w:before="0" w:afterLines="0" w:after="0"/>
        <w:rPr>
          <w:bCs w:val="0"/>
          <w:iCs/>
        </w:rPr>
      </w:pPr>
    </w:p>
    <w:p w14:paraId="50B09919" w14:textId="77777777" w:rsidR="00DC1D26" w:rsidRPr="00447901" w:rsidRDefault="00DC1D26" w:rsidP="00DC1D26">
      <w:pPr>
        <w:pStyle w:val="DecisionBody"/>
        <w:spacing w:beforeLines="0" w:before="0" w:afterLines="0" w:after="0"/>
        <w:rPr>
          <w:iCs/>
          <w:lang w:val="en-US"/>
        </w:rPr>
      </w:pPr>
      <w:r w:rsidRPr="00447901">
        <w:rPr>
          <w:iCs/>
          <w:lang w:val="en-US"/>
        </w:rPr>
        <w:t xml:space="preserve">He finds from the SLR Study that the proposed MU designation is compatible with surrounding uses, and that appropriate separation/buffering can be achieved. </w:t>
      </w:r>
    </w:p>
    <w:p w14:paraId="7E2AD83C" w14:textId="77777777" w:rsidR="00C840A9" w:rsidRPr="00447901" w:rsidRDefault="00C840A9" w:rsidP="00C840A9">
      <w:pPr>
        <w:pStyle w:val="DecisionBody"/>
        <w:numPr>
          <w:ilvl w:val="0"/>
          <w:numId w:val="0"/>
        </w:numPr>
        <w:spacing w:beforeLines="0" w:before="0" w:afterLines="0" w:after="0"/>
        <w:rPr>
          <w:iCs/>
          <w:lang w:val="en-US"/>
        </w:rPr>
      </w:pPr>
    </w:p>
    <w:p w14:paraId="76B5166B" w14:textId="34969983" w:rsidR="00447901" w:rsidRDefault="00447901" w:rsidP="00DD170A">
      <w:pPr>
        <w:pStyle w:val="DecisionBody"/>
        <w:spacing w:beforeLines="0" w:before="0" w:afterLines="0" w:after="0"/>
        <w:rPr>
          <w:iCs/>
          <w:lang w:val="en-US"/>
        </w:rPr>
      </w:pPr>
      <w:r w:rsidRPr="00447901">
        <w:rPr>
          <w:iCs/>
          <w:lang w:val="en-US"/>
        </w:rPr>
        <w:t>His conclusion is:</w:t>
      </w:r>
    </w:p>
    <w:p w14:paraId="108BF528" w14:textId="77777777" w:rsidR="00C840A9" w:rsidRPr="00447901" w:rsidRDefault="00C840A9" w:rsidP="00C840A9">
      <w:pPr>
        <w:pStyle w:val="DecisionBody"/>
        <w:numPr>
          <w:ilvl w:val="0"/>
          <w:numId w:val="0"/>
        </w:numPr>
        <w:spacing w:beforeLines="0" w:before="0" w:afterLines="0" w:after="0"/>
        <w:rPr>
          <w:iCs/>
          <w:lang w:val="en-US"/>
        </w:rPr>
      </w:pPr>
    </w:p>
    <w:p w14:paraId="663BCFD0" w14:textId="77777777" w:rsidR="00841343" w:rsidRDefault="00447901" w:rsidP="00456E54">
      <w:pPr>
        <w:pStyle w:val="DecisionBody"/>
        <w:numPr>
          <w:ilvl w:val="0"/>
          <w:numId w:val="0"/>
        </w:numPr>
        <w:spacing w:beforeLines="0" w:before="0" w:afterLines="0" w:after="0" w:line="240" w:lineRule="auto"/>
        <w:ind w:left="1440" w:right="1080"/>
        <w:rPr>
          <w:iCs/>
          <w:sz w:val="20"/>
          <w:szCs w:val="20"/>
          <w:lang w:val="en-US"/>
        </w:rPr>
      </w:pPr>
      <w:r w:rsidRPr="00377DB9">
        <w:rPr>
          <w:iCs/>
          <w:sz w:val="20"/>
          <w:szCs w:val="20"/>
          <w:lang w:val="en-US"/>
        </w:rPr>
        <w:t xml:space="preserve">….. in my opinion a Mixed Use Areas designation with the proposed SASP is appropriate for the Choice Lands, whereby commercial and residential uses will be provided in mixed use buildings in proximity to Milliken GO Station to meet the needs of the local community. With redevelopment under a Mixed Use Areas designation with the proposed SASP, the Choice Lands will provide for additional density on site and are sufficiently sized in order to provide for transition to the surrounding lands through the application of Urban Design Guidelines that will set out the framework for appropriate built form. </w:t>
      </w:r>
    </w:p>
    <w:p w14:paraId="6E97B551" w14:textId="77777777" w:rsidR="00841343" w:rsidRDefault="00841343" w:rsidP="00841343">
      <w:pPr>
        <w:pStyle w:val="DecisionBody"/>
        <w:numPr>
          <w:ilvl w:val="0"/>
          <w:numId w:val="0"/>
        </w:numPr>
        <w:spacing w:beforeLines="0" w:before="0" w:afterLines="0" w:after="0" w:line="240" w:lineRule="auto"/>
        <w:ind w:right="1080"/>
        <w:rPr>
          <w:iCs/>
          <w:sz w:val="20"/>
          <w:szCs w:val="20"/>
          <w:lang w:val="en-US"/>
        </w:rPr>
      </w:pPr>
    </w:p>
    <w:p w14:paraId="5396BD86" w14:textId="6A919896" w:rsidR="00C840A9" w:rsidRPr="00841343" w:rsidRDefault="00447901" w:rsidP="00841343">
      <w:pPr>
        <w:pStyle w:val="DecisionBody"/>
        <w:numPr>
          <w:ilvl w:val="0"/>
          <w:numId w:val="0"/>
        </w:numPr>
        <w:spacing w:beforeLines="0" w:before="0" w:afterLines="0" w:after="0" w:line="240" w:lineRule="auto"/>
        <w:ind w:right="1080" w:firstLine="720"/>
        <w:rPr>
          <w:iCs/>
          <w:lang w:val="en-US"/>
        </w:rPr>
      </w:pPr>
      <w:r w:rsidRPr="00841343">
        <w:rPr>
          <w:iCs/>
          <w:lang w:val="en-US"/>
        </w:rPr>
        <w:t>(Exhibit 7, para. 65).</w:t>
      </w:r>
    </w:p>
    <w:p w14:paraId="26EC2CE0" w14:textId="77777777" w:rsidR="00456E54" w:rsidRDefault="00456E54" w:rsidP="00456E54">
      <w:pPr>
        <w:pStyle w:val="DecisionBody"/>
        <w:numPr>
          <w:ilvl w:val="0"/>
          <w:numId w:val="0"/>
        </w:numPr>
        <w:spacing w:beforeLines="0" w:before="0" w:afterLines="0" w:after="0"/>
        <w:rPr>
          <w:b/>
          <w:iCs/>
          <w:lang w:val="en-US"/>
        </w:rPr>
      </w:pPr>
    </w:p>
    <w:p w14:paraId="35E37D02" w14:textId="511ED55D" w:rsidR="00447901" w:rsidRDefault="00447901" w:rsidP="00456E54">
      <w:pPr>
        <w:pStyle w:val="DecisionBody"/>
        <w:numPr>
          <w:ilvl w:val="0"/>
          <w:numId w:val="0"/>
        </w:numPr>
        <w:spacing w:beforeLines="0" w:before="0" w:afterLines="0" w:after="0"/>
        <w:rPr>
          <w:b/>
          <w:iCs/>
          <w:lang w:val="en-US"/>
        </w:rPr>
      </w:pPr>
      <w:r w:rsidRPr="00447901">
        <w:rPr>
          <w:b/>
          <w:iCs/>
          <w:lang w:val="en-US"/>
        </w:rPr>
        <w:t xml:space="preserve">Nick Michael – Conversion from a </w:t>
      </w:r>
      <w:r w:rsidR="00DC1D26">
        <w:rPr>
          <w:b/>
          <w:iCs/>
          <w:lang w:val="en-US"/>
        </w:rPr>
        <w:t>M</w:t>
      </w:r>
      <w:r w:rsidRPr="00447901">
        <w:rPr>
          <w:b/>
          <w:iCs/>
          <w:lang w:val="en-US"/>
        </w:rPr>
        <w:t xml:space="preserve">arket and </w:t>
      </w:r>
      <w:r w:rsidR="00DC1D26">
        <w:rPr>
          <w:b/>
          <w:iCs/>
          <w:lang w:val="en-US"/>
        </w:rPr>
        <w:t>L</w:t>
      </w:r>
      <w:r w:rsidRPr="00447901">
        <w:rPr>
          <w:b/>
          <w:iCs/>
          <w:lang w:val="en-US"/>
        </w:rPr>
        <w:t xml:space="preserve">and </w:t>
      </w:r>
      <w:r w:rsidR="00DC1D26">
        <w:rPr>
          <w:b/>
          <w:iCs/>
          <w:lang w:val="en-US"/>
        </w:rPr>
        <w:t>E</w:t>
      </w:r>
      <w:r w:rsidRPr="00447901">
        <w:rPr>
          <w:b/>
          <w:iCs/>
          <w:lang w:val="en-US"/>
        </w:rPr>
        <w:t xml:space="preserve">conomics </w:t>
      </w:r>
      <w:r w:rsidR="00DC1D26">
        <w:rPr>
          <w:b/>
          <w:iCs/>
          <w:lang w:val="en-US"/>
        </w:rPr>
        <w:t>P</w:t>
      </w:r>
      <w:r w:rsidRPr="00447901">
        <w:rPr>
          <w:b/>
          <w:iCs/>
          <w:lang w:val="en-US"/>
        </w:rPr>
        <w:t>erspective</w:t>
      </w:r>
    </w:p>
    <w:p w14:paraId="57E2190A" w14:textId="77777777" w:rsidR="00C840A9" w:rsidRPr="00447901" w:rsidRDefault="00C840A9" w:rsidP="00456E54">
      <w:pPr>
        <w:pStyle w:val="DecisionBody"/>
        <w:numPr>
          <w:ilvl w:val="0"/>
          <w:numId w:val="0"/>
        </w:numPr>
        <w:spacing w:beforeLines="0" w:before="0" w:afterLines="0" w:after="0"/>
        <w:rPr>
          <w:b/>
          <w:iCs/>
          <w:lang w:val="en-US"/>
        </w:rPr>
      </w:pPr>
    </w:p>
    <w:p w14:paraId="666E16A0" w14:textId="0E564524" w:rsidR="00447901" w:rsidRDefault="00447901" w:rsidP="00456E54">
      <w:pPr>
        <w:pStyle w:val="DecisionBody"/>
        <w:spacing w:beforeLines="0" w:before="0" w:afterLines="0" w:after="0"/>
        <w:rPr>
          <w:iCs/>
          <w:lang w:val="en-US"/>
        </w:rPr>
      </w:pPr>
      <w:r w:rsidRPr="00447901">
        <w:rPr>
          <w:iCs/>
          <w:lang w:val="en-US"/>
        </w:rPr>
        <w:t xml:space="preserve">Loblaw </w:t>
      </w:r>
      <w:r w:rsidR="00DC1D26">
        <w:rPr>
          <w:iCs/>
          <w:lang w:val="en-US"/>
        </w:rPr>
        <w:t>and Choice</w:t>
      </w:r>
      <w:r w:rsidRPr="00447901">
        <w:rPr>
          <w:iCs/>
          <w:lang w:val="en-US"/>
        </w:rPr>
        <w:t xml:space="preserve"> also provided the expert testimony of Nick Michael, a professional planner and land economist with NBLC.  His Witness Statement and Report are Exhibit 8 to this Hearing, focusing on economic and market realities for the proposed conversion from GE to MU.  He had prepared the NBLC Report dated June 2021 (Exhibit 8, Tab B).  While employment uses should be retained, appropriate exceptions could and should be made, in his opinion.  Here, he testified, the land economics of the surroundings have changed because of the transit enhancements. The present employment designation </w:t>
      </w:r>
      <w:r w:rsidRPr="00447901">
        <w:rPr>
          <w:iCs/>
          <w:lang w:val="en-US"/>
        </w:rPr>
        <w:lastRenderedPageBreak/>
        <w:t xml:space="preserve">has been undermined. The City’s suggested </w:t>
      </w:r>
      <w:r w:rsidR="00C90ED7">
        <w:rPr>
          <w:iCs/>
          <w:lang w:val="en-US"/>
        </w:rPr>
        <w:t>GE</w:t>
      </w:r>
      <w:r w:rsidRPr="00447901">
        <w:rPr>
          <w:iCs/>
          <w:lang w:val="en-US"/>
        </w:rPr>
        <w:t xml:space="preserve"> designation will not attract the desired uses, but only Office and other services instead.</w:t>
      </w:r>
    </w:p>
    <w:p w14:paraId="2557C031" w14:textId="77777777" w:rsidR="00C840A9" w:rsidRPr="00447901" w:rsidRDefault="00C840A9" w:rsidP="00C840A9">
      <w:pPr>
        <w:pStyle w:val="DecisionBody"/>
        <w:numPr>
          <w:ilvl w:val="0"/>
          <w:numId w:val="0"/>
        </w:numPr>
        <w:spacing w:beforeLines="0" w:before="0" w:afterLines="0" w:after="0"/>
        <w:rPr>
          <w:iCs/>
          <w:lang w:val="en-US"/>
        </w:rPr>
      </w:pPr>
    </w:p>
    <w:p w14:paraId="2866DE8E" w14:textId="0C5410E2" w:rsidR="00447901" w:rsidRDefault="00447901" w:rsidP="000315E1">
      <w:pPr>
        <w:pStyle w:val="DecisionBody"/>
        <w:widowControl/>
        <w:spacing w:beforeLines="0" w:before="0" w:afterLines="0" w:after="0"/>
        <w:rPr>
          <w:iCs/>
          <w:lang w:val="en-US"/>
        </w:rPr>
      </w:pPr>
      <w:r w:rsidRPr="00447901">
        <w:rPr>
          <w:iCs/>
          <w:lang w:val="en-US"/>
        </w:rPr>
        <w:t xml:space="preserve">He stated in evidence that he had concentrated on the current </w:t>
      </w:r>
      <w:r w:rsidR="00C90ED7">
        <w:rPr>
          <w:iCs/>
          <w:lang w:val="en-US"/>
        </w:rPr>
        <w:t>GP</w:t>
      </w:r>
      <w:r w:rsidRPr="00447901">
        <w:rPr>
          <w:iCs/>
          <w:lang w:val="en-US"/>
        </w:rPr>
        <w:t xml:space="preserve">, and not the </w:t>
      </w:r>
      <w:r w:rsidR="00C90ED7">
        <w:rPr>
          <w:iCs/>
          <w:lang w:val="en-US"/>
        </w:rPr>
        <w:t>20</w:t>
      </w:r>
      <w:r w:rsidRPr="00447901">
        <w:rPr>
          <w:iCs/>
          <w:lang w:val="en-US"/>
        </w:rPr>
        <w:t>06 version (Tribunal comment: the 2006 version applies here given the transition regulation, as Mr. Biggart had pointed out).</w:t>
      </w:r>
    </w:p>
    <w:p w14:paraId="3FFBE3B8" w14:textId="77777777" w:rsidR="00C840A9" w:rsidRPr="00447901" w:rsidRDefault="00C840A9" w:rsidP="00C840A9">
      <w:pPr>
        <w:pStyle w:val="DecisionBody"/>
        <w:numPr>
          <w:ilvl w:val="0"/>
          <w:numId w:val="0"/>
        </w:numPr>
        <w:spacing w:beforeLines="0" w:before="0" w:afterLines="0" w:after="0"/>
        <w:rPr>
          <w:iCs/>
          <w:lang w:val="en-US"/>
        </w:rPr>
      </w:pPr>
    </w:p>
    <w:p w14:paraId="50114070" w14:textId="43DE4E23" w:rsidR="00447901" w:rsidRDefault="00447901" w:rsidP="00DD170A">
      <w:pPr>
        <w:pStyle w:val="DecisionBody"/>
        <w:spacing w:beforeLines="0" w:before="0" w:afterLines="0" w:after="0"/>
        <w:rPr>
          <w:iCs/>
          <w:lang w:val="en-US"/>
        </w:rPr>
      </w:pPr>
      <w:r w:rsidRPr="00447901">
        <w:rPr>
          <w:iCs/>
          <w:lang w:val="en-US"/>
        </w:rPr>
        <w:t xml:space="preserve">The content of the NBLC Report is largely described in the </w:t>
      </w:r>
      <w:r w:rsidR="00BE7831">
        <w:rPr>
          <w:iCs/>
          <w:lang w:val="en-US"/>
        </w:rPr>
        <w:t xml:space="preserve">earlier </w:t>
      </w:r>
      <w:r w:rsidRPr="00447901">
        <w:rPr>
          <w:iCs/>
          <w:lang w:val="en-US"/>
        </w:rPr>
        <w:t>evidence of Mr. Rodger</w:t>
      </w:r>
      <w:r w:rsidR="00BE7831">
        <w:rPr>
          <w:iCs/>
          <w:lang w:val="en-US"/>
        </w:rPr>
        <w:t>,</w:t>
      </w:r>
      <w:r w:rsidRPr="00447901">
        <w:rPr>
          <w:iCs/>
          <w:lang w:val="en-US"/>
        </w:rPr>
        <w:t xml:space="preserve"> </w:t>
      </w:r>
      <w:r w:rsidR="00C90ED7">
        <w:rPr>
          <w:iCs/>
          <w:lang w:val="en-US"/>
        </w:rPr>
        <w:t xml:space="preserve">as </w:t>
      </w:r>
      <w:r w:rsidRPr="00447901">
        <w:rPr>
          <w:iCs/>
          <w:lang w:val="en-US"/>
        </w:rPr>
        <w:t xml:space="preserve">set out above. </w:t>
      </w:r>
      <w:r w:rsidR="00BE7831">
        <w:rPr>
          <w:iCs/>
          <w:lang w:val="en-US"/>
        </w:rPr>
        <w:t xml:space="preserve">Mr. Michael’s </w:t>
      </w:r>
      <w:r w:rsidRPr="00447901">
        <w:rPr>
          <w:iCs/>
          <w:lang w:val="en-US"/>
        </w:rPr>
        <w:t>principal findings are;</w:t>
      </w:r>
    </w:p>
    <w:p w14:paraId="0B2F40CF" w14:textId="77777777" w:rsidR="00C840A9" w:rsidRPr="00447901" w:rsidRDefault="00C840A9" w:rsidP="00C840A9">
      <w:pPr>
        <w:pStyle w:val="DecisionBody"/>
        <w:numPr>
          <w:ilvl w:val="0"/>
          <w:numId w:val="0"/>
        </w:numPr>
        <w:spacing w:beforeLines="0" w:before="0" w:afterLines="0" w:after="0"/>
        <w:rPr>
          <w:iCs/>
          <w:lang w:val="en-US"/>
        </w:rPr>
      </w:pPr>
    </w:p>
    <w:p w14:paraId="40E1EF7D" w14:textId="4B735118" w:rsidR="00447901" w:rsidRDefault="00447901" w:rsidP="00456E54">
      <w:pPr>
        <w:pStyle w:val="DecisionBody"/>
        <w:numPr>
          <w:ilvl w:val="0"/>
          <w:numId w:val="88"/>
        </w:numPr>
        <w:spacing w:beforeLines="0" w:before="0" w:afterLines="0" w:after="0"/>
        <w:ind w:left="1260" w:hanging="540"/>
        <w:rPr>
          <w:iCs/>
          <w:lang w:val="en-US"/>
        </w:rPr>
      </w:pPr>
      <w:r w:rsidRPr="00447901">
        <w:rPr>
          <w:iCs/>
          <w:lang w:val="en-US"/>
        </w:rPr>
        <w:t>The City’s industrial market is strong, and Employment Areas are attractive for medium to long-term investment; and</w:t>
      </w:r>
      <w:r w:rsidR="00C90ED7">
        <w:rPr>
          <w:iCs/>
          <w:lang w:val="en-US"/>
        </w:rPr>
        <w:t>,</w:t>
      </w:r>
    </w:p>
    <w:p w14:paraId="476BDF50" w14:textId="77777777" w:rsidR="00C840A9" w:rsidRPr="00447901" w:rsidRDefault="00C840A9" w:rsidP="00456E54">
      <w:pPr>
        <w:pStyle w:val="DecisionBody"/>
        <w:numPr>
          <w:ilvl w:val="0"/>
          <w:numId w:val="0"/>
        </w:numPr>
        <w:spacing w:beforeLines="0" w:before="0" w:afterLines="0" w:after="0"/>
        <w:ind w:left="1260" w:hanging="540"/>
        <w:rPr>
          <w:iCs/>
          <w:lang w:val="en-US"/>
        </w:rPr>
      </w:pPr>
    </w:p>
    <w:p w14:paraId="36BBA2F5" w14:textId="21FAD7FE" w:rsidR="00447901" w:rsidRDefault="00447901" w:rsidP="00456E54">
      <w:pPr>
        <w:pStyle w:val="DecisionBody"/>
        <w:numPr>
          <w:ilvl w:val="0"/>
          <w:numId w:val="88"/>
        </w:numPr>
        <w:spacing w:beforeLines="0" w:before="0" w:afterLines="0" w:after="0"/>
        <w:ind w:left="1260" w:hanging="540"/>
        <w:rPr>
          <w:iCs/>
          <w:lang w:val="en-US"/>
        </w:rPr>
      </w:pPr>
      <w:r w:rsidRPr="00447901">
        <w:rPr>
          <w:iCs/>
          <w:lang w:val="en-US"/>
        </w:rPr>
        <w:t>General Employment Areas (GE) permit office development, yet demand is greatest for walkable live/work office areas. Thus</w:t>
      </w:r>
      <w:r w:rsidR="00C90ED7">
        <w:rPr>
          <w:iCs/>
          <w:lang w:val="en-US"/>
        </w:rPr>
        <w:t>,</w:t>
      </w:r>
      <w:r w:rsidRPr="00447901">
        <w:rPr>
          <w:iCs/>
          <w:lang w:val="en-US"/>
        </w:rPr>
        <w:t xml:space="preserve"> residential development here is required. </w:t>
      </w:r>
    </w:p>
    <w:p w14:paraId="3D762BC2" w14:textId="77777777" w:rsidR="00C840A9" w:rsidRPr="00447901" w:rsidRDefault="00C840A9" w:rsidP="00DD170A">
      <w:pPr>
        <w:pStyle w:val="DecisionBody"/>
        <w:numPr>
          <w:ilvl w:val="0"/>
          <w:numId w:val="0"/>
        </w:numPr>
        <w:spacing w:beforeLines="0" w:before="0" w:afterLines="0" w:after="0"/>
        <w:rPr>
          <w:iCs/>
          <w:lang w:val="en-US"/>
        </w:rPr>
      </w:pPr>
    </w:p>
    <w:p w14:paraId="31F41AC0" w14:textId="17B5AC23" w:rsidR="00447901" w:rsidRDefault="00447901" w:rsidP="00DD170A">
      <w:pPr>
        <w:pStyle w:val="DecisionBody"/>
        <w:spacing w:beforeLines="0" w:before="0" w:afterLines="0" w:after="0"/>
        <w:rPr>
          <w:iCs/>
          <w:lang w:val="en-US"/>
        </w:rPr>
      </w:pPr>
      <w:r w:rsidRPr="00447901">
        <w:rPr>
          <w:iCs/>
          <w:lang w:val="en-US"/>
        </w:rPr>
        <w:t>He sees the transit developments and expanded mixed use areas nearby (Splendid China Mall, for one) as changing the land economics and undermining the existing planning context. Land costs will rise, and will preclude industrial or office development.  Low density employment (retail or industrial) would not satisfy the provincial goals for mixed use developments close to transit.  More jobs could be created under a mixed use designation, resulting in more affordable housing in a transit-supportive location.  With a variety of land uses such as high density residential, office and retail, other types of employment would be created, where it has been proven that such a designation attracts such investment.</w:t>
      </w:r>
    </w:p>
    <w:p w14:paraId="48F91C0B" w14:textId="77777777" w:rsidR="00C840A9" w:rsidRPr="00447901" w:rsidRDefault="00C840A9" w:rsidP="00C840A9">
      <w:pPr>
        <w:pStyle w:val="DecisionBody"/>
        <w:numPr>
          <w:ilvl w:val="0"/>
          <w:numId w:val="0"/>
        </w:numPr>
        <w:spacing w:beforeLines="0" w:before="0" w:afterLines="0" w:after="0"/>
        <w:rPr>
          <w:iCs/>
          <w:lang w:val="en-US"/>
        </w:rPr>
      </w:pPr>
    </w:p>
    <w:p w14:paraId="718C0797" w14:textId="310B922E" w:rsidR="00C840A9" w:rsidRDefault="00447901" w:rsidP="000315E1">
      <w:pPr>
        <w:pStyle w:val="DecisionBody"/>
        <w:spacing w:beforeLines="0" w:before="0" w:afterLines="0" w:after="0"/>
        <w:rPr>
          <w:iCs/>
          <w:lang w:val="en-US"/>
        </w:rPr>
      </w:pPr>
      <w:r w:rsidRPr="00447901">
        <w:rPr>
          <w:iCs/>
          <w:lang w:val="en-US"/>
        </w:rPr>
        <w:t xml:space="preserve">Ms. </w:t>
      </w:r>
      <w:r w:rsidR="0082627C">
        <w:rPr>
          <w:iCs/>
          <w:lang w:val="en-US"/>
        </w:rPr>
        <w:t>Heydorn</w:t>
      </w:r>
      <w:r w:rsidRPr="00447901">
        <w:rPr>
          <w:iCs/>
          <w:lang w:val="en-US"/>
        </w:rPr>
        <w:t xml:space="preserve"> then considered and evaluated the Choice proposal from the perspective of the City</w:t>
      </w:r>
      <w:r w:rsidR="00C90ED7">
        <w:rPr>
          <w:iCs/>
          <w:lang w:val="en-US"/>
        </w:rPr>
        <w:t xml:space="preserve"> of Toronto</w:t>
      </w:r>
      <w:r w:rsidRPr="00447901">
        <w:rPr>
          <w:iCs/>
          <w:lang w:val="en-US"/>
        </w:rPr>
        <w:t>’s obligation and desire to retain its designated Employment Areas. These provide a wide range of economic activities to achieve its long-term growth objectives. In her opinion</w:t>
      </w:r>
      <w:r w:rsidR="00C90ED7">
        <w:rPr>
          <w:iCs/>
          <w:lang w:val="en-US"/>
        </w:rPr>
        <w:t>,</w:t>
      </w:r>
      <w:r w:rsidRPr="00447901">
        <w:rPr>
          <w:iCs/>
          <w:lang w:val="en-US"/>
        </w:rPr>
        <w:t xml:space="preserve"> the proposed conversion of 2.7 hectares at 681 </w:t>
      </w:r>
      <w:r w:rsidRPr="00447901">
        <w:rPr>
          <w:iCs/>
          <w:lang w:val="en-US"/>
        </w:rPr>
        <w:lastRenderedPageBreak/>
        <w:t>Silver Star Boulevard from Employment Areas to the Mixed Use Areas designation would reduce the size and quality of the City</w:t>
      </w:r>
      <w:r w:rsidR="00C90ED7">
        <w:rPr>
          <w:iCs/>
          <w:lang w:val="en-US"/>
        </w:rPr>
        <w:t xml:space="preserve"> of Toronto</w:t>
      </w:r>
      <w:r w:rsidRPr="00447901">
        <w:rPr>
          <w:iCs/>
          <w:lang w:val="en-US"/>
        </w:rPr>
        <w:t>'s supply of  designated Employment Areas.</w:t>
      </w:r>
    </w:p>
    <w:p w14:paraId="23F3C1E2" w14:textId="414D6C4F" w:rsidR="00456E54" w:rsidRPr="000315E1" w:rsidRDefault="00456E54" w:rsidP="00456E54">
      <w:pPr>
        <w:pStyle w:val="DecisionBody"/>
        <w:numPr>
          <w:ilvl w:val="0"/>
          <w:numId w:val="0"/>
        </w:numPr>
        <w:spacing w:beforeLines="0" w:before="0" w:afterLines="0" w:after="0"/>
        <w:rPr>
          <w:iCs/>
          <w:lang w:val="en-US"/>
        </w:rPr>
      </w:pPr>
    </w:p>
    <w:p w14:paraId="63F82E2A" w14:textId="1504DE2E" w:rsidR="00447901" w:rsidRDefault="00447901" w:rsidP="00DD170A">
      <w:pPr>
        <w:pStyle w:val="DecisionBody"/>
        <w:spacing w:beforeLines="0" w:before="0" w:afterLines="0" w:after="0"/>
        <w:rPr>
          <w:iCs/>
          <w:lang w:val="en-US"/>
        </w:rPr>
      </w:pPr>
      <w:r w:rsidRPr="00447901">
        <w:rPr>
          <w:iCs/>
          <w:lang w:val="en-US"/>
        </w:rPr>
        <w:t>Sensitive uses such as the proposed residential in a MU designation would disrupt the stable operating environment of existing employment uses nearby. Further, future investment in employment uses would be constrained here.</w:t>
      </w:r>
    </w:p>
    <w:p w14:paraId="27636DB2" w14:textId="77777777" w:rsidR="00C840A9" w:rsidRPr="00447901" w:rsidRDefault="00C840A9" w:rsidP="00C840A9">
      <w:pPr>
        <w:pStyle w:val="DecisionBody"/>
        <w:numPr>
          <w:ilvl w:val="0"/>
          <w:numId w:val="0"/>
        </w:numPr>
        <w:spacing w:beforeLines="0" w:before="0" w:afterLines="0" w:after="0"/>
        <w:rPr>
          <w:iCs/>
          <w:lang w:val="en-US"/>
        </w:rPr>
      </w:pPr>
    </w:p>
    <w:p w14:paraId="570C6970" w14:textId="7E319940" w:rsidR="00447901" w:rsidRDefault="00447901" w:rsidP="00DD170A">
      <w:pPr>
        <w:pStyle w:val="DecisionBody"/>
        <w:spacing w:beforeLines="0" w:before="0" w:afterLines="0" w:after="0"/>
        <w:rPr>
          <w:iCs/>
          <w:lang w:val="en-US"/>
        </w:rPr>
      </w:pPr>
      <w:r w:rsidRPr="00447901">
        <w:rPr>
          <w:iCs/>
          <w:lang w:val="en-US"/>
        </w:rPr>
        <w:t xml:space="preserve">There is no “need” for the proposed conversion. This test is not met since </w:t>
      </w:r>
      <w:r w:rsidR="00C90ED7">
        <w:rPr>
          <w:iCs/>
          <w:lang w:val="en-US"/>
        </w:rPr>
        <w:t xml:space="preserve">the City of </w:t>
      </w:r>
      <w:r w:rsidRPr="00447901">
        <w:rPr>
          <w:iCs/>
          <w:lang w:val="en-US"/>
        </w:rPr>
        <w:t>Toronto is on track to achieve the 2031 population forecasts in the GP 2006.  Thus</w:t>
      </w:r>
      <w:r w:rsidR="00C90ED7">
        <w:rPr>
          <w:iCs/>
          <w:lang w:val="en-US"/>
        </w:rPr>
        <w:t>,</w:t>
      </w:r>
      <w:r w:rsidRPr="00447901">
        <w:rPr>
          <w:iCs/>
          <w:lang w:val="en-US"/>
        </w:rPr>
        <w:t xml:space="preserve"> in her opinion</w:t>
      </w:r>
      <w:r w:rsidR="00C90ED7">
        <w:rPr>
          <w:iCs/>
          <w:lang w:val="en-US"/>
        </w:rPr>
        <w:t>,</w:t>
      </w:r>
      <w:r w:rsidRPr="00447901">
        <w:rPr>
          <w:iCs/>
          <w:lang w:val="en-US"/>
        </w:rPr>
        <w:t xml:space="preserve"> the proposed conversion is not consistent with and does not conform to the PPS 2020, the GP 2006, and the City of Toronto OP. The proposed use does not embody good planning and is not in the public interest.</w:t>
      </w:r>
    </w:p>
    <w:p w14:paraId="02079CDF" w14:textId="77777777" w:rsidR="00BE7831" w:rsidRDefault="00BE7831" w:rsidP="00DD170A">
      <w:pPr>
        <w:pStyle w:val="DecisionBody"/>
        <w:numPr>
          <w:ilvl w:val="0"/>
          <w:numId w:val="0"/>
        </w:numPr>
        <w:spacing w:beforeLines="0" w:before="0" w:afterLines="0" w:after="0"/>
        <w:rPr>
          <w:b/>
          <w:iCs/>
          <w:lang w:val="en-US"/>
        </w:rPr>
      </w:pPr>
    </w:p>
    <w:p w14:paraId="1235C296" w14:textId="1ED239FF" w:rsidR="00447901" w:rsidRPr="00C95803" w:rsidRDefault="00447901" w:rsidP="00DD170A">
      <w:pPr>
        <w:pStyle w:val="DecisionBody"/>
        <w:numPr>
          <w:ilvl w:val="0"/>
          <w:numId w:val="0"/>
        </w:numPr>
        <w:spacing w:beforeLines="0" w:before="0" w:afterLines="0" w:after="0"/>
        <w:rPr>
          <w:iCs/>
          <w:lang w:val="en-US"/>
        </w:rPr>
      </w:pPr>
      <w:r w:rsidRPr="00C95803">
        <w:rPr>
          <w:b/>
          <w:iCs/>
          <w:lang w:val="en-US"/>
        </w:rPr>
        <w:t>Tribunal Findings and Decision</w:t>
      </w:r>
    </w:p>
    <w:p w14:paraId="2CD2B339" w14:textId="77777777" w:rsidR="00C840A9" w:rsidRPr="00EE481F" w:rsidRDefault="00C840A9" w:rsidP="00DD170A">
      <w:pPr>
        <w:pStyle w:val="DecisionBody"/>
        <w:numPr>
          <w:ilvl w:val="0"/>
          <w:numId w:val="0"/>
        </w:numPr>
        <w:spacing w:beforeLines="0" w:before="0" w:afterLines="0" w:after="0"/>
        <w:rPr>
          <w:b/>
          <w:iCs/>
          <w:lang w:val="en-US"/>
        </w:rPr>
      </w:pPr>
    </w:p>
    <w:p w14:paraId="23B3EBDB" w14:textId="76CC387D" w:rsidR="00447901" w:rsidRPr="007D4D46" w:rsidRDefault="00447901" w:rsidP="00DD170A">
      <w:pPr>
        <w:pStyle w:val="DecisionBody"/>
        <w:numPr>
          <w:ilvl w:val="0"/>
          <w:numId w:val="0"/>
        </w:numPr>
        <w:spacing w:beforeLines="0" w:before="0" w:afterLines="0" w:after="0"/>
        <w:rPr>
          <w:b/>
          <w:iCs/>
          <w:lang w:val="en-US"/>
        </w:rPr>
      </w:pPr>
      <w:r w:rsidRPr="007D4D46">
        <w:rPr>
          <w:b/>
          <w:iCs/>
          <w:lang w:val="en-US"/>
        </w:rPr>
        <w:t xml:space="preserve">Provincial </w:t>
      </w:r>
      <w:r w:rsidR="00C90ED7">
        <w:rPr>
          <w:b/>
          <w:iCs/>
          <w:lang w:val="en-US"/>
        </w:rPr>
        <w:t>P</w:t>
      </w:r>
      <w:r w:rsidRPr="007D4D46">
        <w:rPr>
          <w:b/>
          <w:iCs/>
          <w:lang w:val="en-US"/>
        </w:rPr>
        <w:t>olicies</w:t>
      </w:r>
    </w:p>
    <w:p w14:paraId="6BFB6407" w14:textId="77777777" w:rsidR="00C840A9" w:rsidRPr="00447901" w:rsidRDefault="00C840A9" w:rsidP="00DD170A">
      <w:pPr>
        <w:pStyle w:val="DecisionBody"/>
        <w:numPr>
          <w:ilvl w:val="0"/>
          <w:numId w:val="0"/>
        </w:numPr>
        <w:spacing w:beforeLines="0" w:before="0" w:afterLines="0" w:after="0"/>
        <w:rPr>
          <w:b/>
          <w:iCs/>
          <w:lang w:val="en-US"/>
        </w:rPr>
      </w:pPr>
    </w:p>
    <w:p w14:paraId="486BFE8F" w14:textId="13A012F1" w:rsidR="00447901" w:rsidRDefault="00447901" w:rsidP="00DD170A">
      <w:pPr>
        <w:pStyle w:val="DecisionBody"/>
        <w:spacing w:beforeLines="0" w:before="0" w:afterLines="0" w:after="0"/>
        <w:rPr>
          <w:iCs/>
          <w:lang w:val="en-US"/>
        </w:rPr>
      </w:pPr>
      <w:r w:rsidRPr="00447901">
        <w:rPr>
          <w:iCs/>
          <w:lang w:val="en-US"/>
        </w:rPr>
        <w:t xml:space="preserve">As Ms. </w:t>
      </w:r>
      <w:r w:rsidR="0082627C">
        <w:rPr>
          <w:iCs/>
          <w:lang w:val="en-US"/>
        </w:rPr>
        <w:t>Heydorn</w:t>
      </w:r>
      <w:r w:rsidRPr="00447901">
        <w:rPr>
          <w:iCs/>
          <w:lang w:val="en-US"/>
        </w:rPr>
        <w:t xml:space="preserve"> testified, policies were modified in the PPS 2020 to better protect economic uses and facilitate conditions for economic investment. Tribunal decisions must be consistent with the PPS in force as of the date of its Decision.</w:t>
      </w:r>
    </w:p>
    <w:p w14:paraId="6F9DE814" w14:textId="77777777" w:rsidR="00C840A9" w:rsidRPr="00447901" w:rsidRDefault="00C840A9" w:rsidP="000315E1">
      <w:pPr>
        <w:pStyle w:val="DecisionBody"/>
        <w:widowControl/>
        <w:numPr>
          <w:ilvl w:val="0"/>
          <w:numId w:val="0"/>
        </w:numPr>
        <w:spacing w:beforeLines="0" w:before="0" w:afterLines="0" w:after="0"/>
        <w:rPr>
          <w:iCs/>
          <w:lang w:val="en-US"/>
        </w:rPr>
      </w:pPr>
    </w:p>
    <w:p w14:paraId="72119128" w14:textId="7F036104" w:rsidR="00447901" w:rsidRDefault="00447901" w:rsidP="000315E1">
      <w:pPr>
        <w:pStyle w:val="DecisionBody"/>
        <w:widowControl/>
        <w:spacing w:beforeLines="0" w:before="0" w:afterLines="0" w:after="0"/>
        <w:rPr>
          <w:iCs/>
          <w:lang w:val="en-US"/>
        </w:rPr>
      </w:pPr>
      <w:r w:rsidRPr="00447901">
        <w:rPr>
          <w:iCs/>
          <w:lang w:val="en-US"/>
        </w:rPr>
        <w:t xml:space="preserve">PPS 2020, Policy 1.2.6.1 concerning land use compatibility has been strengthened by stating that </w:t>
      </w:r>
      <w:r w:rsidRPr="00447901">
        <w:rPr>
          <w:i/>
          <w:iCs/>
          <w:lang w:val="en-US"/>
        </w:rPr>
        <w:t xml:space="preserve">major facilities </w:t>
      </w:r>
      <w:r w:rsidRPr="00447901">
        <w:rPr>
          <w:iCs/>
          <w:lang w:val="en-US"/>
        </w:rPr>
        <w:t xml:space="preserve">and </w:t>
      </w:r>
      <w:r w:rsidRPr="00447901">
        <w:rPr>
          <w:i/>
          <w:iCs/>
          <w:lang w:val="en-US"/>
        </w:rPr>
        <w:t xml:space="preserve">sensitive land uses </w:t>
      </w:r>
      <w:r w:rsidRPr="00447901">
        <w:rPr>
          <w:iCs/>
          <w:lang w:val="en-US"/>
        </w:rPr>
        <w:t xml:space="preserve">"shall" be planned and developed to "avoid" potential </w:t>
      </w:r>
      <w:r w:rsidRPr="00447901">
        <w:rPr>
          <w:i/>
          <w:iCs/>
          <w:lang w:val="en-US"/>
        </w:rPr>
        <w:t>adverse effects</w:t>
      </w:r>
      <w:r w:rsidRPr="00447901">
        <w:rPr>
          <w:iCs/>
          <w:lang w:val="en-US"/>
        </w:rPr>
        <w:t xml:space="preserve">, minimize risk to public health and safety, and ensure the long-term "operational and economic" viability of </w:t>
      </w:r>
      <w:r w:rsidRPr="00447901">
        <w:rPr>
          <w:i/>
          <w:iCs/>
          <w:lang w:val="en-US"/>
        </w:rPr>
        <w:t>major facilities</w:t>
      </w:r>
      <w:r w:rsidRPr="00447901">
        <w:rPr>
          <w:iCs/>
          <w:lang w:val="en-US"/>
        </w:rPr>
        <w:t xml:space="preserve">. The definition of </w:t>
      </w:r>
      <w:r w:rsidRPr="00447901">
        <w:rPr>
          <w:i/>
          <w:iCs/>
          <w:lang w:val="en-US"/>
        </w:rPr>
        <w:t xml:space="preserve">major facilities </w:t>
      </w:r>
      <w:r w:rsidRPr="00447901">
        <w:rPr>
          <w:iCs/>
          <w:lang w:val="en-US"/>
        </w:rPr>
        <w:t>now includes "manufacturing uses".  All definitions in italics are set out in the 2020 version.</w:t>
      </w:r>
    </w:p>
    <w:p w14:paraId="1B2A74FD" w14:textId="77777777" w:rsidR="00C840A9" w:rsidRPr="00447901" w:rsidRDefault="00C840A9" w:rsidP="00C840A9">
      <w:pPr>
        <w:pStyle w:val="DecisionBody"/>
        <w:numPr>
          <w:ilvl w:val="0"/>
          <w:numId w:val="0"/>
        </w:numPr>
        <w:spacing w:beforeLines="0" w:before="0" w:afterLines="0" w:after="0"/>
        <w:rPr>
          <w:iCs/>
          <w:lang w:val="en-US"/>
        </w:rPr>
      </w:pPr>
    </w:p>
    <w:p w14:paraId="26FAAA3D" w14:textId="3FADE2DE" w:rsidR="00447901" w:rsidRDefault="00447901" w:rsidP="00DD170A">
      <w:pPr>
        <w:pStyle w:val="DecisionBody"/>
        <w:spacing w:beforeLines="0" w:before="0" w:afterLines="0" w:after="0"/>
        <w:rPr>
          <w:iCs/>
          <w:lang w:val="en-US"/>
        </w:rPr>
      </w:pPr>
      <w:r w:rsidRPr="00447901">
        <w:rPr>
          <w:iCs/>
          <w:lang w:val="en-US"/>
        </w:rPr>
        <w:t xml:space="preserve">Policy 1.2.6.2 has been added to set out the conditions that must be satisfied where avoidance is not possible. Policy 1.3.2.3 prohibits residential uses within </w:t>
      </w:r>
      <w:r w:rsidRPr="00447901">
        <w:rPr>
          <w:i/>
          <w:iCs/>
          <w:lang w:val="en-US"/>
        </w:rPr>
        <w:t xml:space="preserve">employment areas </w:t>
      </w:r>
      <w:r w:rsidRPr="00447901">
        <w:rPr>
          <w:iCs/>
          <w:lang w:val="en-US"/>
        </w:rPr>
        <w:t xml:space="preserve">planned for industrial and manufacturing uses, and also limits other </w:t>
      </w:r>
      <w:r w:rsidRPr="00447901">
        <w:rPr>
          <w:i/>
          <w:iCs/>
          <w:lang w:val="en-US"/>
        </w:rPr>
        <w:t xml:space="preserve">sensitive land </w:t>
      </w:r>
      <w:r w:rsidRPr="00447901">
        <w:rPr>
          <w:i/>
          <w:iCs/>
          <w:lang w:val="en-US"/>
        </w:rPr>
        <w:lastRenderedPageBreak/>
        <w:t>uses</w:t>
      </w:r>
      <w:r w:rsidRPr="00447901">
        <w:rPr>
          <w:iCs/>
          <w:lang w:val="en-US"/>
        </w:rPr>
        <w:t xml:space="preserve">. As well, it states that </w:t>
      </w:r>
      <w:r w:rsidRPr="00447901">
        <w:rPr>
          <w:i/>
          <w:iCs/>
          <w:lang w:val="en-US"/>
        </w:rPr>
        <w:t xml:space="preserve">employment areas </w:t>
      </w:r>
      <w:r w:rsidRPr="00447901">
        <w:rPr>
          <w:iCs/>
          <w:lang w:val="en-US"/>
        </w:rPr>
        <w:t>planned for industrial or manufacturing uses should include appropriate transitions to adjacent non-</w:t>
      </w:r>
      <w:r w:rsidRPr="00447901">
        <w:rPr>
          <w:i/>
          <w:iCs/>
          <w:lang w:val="en-US"/>
        </w:rPr>
        <w:t>employment areas</w:t>
      </w:r>
      <w:r w:rsidRPr="00447901">
        <w:rPr>
          <w:iCs/>
          <w:lang w:val="en-US"/>
        </w:rPr>
        <w:t>.</w:t>
      </w:r>
    </w:p>
    <w:p w14:paraId="138A4F0E" w14:textId="77777777" w:rsidR="00C840A9" w:rsidRPr="00447901" w:rsidRDefault="00C840A9" w:rsidP="00C840A9">
      <w:pPr>
        <w:pStyle w:val="DecisionBody"/>
        <w:numPr>
          <w:ilvl w:val="0"/>
          <w:numId w:val="0"/>
        </w:numPr>
        <w:spacing w:beforeLines="0" w:before="0" w:afterLines="0" w:after="0"/>
        <w:rPr>
          <w:iCs/>
          <w:lang w:val="en-US"/>
        </w:rPr>
      </w:pPr>
    </w:p>
    <w:p w14:paraId="7AA13FF5" w14:textId="77777777" w:rsidR="00430A3E" w:rsidRDefault="00447901" w:rsidP="00DD170A">
      <w:pPr>
        <w:pStyle w:val="DecisionBody"/>
        <w:spacing w:beforeLines="0" w:before="0" w:afterLines="0" w:after="0"/>
        <w:rPr>
          <w:iCs/>
          <w:lang w:val="en-US"/>
        </w:rPr>
      </w:pPr>
      <w:r w:rsidRPr="00447901">
        <w:rPr>
          <w:iCs/>
          <w:lang w:val="en-US"/>
        </w:rPr>
        <w:t xml:space="preserve">“Employment areas” are defined in the PPS as </w:t>
      </w:r>
    </w:p>
    <w:p w14:paraId="32EFEF0E" w14:textId="77777777" w:rsidR="00430A3E" w:rsidRDefault="00430A3E" w:rsidP="00430A3E">
      <w:pPr>
        <w:pStyle w:val="DecisionBody"/>
        <w:numPr>
          <w:ilvl w:val="0"/>
          <w:numId w:val="0"/>
        </w:numPr>
        <w:spacing w:beforeLines="0" w:before="0" w:afterLines="0" w:after="0"/>
        <w:rPr>
          <w:iCs/>
          <w:lang w:val="en-US"/>
        </w:rPr>
      </w:pPr>
    </w:p>
    <w:p w14:paraId="20731A05" w14:textId="52FF4AB3" w:rsidR="00430A3E" w:rsidRDefault="00447901" w:rsidP="00430A3E">
      <w:pPr>
        <w:pStyle w:val="DecisionBody"/>
        <w:numPr>
          <w:ilvl w:val="0"/>
          <w:numId w:val="0"/>
        </w:numPr>
        <w:spacing w:beforeLines="0" w:before="0" w:afterLines="0" w:after="0" w:line="240" w:lineRule="auto"/>
        <w:ind w:left="1440" w:right="1080"/>
        <w:rPr>
          <w:iCs/>
          <w:sz w:val="20"/>
          <w:szCs w:val="20"/>
          <w:lang w:val="en-US"/>
        </w:rPr>
      </w:pPr>
      <w:r w:rsidRPr="000315E1">
        <w:rPr>
          <w:iCs/>
          <w:sz w:val="20"/>
          <w:szCs w:val="20"/>
          <w:lang w:val="en-US"/>
        </w:rPr>
        <w:t xml:space="preserve">… those areas designated in an official plan for clusters of business and economic activities including, but not limited to, manufacturing, warehousing, offices and associated retail and ancillary facilities. </w:t>
      </w:r>
    </w:p>
    <w:p w14:paraId="4C921265" w14:textId="77777777" w:rsidR="00430A3E" w:rsidRDefault="00430A3E" w:rsidP="00430A3E">
      <w:pPr>
        <w:pStyle w:val="DecisionBody"/>
        <w:numPr>
          <w:ilvl w:val="0"/>
          <w:numId w:val="0"/>
        </w:numPr>
        <w:spacing w:beforeLines="0" w:before="0" w:afterLines="0" w:after="0" w:line="240" w:lineRule="auto"/>
        <w:ind w:right="1080"/>
        <w:rPr>
          <w:iCs/>
          <w:sz w:val="20"/>
          <w:szCs w:val="20"/>
          <w:lang w:val="en-US"/>
        </w:rPr>
      </w:pPr>
    </w:p>
    <w:p w14:paraId="3135C98B" w14:textId="7AB9FFAA" w:rsidR="00447901" w:rsidRPr="000315E1" w:rsidRDefault="00447901" w:rsidP="00841343">
      <w:pPr>
        <w:pStyle w:val="DecisionBody"/>
        <w:numPr>
          <w:ilvl w:val="0"/>
          <w:numId w:val="0"/>
        </w:numPr>
        <w:spacing w:beforeLines="0" w:before="0" w:afterLines="0" w:after="0" w:line="240" w:lineRule="auto"/>
        <w:ind w:right="1080" w:firstLine="720"/>
        <w:rPr>
          <w:iCs/>
          <w:sz w:val="20"/>
          <w:szCs w:val="20"/>
          <w:lang w:val="en-US"/>
        </w:rPr>
      </w:pPr>
      <w:r w:rsidRPr="00430A3E">
        <w:rPr>
          <w:iCs/>
          <w:lang w:val="en-US"/>
        </w:rPr>
        <w:t>(Exhibit 1A, Tab 2)</w:t>
      </w:r>
    </w:p>
    <w:p w14:paraId="0961AA35" w14:textId="77777777" w:rsidR="00C840A9" w:rsidRPr="00447901" w:rsidRDefault="00C840A9" w:rsidP="00C840A9">
      <w:pPr>
        <w:pStyle w:val="DecisionBody"/>
        <w:numPr>
          <w:ilvl w:val="0"/>
          <w:numId w:val="0"/>
        </w:numPr>
        <w:spacing w:beforeLines="0" w:before="0" w:afterLines="0" w:after="0"/>
        <w:rPr>
          <w:iCs/>
          <w:lang w:val="en-US"/>
        </w:rPr>
      </w:pPr>
    </w:p>
    <w:p w14:paraId="425463BF" w14:textId="369FE768" w:rsidR="00447901" w:rsidRPr="00447901" w:rsidRDefault="00447901" w:rsidP="00DD170A">
      <w:pPr>
        <w:pStyle w:val="DecisionBody"/>
        <w:spacing w:beforeLines="0" w:before="0" w:afterLines="0" w:after="0"/>
        <w:rPr>
          <w:iCs/>
          <w:lang w:val="en-US"/>
        </w:rPr>
      </w:pPr>
      <w:r w:rsidRPr="00447901">
        <w:rPr>
          <w:iCs/>
          <w:lang w:val="en-US"/>
        </w:rPr>
        <w:t xml:space="preserve">Ms. </w:t>
      </w:r>
      <w:r w:rsidR="0082627C">
        <w:rPr>
          <w:iCs/>
          <w:lang w:val="en-US"/>
        </w:rPr>
        <w:t>Heydorn</w:t>
      </w:r>
      <w:r w:rsidRPr="00447901">
        <w:rPr>
          <w:iCs/>
          <w:lang w:val="en-US"/>
        </w:rPr>
        <w:t xml:space="preserve"> also cited Policy 1.1.3.3, which states that planning authorities shall identify appropriate locations and promote opportunities for </w:t>
      </w:r>
      <w:r w:rsidRPr="00447901">
        <w:rPr>
          <w:i/>
          <w:iCs/>
          <w:lang w:val="en-US"/>
        </w:rPr>
        <w:t xml:space="preserve">transit-supportive </w:t>
      </w:r>
      <w:r w:rsidRPr="00447901">
        <w:rPr>
          <w:iCs/>
          <w:lang w:val="en-US"/>
        </w:rPr>
        <w:t xml:space="preserve">development, accommodating </w:t>
      </w:r>
      <w:r w:rsidRPr="00447901">
        <w:rPr>
          <w:i/>
          <w:iCs/>
          <w:lang w:val="en-US"/>
        </w:rPr>
        <w:t xml:space="preserve">housing options </w:t>
      </w:r>
      <w:r w:rsidRPr="00447901">
        <w:rPr>
          <w:iCs/>
          <w:lang w:val="en-US"/>
        </w:rPr>
        <w:t>where this can be accommodated taking into account existing building stock or areas.  “</w:t>
      </w:r>
      <w:r w:rsidR="00430A3E">
        <w:rPr>
          <w:i/>
          <w:iCs/>
          <w:lang w:val="en-US"/>
        </w:rPr>
        <w:t>T</w:t>
      </w:r>
      <w:r w:rsidRPr="00447901">
        <w:rPr>
          <w:i/>
          <w:iCs/>
          <w:lang w:val="en-US"/>
        </w:rPr>
        <w:t xml:space="preserve">ransit-supportive” </w:t>
      </w:r>
      <w:r w:rsidRPr="00447901">
        <w:rPr>
          <w:iCs/>
          <w:lang w:val="en-US"/>
        </w:rPr>
        <w:t>is defined as:</w:t>
      </w:r>
    </w:p>
    <w:p w14:paraId="539C60AA" w14:textId="77777777" w:rsidR="00377DB9" w:rsidRDefault="00377DB9" w:rsidP="00377DB9">
      <w:pPr>
        <w:pStyle w:val="DecisionBody"/>
        <w:numPr>
          <w:ilvl w:val="0"/>
          <w:numId w:val="0"/>
        </w:numPr>
        <w:tabs>
          <w:tab w:val="left" w:pos="90"/>
        </w:tabs>
        <w:spacing w:beforeLines="0" w:before="0" w:afterLines="0" w:after="0" w:line="240" w:lineRule="auto"/>
        <w:ind w:left="1440" w:right="1080"/>
        <w:rPr>
          <w:sz w:val="20"/>
          <w:szCs w:val="20"/>
          <w:lang w:val="en-US"/>
        </w:rPr>
      </w:pPr>
    </w:p>
    <w:p w14:paraId="1E9CE8DE" w14:textId="77777777" w:rsidR="00456E54" w:rsidRDefault="00456E54" w:rsidP="00377DB9">
      <w:pPr>
        <w:pStyle w:val="DecisionBody"/>
        <w:numPr>
          <w:ilvl w:val="0"/>
          <w:numId w:val="0"/>
        </w:numPr>
        <w:tabs>
          <w:tab w:val="left" w:pos="90"/>
        </w:tabs>
        <w:spacing w:beforeLines="0" w:before="0" w:afterLines="0" w:after="0" w:line="240" w:lineRule="auto"/>
        <w:ind w:left="1440" w:right="1080"/>
        <w:rPr>
          <w:sz w:val="20"/>
          <w:szCs w:val="20"/>
          <w:lang w:val="en-US"/>
        </w:rPr>
      </w:pPr>
    </w:p>
    <w:p w14:paraId="42CE47AB" w14:textId="049E6046" w:rsidR="00C840A9" w:rsidRDefault="00447901" w:rsidP="00377DB9">
      <w:pPr>
        <w:pStyle w:val="DecisionBody"/>
        <w:numPr>
          <w:ilvl w:val="0"/>
          <w:numId w:val="0"/>
        </w:numPr>
        <w:tabs>
          <w:tab w:val="left" w:pos="90"/>
        </w:tabs>
        <w:spacing w:beforeLines="0" w:before="0" w:afterLines="0" w:after="0" w:line="240" w:lineRule="auto"/>
        <w:ind w:left="1440" w:right="1080"/>
        <w:rPr>
          <w:sz w:val="20"/>
          <w:szCs w:val="20"/>
          <w:lang w:val="en-US"/>
        </w:rPr>
      </w:pPr>
      <w:r w:rsidRPr="000315E1">
        <w:rPr>
          <w:sz w:val="20"/>
          <w:szCs w:val="20"/>
          <w:lang w:val="en-US"/>
        </w:rPr>
        <w:t xml:space="preserve">in regard to land use patterns, means development that makes transit viable, optimizes investments in transit infrastructure, and improves the quality of the experience of using transit.  It often refers to compact, mixed-use development that has a high level of employment and residential densities, including air rights development, in proximity to transit stations, corridors and associated elements within the </w:t>
      </w:r>
      <w:r w:rsidRPr="00377DB9">
        <w:rPr>
          <w:sz w:val="20"/>
          <w:szCs w:val="20"/>
          <w:lang w:val="en-US"/>
        </w:rPr>
        <w:t xml:space="preserve">transportation system </w:t>
      </w:r>
      <w:r w:rsidR="00430A3E">
        <w:rPr>
          <w:sz w:val="20"/>
          <w:szCs w:val="20"/>
          <w:lang w:val="en-US"/>
        </w:rPr>
        <w:t>…</w:t>
      </w:r>
    </w:p>
    <w:p w14:paraId="4AE005D1" w14:textId="77777777" w:rsidR="00456E54" w:rsidRPr="000315E1" w:rsidRDefault="00456E54" w:rsidP="00456E54">
      <w:pPr>
        <w:pStyle w:val="DecisionBody"/>
        <w:numPr>
          <w:ilvl w:val="0"/>
          <w:numId w:val="0"/>
        </w:numPr>
        <w:tabs>
          <w:tab w:val="left" w:pos="90"/>
        </w:tabs>
        <w:spacing w:beforeLines="0" w:before="0" w:afterLines="0" w:after="0" w:line="240" w:lineRule="auto"/>
        <w:ind w:left="1440" w:right="1080"/>
        <w:rPr>
          <w:sz w:val="20"/>
          <w:szCs w:val="20"/>
          <w:lang w:val="en-US"/>
        </w:rPr>
      </w:pPr>
    </w:p>
    <w:p w14:paraId="16D387FE" w14:textId="77777777" w:rsidR="00C840A9" w:rsidRPr="00447901" w:rsidRDefault="00C840A9" w:rsidP="00456E54">
      <w:pPr>
        <w:pStyle w:val="DecisionBody"/>
        <w:numPr>
          <w:ilvl w:val="0"/>
          <w:numId w:val="0"/>
        </w:numPr>
        <w:spacing w:beforeLines="0" w:before="0" w:afterLines="0" w:after="0" w:line="240" w:lineRule="auto"/>
        <w:rPr>
          <w:i/>
          <w:iCs/>
          <w:lang w:val="en-US"/>
        </w:rPr>
      </w:pPr>
    </w:p>
    <w:p w14:paraId="662644D7" w14:textId="60B55A8F" w:rsidR="00447901" w:rsidRDefault="00447901" w:rsidP="00DD170A">
      <w:pPr>
        <w:pStyle w:val="DecisionBody"/>
        <w:spacing w:beforeLines="0" w:before="0" w:afterLines="0" w:after="0"/>
        <w:rPr>
          <w:iCs/>
          <w:lang w:val="en-US"/>
        </w:rPr>
      </w:pPr>
      <w:r w:rsidRPr="00447901">
        <w:rPr>
          <w:iCs/>
          <w:lang w:val="en-US"/>
        </w:rPr>
        <w:t xml:space="preserve">Respecting the </w:t>
      </w:r>
      <w:r w:rsidR="00430A3E">
        <w:rPr>
          <w:iCs/>
          <w:lang w:val="en-US"/>
        </w:rPr>
        <w:t xml:space="preserve">GP </w:t>
      </w:r>
      <w:r w:rsidRPr="00447901">
        <w:rPr>
          <w:iCs/>
          <w:lang w:val="en-US"/>
        </w:rPr>
        <w:t xml:space="preserve">2006, which applies to these Appeals, Ms. </w:t>
      </w:r>
      <w:r w:rsidR="0082627C">
        <w:rPr>
          <w:iCs/>
          <w:lang w:val="en-US"/>
        </w:rPr>
        <w:t>Heydorn</w:t>
      </w:r>
      <w:r w:rsidRPr="00447901">
        <w:rPr>
          <w:iCs/>
          <w:lang w:val="en-US"/>
        </w:rPr>
        <w:t xml:space="preserve"> pointed to </w:t>
      </w:r>
      <w:r w:rsidR="00430A3E" w:rsidRPr="00447901">
        <w:rPr>
          <w:iCs/>
          <w:lang w:val="en-US"/>
        </w:rPr>
        <w:t>s</w:t>
      </w:r>
      <w:r w:rsidR="00430A3E">
        <w:rPr>
          <w:iCs/>
          <w:lang w:val="en-US"/>
        </w:rPr>
        <w:t>.</w:t>
      </w:r>
      <w:r w:rsidR="00430A3E" w:rsidRPr="00447901">
        <w:rPr>
          <w:iCs/>
          <w:lang w:val="en-US"/>
        </w:rPr>
        <w:t xml:space="preserve"> </w:t>
      </w:r>
      <w:r w:rsidRPr="00447901">
        <w:rPr>
          <w:iCs/>
          <w:lang w:val="en-US"/>
        </w:rPr>
        <w:t>2.2.2 (Exhibit 1A, Tab 3), which emphasizes the approach to be used to manage population and employment growth.  “Intensification” is the key for compact, mixed-use environments, both transit-supportive and pedestrian-friendly. This includes "</w:t>
      </w:r>
      <w:r w:rsidRPr="00447901">
        <w:rPr>
          <w:i/>
          <w:iCs/>
          <w:lang w:val="en-US"/>
        </w:rPr>
        <w:t xml:space="preserve">… the availability of sufficient land for employment to accommodate forecasted growth to support the GGH's economic competitiveness," </w:t>
      </w:r>
      <w:r w:rsidR="00430A3E">
        <w:rPr>
          <w:iCs/>
          <w:lang w:val="en-US"/>
        </w:rPr>
        <w:t>(</w:t>
      </w:r>
      <w:r w:rsidRPr="00447901">
        <w:rPr>
          <w:iCs/>
          <w:lang w:val="en-US"/>
        </w:rPr>
        <w:t>Section 2.2.2 f).</w:t>
      </w:r>
    </w:p>
    <w:p w14:paraId="454B4F6E" w14:textId="77777777" w:rsidR="00C840A9" w:rsidRPr="00447901" w:rsidRDefault="00C840A9" w:rsidP="00C840A9">
      <w:pPr>
        <w:pStyle w:val="DecisionBody"/>
        <w:numPr>
          <w:ilvl w:val="0"/>
          <w:numId w:val="0"/>
        </w:numPr>
        <w:spacing w:beforeLines="0" w:before="0" w:afterLines="0" w:after="0"/>
        <w:rPr>
          <w:iCs/>
          <w:lang w:val="en-US"/>
        </w:rPr>
      </w:pPr>
    </w:p>
    <w:p w14:paraId="60DBE6F5" w14:textId="4AAF461D" w:rsidR="00447901" w:rsidRDefault="00447901" w:rsidP="00DD170A">
      <w:pPr>
        <w:pStyle w:val="DecisionBody"/>
        <w:spacing w:beforeLines="0" w:before="0" w:afterLines="0" w:after="0"/>
        <w:rPr>
          <w:iCs/>
          <w:lang w:val="en-US"/>
        </w:rPr>
      </w:pPr>
      <w:r w:rsidRPr="00447901">
        <w:rPr>
          <w:iCs/>
          <w:lang w:val="en-US"/>
        </w:rPr>
        <w:t>Section 2.2.6 also dealt with Employment Lands.  2.2.6.1 requires an adequate supply of such lands for a variety of employment uses and the necessary infrastructure to support growth. The GP 2006 uses the same definition of employment areas as the PPS (see above).</w:t>
      </w:r>
    </w:p>
    <w:p w14:paraId="0E50BEAA" w14:textId="77777777" w:rsidR="00C840A9" w:rsidRPr="00447901" w:rsidRDefault="00C840A9" w:rsidP="00C840A9">
      <w:pPr>
        <w:pStyle w:val="DecisionBody"/>
        <w:numPr>
          <w:ilvl w:val="0"/>
          <w:numId w:val="0"/>
        </w:numPr>
        <w:spacing w:beforeLines="0" w:before="0" w:afterLines="0" w:after="0"/>
        <w:rPr>
          <w:iCs/>
          <w:lang w:val="en-US"/>
        </w:rPr>
      </w:pPr>
    </w:p>
    <w:p w14:paraId="6F382416" w14:textId="32C29A05" w:rsidR="00447901" w:rsidRPr="00447901" w:rsidRDefault="00447901" w:rsidP="00DD170A">
      <w:pPr>
        <w:pStyle w:val="DecisionBody"/>
        <w:spacing w:beforeLines="0" w:before="0" w:afterLines="0" w:after="0"/>
        <w:rPr>
          <w:iCs/>
          <w:lang w:val="en-US"/>
        </w:rPr>
      </w:pPr>
      <w:r w:rsidRPr="00447901">
        <w:rPr>
          <w:iCs/>
          <w:lang w:val="en-US"/>
        </w:rPr>
        <w:t xml:space="preserve">Any conversion to non-employment uses may only be permitted through a </w:t>
      </w:r>
      <w:r w:rsidRPr="00447901">
        <w:rPr>
          <w:i/>
          <w:iCs/>
          <w:lang w:val="en-US"/>
        </w:rPr>
        <w:t xml:space="preserve">municipal comprehensive review </w:t>
      </w:r>
      <w:r w:rsidRPr="00447901">
        <w:rPr>
          <w:iCs/>
          <w:lang w:val="en-US"/>
        </w:rPr>
        <w:t xml:space="preserve">(s. 2.2.6.5 of the </w:t>
      </w:r>
      <w:r w:rsidR="00430A3E">
        <w:rPr>
          <w:iCs/>
          <w:lang w:val="en-US"/>
        </w:rPr>
        <w:t xml:space="preserve">GP </w:t>
      </w:r>
      <w:r w:rsidRPr="00447901">
        <w:rPr>
          <w:iCs/>
          <w:lang w:val="en-US"/>
        </w:rPr>
        <w:t xml:space="preserve">2006). For such a conversion, a proponent </w:t>
      </w:r>
      <w:r w:rsidRPr="00447901">
        <w:rPr>
          <w:iCs/>
          <w:lang w:val="en-US"/>
        </w:rPr>
        <w:lastRenderedPageBreak/>
        <w:t>must prove:</w:t>
      </w:r>
    </w:p>
    <w:p w14:paraId="5216A596" w14:textId="77777777" w:rsidR="00200BBC" w:rsidRDefault="00200BBC" w:rsidP="00200BBC">
      <w:pPr>
        <w:pStyle w:val="DecisionBody"/>
        <w:numPr>
          <w:ilvl w:val="0"/>
          <w:numId w:val="0"/>
        </w:numPr>
        <w:spacing w:beforeLines="0" w:before="0" w:afterLines="0" w:after="0"/>
        <w:ind w:left="990"/>
        <w:rPr>
          <w:iCs/>
          <w:lang w:val="en-US"/>
        </w:rPr>
      </w:pPr>
    </w:p>
    <w:p w14:paraId="57CD4D16" w14:textId="0649A39E" w:rsidR="00447901" w:rsidRPr="00447901" w:rsidRDefault="00447901" w:rsidP="000315E1">
      <w:pPr>
        <w:pStyle w:val="DecisionBody"/>
        <w:numPr>
          <w:ilvl w:val="0"/>
          <w:numId w:val="0"/>
        </w:numPr>
        <w:spacing w:beforeLines="0" w:before="0" w:afterLines="0" w:after="0"/>
        <w:ind w:left="990"/>
        <w:rPr>
          <w:iCs/>
          <w:lang w:val="en-US"/>
        </w:rPr>
      </w:pPr>
      <w:r w:rsidRPr="00447901">
        <w:rPr>
          <w:iCs/>
          <w:lang w:val="en-US"/>
        </w:rPr>
        <w:t>-“need”;</w:t>
      </w:r>
    </w:p>
    <w:p w14:paraId="7A1330D0" w14:textId="77777777" w:rsidR="00447901" w:rsidRPr="00447901" w:rsidRDefault="00447901" w:rsidP="000315E1">
      <w:pPr>
        <w:pStyle w:val="DecisionBody"/>
        <w:numPr>
          <w:ilvl w:val="0"/>
          <w:numId w:val="0"/>
        </w:numPr>
        <w:spacing w:beforeLines="0" w:before="0" w:afterLines="0" w:after="0"/>
        <w:ind w:left="990"/>
        <w:rPr>
          <w:iCs/>
          <w:lang w:val="en-US"/>
        </w:rPr>
      </w:pPr>
      <w:r w:rsidRPr="00447901">
        <w:rPr>
          <w:iCs/>
          <w:lang w:val="en-US"/>
        </w:rPr>
        <w:t>- employment forecasts can be met;</w:t>
      </w:r>
    </w:p>
    <w:p w14:paraId="4D448403" w14:textId="77777777" w:rsidR="00447901" w:rsidRPr="00447901" w:rsidRDefault="00447901" w:rsidP="000315E1">
      <w:pPr>
        <w:pStyle w:val="DecisionBody"/>
        <w:numPr>
          <w:ilvl w:val="0"/>
          <w:numId w:val="0"/>
        </w:numPr>
        <w:spacing w:beforeLines="0" w:before="0" w:afterLines="0" w:after="0"/>
        <w:ind w:left="990"/>
        <w:rPr>
          <w:iCs/>
          <w:lang w:val="en-US"/>
        </w:rPr>
      </w:pPr>
      <w:r w:rsidRPr="00447901">
        <w:rPr>
          <w:iCs/>
          <w:lang w:val="en-US"/>
        </w:rPr>
        <w:t xml:space="preserve">- the conversion will not adversely affect the overall viability of the </w:t>
      </w:r>
      <w:r w:rsidRPr="00447901">
        <w:rPr>
          <w:i/>
          <w:iCs/>
          <w:lang w:val="en-US"/>
        </w:rPr>
        <w:t>employment area,</w:t>
      </w:r>
      <w:r w:rsidRPr="00447901">
        <w:rPr>
          <w:iCs/>
          <w:lang w:val="en-US"/>
        </w:rPr>
        <w:t xml:space="preserve"> and </w:t>
      </w:r>
    </w:p>
    <w:p w14:paraId="093A3E06" w14:textId="16F19A9F" w:rsidR="00C840A9" w:rsidRDefault="00447901" w:rsidP="00430A3E">
      <w:pPr>
        <w:pStyle w:val="DecisionBody"/>
        <w:numPr>
          <w:ilvl w:val="0"/>
          <w:numId w:val="0"/>
        </w:numPr>
        <w:spacing w:beforeLines="0" w:before="0" w:afterLines="0" w:after="0"/>
        <w:ind w:left="990"/>
        <w:rPr>
          <w:iCs/>
          <w:lang w:val="en-US"/>
        </w:rPr>
      </w:pPr>
      <w:r w:rsidRPr="00447901">
        <w:rPr>
          <w:iCs/>
          <w:lang w:val="en-US"/>
        </w:rPr>
        <w:t>- the lands are not required over the long term for employment purposes.</w:t>
      </w:r>
    </w:p>
    <w:p w14:paraId="4DC57CFC" w14:textId="77777777" w:rsidR="00BC0DCF" w:rsidRPr="00447901" w:rsidRDefault="00BC0DCF" w:rsidP="00430A3E">
      <w:pPr>
        <w:pStyle w:val="DecisionBody"/>
        <w:numPr>
          <w:ilvl w:val="0"/>
          <w:numId w:val="0"/>
        </w:numPr>
        <w:spacing w:beforeLines="0" w:before="0" w:afterLines="0" w:after="0"/>
        <w:ind w:left="990"/>
        <w:rPr>
          <w:iCs/>
          <w:lang w:val="en-US"/>
        </w:rPr>
      </w:pPr>
    </w:p>
    <w:p w14:paraId="5BF14625" w14:textId="1A6A18FD" w:rsidR="00447901" w:rsidRDefault="00447901" w:rsidP="00DD170A">
      <w:pPr>
        <w:pStyle w:val="DecisionBody"/>
        <w:spacing w:beforeLines="0" w:before="0" w:afterLines="0" w:after="0"/>
        <w:rPr>
          <w:iCs/>
          <w:lang w:val="en-US"/>
        </w:rPr>
      </w:pPr>
      <w:r w:rsidRPr="00447901">
        <w:rPr>
          <w:iCs/>
          <w:lang w:val="en-US"/>
        </w:rPr>
        <w:t>The Tribunal concludes that, on balance, provincial policies promote the preservation and retention of existing employment designations. They do not appear to favour either proposal before the Tribunal on these Appeals.</w:t>
      </w:r>
    </w:p>
    <w:p w14:paraId="734D6D36" w14:textId="77777777" w:rsidR="00C840A9" w:rsidRPr="00447901" w:rsidRDefault="00C840A9" w:rsidP="00C840A9">
      <w:pPr>
        <w:pStyle w:val="DecisionBody"/>
        <w:numPr>
          <w:ilvl w:val="0"/>
          <w:numId w:val="0"/>
        </w:numPr>
        <w:spacing w:beforeLines="0" w:before="0" w:afterLines="0" w:after="0"/>
        <w:rPr>
          <w:iCs/>
          <w:lang w:val="en-US"/>
        </w:rPr>
      </w:pPr>
    </w:p>
    <w:p w14:paraId="3B04133D" w14:textId="5E6902AC" w:rsidR="00447901" w:rsidRDefault="00447901" w:rsidP="00C840A9">
      <w:pPr>
        <w:pStyle w:val="DecisionBody"/>
        <w:keepNext/>
        <w:keepLines/>
        <w:numPr>
          <w:ilvl w:val="0"/>
          <w:numId w:val="0"/>
        </w:numPr>
        <w:spacing w:beforeLines="0" w:before="0" w:afterLines="0" w:after="0"/>
        <w:rPr>
          <w:b/>
          <w:iCs/>
          <w:lang w:val="en-US"/>
        </w:rPr>
      </w:pPr>
      <w:r w:rsidRPr="00447901">
        <w:rPr>
          <w:b/>
          <w:iCs/>
          <w:lang w:val="en-US"/>
        </w:rPr>
        <w:t>Findings and Conclusions on Reisman and Mayflower</w:t>
      </w:r>
      <w:r w:rsidR="00A90E38">
        <w:rPr>
          <w:b/>
          <w:iCs/>
          <w:lang w:val="en-US"/>
        </w:rPr>
        <w:t xml:space="preserve"> </w:t>
      </w:r>
      <w:r w:rsidRPr="00447901">
        <w:rPr>
          <w:b/>
          <w:iCs/>
          <w:lang w:val="en-US"/>
        </w:rPr>
        <w:t>Appeals</w:t>
      </w:r>
    </w:p>
    <w:p w14:paraId="14EB37D7" w14:textId="77777777" w:rsidR="00C840A9" w:rsidRPr="00447901" w:rsidRDefault="00C840A9" w:rsidP="00C840A9">
      <w:pPr>
        <w:pStyle w:val="DecisionBody"/>
        <w:keepNext/>
        <w:keepLines/>
        <w:numPr>
          <w:ilvl w:val="0"/>
          <w:numId w:val="0"/>
        </w:numPr>
        <w:spacing w:beforeLines="0" w:before="0" w:afterLines="0" w:after="0"/>
        <w:rPr>
          <w:b/>
          <w:iCs/>
          <w:lang w:val="en-US"/>
        </w:rPr>
      </w:pPr>
    </w:p>
    <w:p w14:paraId="37D8E6A0" w14:textId="511565A6" w:rsidR="00447901" w:rsidRDefault="00447901" w:rsidP="00C840A9">
      <w:pPr>
        <w:pStyle w:val="DecisionBody"/>
        <w:keepNext/>
        <w:keepLines/>
        <w:spacing w:beforeLines="0" w:before="0" w:afterLines="0" w:after="0"/>
        <w:rPr>
          <w:iCs/>
          <w:lang w:val="en-US"/>
        </w:rPr>
      </w:pPr>
      <w:r w:rsidRPr="00447901">
        <w:rPr>
          <w:iCs/>
          <w:lang w:val="en-US"/>
        </w:rPr>
        <w:t xml:space="preserve">The question of whether the changes requested in the designations from CE to GE constituted a “conversion” was raised in the evidence.  The Tribunal notes that this was not raised as an issue in the Issues List, nor was it the subject of substantial evidence or cross. Ms. </w:t>
      </w:r>
      <w:r w:rsidR="0082627C">
        <w:rPr>
          <w:iCs/>
          <w:lang w:val="en-US"/>
        </w:rPr>
        <w:t>Heydorn</w:t>
      </w:r>
      <w:r w:rsidRPr="00447901">
        <w:rPr>
          <w:iCs/>
          <w:lang w:val="en-US"/>
        </w:rPr>
        <w:t xml:space="preserve"> merely referred to it in her witness statements. She stated:</w:t>
      </w:r>
    </w:p>
    <w:p w14:paraId="1B3D599A" w14:textId="77777777" w:rsidR="00A90E38" w:rsidRPr="00447901" w:rsidRDefault="00A90E38" w:rsidP="00A90E38">
      <w:pPr>
        <w:pStyle w:val="DecisionBody"/>
        <w:keepNext/>
        <w:keepLines/>
        <w:numPr>
          <w:ilvl w:val="0"/>
          <w:numId w:val="0"/>
        </w:numPr>
        <w:spacing w:beforeLines="0" w:before="0" w:afterLines="0" w:after="0"/>
        <w:rPr>
          <w:iCs/>
          <w:lang w:val="en-US"/>
        </w:rPr>
      </w:pPr>
    </w:p>
    <w:p w14:paraId="0A4E9D16" w14:textId="2C58A45E" w:rsidR="00C840A9" w:rsidRPr="00BC0DCF" w:rsidRDefault="00447901" w:rsidP="00BC0DCF">
      <w:pPr>
        <w:pStyle w:val="DecisionBody"/>
        <w:numPr>
          <w:ilvl w:val="0"/>
          <w:numId w:val="0"/>
        </w:numPr>
        <w:spacing w:beforeLines="0" w:before="0" w:afterLines="0" w:after="0" w:line="240" w:lineRule="auto"/>
        <w:ind w:left="1440" w:right="1080"/>
        <w:rPr>
          <w:iCs/>
          <w:sz w:val="20"/>
          <w:szCs w:val="20"/>
          <w:lang w:val="en-US"/>
        </w:rPr>
      </w:pPr>
      <w:r w:rsidRPr="000315E1">
        <w:rPr>
          <w:iCs/>
          <w:sz w:val="20"/>
          <w:szCs w:val="20"/>
          <w:lang w:val="en-US"/>
        </w:rPr>
        <w:t xml:space="preserve">I disagree with Mr. McDermott that the redesignation of the lands from </w:t>
      </w:r>
      <w:r w:rsidRPr="000315E1">
        <w:rPr>
          <w:i/>
          <w:iCs/>
          <w:sz w:val="20"/>
          <w:szCs w:val="20"/>
          <w:lang w:val="en-US"/>
        </w:rPr>
        <w:t xml:space="preserve">Core Employment Areas </w:t>
      </w:r>
      <w:r w:rsidRPr="000315E1">
        <w:rPr>
          <w:iCs/>
          <w:sz w:val="20"/>
          <w:szCs w:val="20"/>
          <w:lang w:val="en-US"/>
        </w:rPr>
        <w:t xml:space="preserve">to </w:t>
      </w:r>
      <w:r w:rsidRPr="000315E1">
        <w:rPr>
          <w:i/>
          <w:iCs/>
          <w:sz w:val="20"/>
          <w:szCs w:val="20"/>
          <w:lang w:val="en-US"/>
        </w:rPr>
        <w:t xml:space="preserve">General Employment Areas </w:t>
      </w:r>
      <w:r w:rsidRPr="000315E1">
        <w:rPr>
          <w:iCs/>
          <w:sz w:val="20"/>
          <w:szCs w:val="20"/>
          <w:lang w:val="en-US"/>
        </w:rPr>
        <w:t xml:space="preserve">does not represent a removal or conversion of employment lands (Paragraph 8.6). The Conversion and Removal Policies for </w:t>
      </w:r>
      <w:r w:rsidRPr="000315E1">
        <w:rPr>
          <w:i/>
          <w:iCs/>
          <w:sz w:val="20"/>
          <w:szCs w:val="20"/>
          <w:lang w:val="en-US"/>
        </w:rPr>
        <w:t xml:space="preserve">Employment Areas </w:t>
      </w:r>
      <w:r w:rsidRPr="000315E1">
        <w:rPr>
          <w:iCs/>
          <w:sz w:val="20"/>
          <w:szCs w:val="20"/>
          <w:lang w:val="en-US"/>
        </w:rPr>
        <w:t>of OPA 231, as approved, explicitly state that:</w:t>
      </w:r>
    </w:p>
    <w:p w14:paraId="34213925" w14:textId="77777777" w:rsidR="00456E54" w:rsidRDefault="00447901" w:rsidP="000315E1">
      <w:pPr>
        <w:pStyle w:val="DecisionBody"/>
        <w:numPr>
          <w:ilvl w:val="0"/>
          <w:numId w:val="0"/>
        </w:numPr>
        <w:spacing w:beforeLines="0" w:before="0" w:afterLines="0" w:after="0" w:line="240" w:lineRule="auto"/>
        <w:ind w:left="1980" w:right="1080"/>
        <w:rPr>
          <w:sz w:val="20"/>
          <w:szCs w:val="20"/>
          <w:lang w:val="en-US"/>
        </w:rPr>
      </w:pPr>
      <w:r w:rsidRPr="000315E1">
        <w:rPr>
          <w:sz w:val="20"/>
          <w:szCs w:val="20"/>
          <w:lang w:val="en-US"/>
        </w:rPr>
        <w:t xml:space="preserve">The redesignation of land from an </w:t>
      </w:r>
      <w:r w:rsidRPr="00B063EF">
        <w:rPr>
          <w:sz w:val="20"/>
          <w:szCs w:val="20"/>
          <w:lang w:val="en-US"/>
        </w:rPr>
        <w:t xml:space="preserve">Employment Area </w:t>
      </w:r>
      <w:r w:rsidRPr="000315E1">
        <w:rPr>
          <w:sz w:val="20"/>
          <w:szCs w:val="20"/>
          <w:lang w:val="en-US"/>
        </w:rPr>
        <w:t xml:space="preserve">designation to any other designation, by way of an Official Plan Amendment, or the introduction of a use that is otherwise not permitted in an </w:t>
      </w:r>
      <w:r w:rsidRPr="00B063EF">
        <w:rPr>
          <w:sz w:val="20"/>
          <w:szCs w:val="20"/>
          <w:lang w:val="en-US"/>
        </w:rPr>
        <w:t xml:space="preserve">Employment Area </w:t>
      </w:r>
      <w:r w:rsidRPr="000315E1">
        <w:rPr>
          <w:sz w:val="20"/>
          <w:szCs w:val="20"/>
          <w:lang w:val="en-US"/>
        </w:rPr>
        <w:t xml:space="preserve">is a conversion of land within an </w:t>
      </w:r>
      <w:r w:rsidRPr="00B063EF">
        <w:rPr>
          <w:sz w:val="20"/>
          <w:szCs w:val="20"/>
          <w:lang w:val="en-US"/>
        </w:rPr>
        <w:t xml:space="preserve">Employment Area </w:t>
      </w:r>
      <w:r w:rsidRPr="000315E1">
        <w:rPr>
          <w:sz w:val="20"/>
          <w:szCs w:val="20"/>
          <w:lang w:val="en-US"/>
        </w:rPr>
        <w:t xml:space="preserve">and is also a removal of land from an Employment Area, and may only be permitted by way of a Municipal Comprehensive Review. The introduction of a use that may be permitted in a </w:t>
      </w:r>
      <w:r w:rsidRPr="00B063EF">
        <w:rPr>
          <w:sz w:val="20"/>
          <w:szCs w:val="20"/>
          <w:lang w:val="en-US"/>
        </w:rPr>
        <w:t xml:space="preserve">General Employment Area </w:t>
      </w:r>
      <w:r w:rsidRPr="000315E1">
        <w:rPr>
          <w:sz w:val="20"/>
          <w:szCs w:val="20"/>
          <w:lang w:val="en-US"/>
        </w:rPr>
        <w:t xml:space="preserve">into a </w:t>
      </w:r>
      <w:r w:rsidRPr="00B063EF">
        <w:rPr>
          <w:sz w:val="20"/>
          <w:szCs w:val="20"/>
          <w:lang w:val="en-US"/>
        </w:rPr>
        <w:t xml:space="preserve">Core Employment Area </w:t>
      </w:r>
      <w:r w:rsidRPr="000315E1">
        <w:rPr>
          <w:sz w:val="20"/>
          <w:szCs w:val="20"/>
          <w:lang w:val="en-US"/>
        </w:rPr>
        <w:t xml:space="preserve">or the redesignation of a </w:t>
      </w:r>
      <w:r w:rsidRPr="00B063EF">
        <w:rPr>
          <w:sz w:val="20"/>
          <w:szCs w:val="20"/>
          <w:lang w:val="en-US"/>
        </w:rPr>
        <w:t xml:space="preserve">Core Employment Area </w:t>
      </w:r>
      <w:r w:rsidRPr="000315E1">
        <w:rPr>
          <w:sz w:val="20"/>
          <w:szCs w:val="20"/>
          <w:lang w:val="en-US"/>
        </w:rPr>
        <w:t xml:space="preserve">into a </w:t>
      </w:r>
      <w:r w:rsidRPr="00B063EF">
        <w:rPr>
          <w:sz w:val="20"/>
          <w:szCs w:val="20"/>
          <w:lang w:val="en-US"/>
        </w:rPr>
        <w:t xml:space="preserve">General </w:t>
      </w:r>
    </w:p>
    <w:p w14:paraId="26AD1C51" w14:textId="77777777" w:rsidR="00456E54" w:rsidRDefault="00456E54">
      <w:pPr>
        <w:rPr>
          <w:rFonts w:ascii="Arial" w:hAnsi="Arial"/>
          <w:bCs/>
          <w:sz w:val="20"/>
          <w:szCs w:val="20"/>
        </w:rPr>
      </w:pPr>
      <w:r>
        <w:rPr>
          <w:sz w:val="20"/>
          <w:szCs w:val="20"/>
        </w:rPr>
        <w:br w:type="page"/>
      </w:r>
    </w:p>
    <w:p w14:paraId="2E8A631E" w14:textId="799A11E3" w:rsidR="00447901" w:rsidRPr="000315E1" w:rsidRDefault="00447901" w:rsidP="000315E1">
      <w:pPr>
        <w:pStyle w:val="DecisionBody"/>
        <w:numPr>
          <w:ilvl w:val="0"/>
          <w:numId w:val="0"/>
        </w:numPr>
        <w:spacing w:beforeLines="0" w:before="0" w:afterLines="0" w:after="0" w:line="240" w:lineRule="auto"/>
        <w:ind w:left="1980" w:right="1080"/>
        <w:rPr>
          <w:sz w:val="20"/>
          <w:szCs w:val="20"/>
          <w:lang w:val="en-US"/>
        </w:rPr>
      </w:pPr>
      <w:r w:rsidRPr="00B063EF">
        <w:rPr>
          <w:sz w:val="20"/>
          <w:szCs w:val="20"/>
          <w:lang w:val="en-US"/>
        </w:rPr>
        <w:t xml:space="preserve">Employment Area </w:t>
      </w:r>
      <w:r w:rsidRPr="000315E1">
        <w:rPr>
          <w:sz w:val="20"/>
          <w:szCs w:val="20"/>
          <w:lang w:val="en-US"/>
        </w:rPr>
        <w:t>designation is also a conversion and may only be permitted by way of a Municipal Comprehensive Review.</w:t>
      </w:r>
    </w:p>
    <w:p w14:paraId="16C09A5E" w14:textId="77777777" w:rsidR="00C840A9" w:rsidRPr="00377DB9" w:rsidRDefault="00C840A9" w:rsidP="000315E1">
      <w:pPr>
        <w:pStyle w:val="DecisionBody"/>
        <w:numPr>
          <w:ilvl w:val="0"/>
          <w:numId w:val="0"/>
        </w:numPr>
        <w:spacing w:beforeLines="0" w:before="0" w:afterLines="0" w:after="0" w:line="240" w:lineRule="auto"/>
        <w:ind w:left="1980" w:right="1080"/>
        <w:rPr>
          <w:i/>
          <w:iCs/>
          <w:sz w:val="20"/>
          <w:szCs w:val="20"/>
          <w:lang w:val="en-US"/>
        </w:rPr>
      </w:pPr>
    </w:p>
    <w:p w14:paraId="707725F6" w14:textId="3CE95FAE" w:rsidR="00B063EF" w:rsidRDefault="00447901" w:rsidP="00A90E38">
      <w:pPr>
        <w:pStyle w:val="DecisionBody"/>
        <w:numPr>
          <w:ilvl w:val="0"/>
          <w:numId w:val="0"/>
        </w:numPr>
        <w:spacing w:beforeLines="0" w:before="0" w:afterLines="0" w:after="0" w:line="240" w:lineRule="auto"/>
        <w:ind w:left="2790" w:right="1170"/>
        <w:jc w:val="right"/>
        <w:rPr>
          <w:sz w:val="20"/>
          <w:szCs w:val="20"/>
          <w:lang w:val="en-US"/>
        </w:rPr>
      </w:pPr>
      <w:r w:rsidRPr="000315E1">
        <w:rPr>
          <w:sz w:val="20"/>
          <w:szCs w:val="20"/>
          <w:lang w:val="en-US"/>
        </w:rPr>
        <w:t xml:space="preserve">OPA 231, April 2021 Consolidation, Policy 2.2.4.14, </w:t>
      </w:r>
    </w:p>
    <w:p w14:paraId="40475BAB" w14:textId="77777777" w:rsidR="00B063EF" w:rsidRDefault="00447901" w:rsidP="00A90E38">
      <w:pPr>
        <w:pStyle w:val="DecisionBody"/>
        <w:numPr>
          <w:ilvl w:val="0"/>
          <w:numId w:val="0"/>
        </w:numPr>
        <w:spacing w:beforeLines="0" w:before="0" w:afterLines="0" w:after="0" w:line="240" w:lineRule="auto"/>
        <w:ind w:left="2790" w:right="1170"/>
        <w:jc w:val="right"/>
        <w:rPr>
          <w:sz w:val="20"/>
          <w:szCs w:val="20"/>
          <w:lang w:val="en-US"/>
        </w:rPr>
      </w:pPr>
      <w:r w:rsidRPr="000315E1">
        <w:rPr>
          <w:sz w:val="20"/>
          <w:szCs w:val="20"/>
          <w:lang w:val="en-US"/>
        </w:rPr>
        <w:t xml:space="preserve">April 26, 2021 Decision and Order of the LPAT, </w:t>
      </w:r>
    </w:p>
    <w:p w14:paraId="1602D150" w14:textId="25F843A2" w:rsidR="00447901" w:rsidRPr="000315E1" w:rsidRDefault="00447901" w:rsidP="000315E1">
      <w:pPr>
        <w:pStyle w:val="DecisionBody"/>
        <w:numPr>
          <w:ilvl w:val="0"/>
          <w:numId w:val="0"/>
        </w:numPr>
        <w:spacing w:beforeLines="0" w:before="0" w:afterLines="0" w:after="0" w:line="240" w:lineRule="auto"/>
        <w:ind w:left="2790" w:right="1170"/>
        <w:jc w:val="right"/>
        <w:rPr>
          <w:sz w:val="20"/>
          <w:szCs w:val="20"/>
          <w:lang w:val="en-US"/>
        </w:rPr>
      </w:pPr>
      <w:r w:rsidRPr="000315E1">
        <w:rPr>
          <w:sz w:val="20"/>
          <w:szCs w:val="20"/>
          <w:lang w:val="en-US"/>
        </w:rPr>
        <w:t>Case No. PL140860</w:t>
      </w:r>
    </w:p>
    <w:p w14:paraId="71EF7D6A" w14:textId="77777777" w:rsidR="00C840A9" w:rsidRPr="00447901" w:rsidRDefault="00C840A9" w:rsidP="00C840A9">
      <w:pPr>
        <w:pStyle w:val="DecisionBody"/>
        <w:numPr>
          <w:ilvl w:val="0"/>
          <w:numId w:val="0"/>
        </w:numPr>
        <w:spacing w:beforeLines="0" w:before="0" w:afterLines="0" w:after="0"/>
        <w:rPr>
          <w:i/>
          <w:iCs/>
          <w:lang w:val="en-US"/>
        </w:rPr>
      </w:pPr>
    </w:p>
    <w:p w14:paraId="6A043A0F" w14:textId="450E7C3E" w:rsidR="00447901" w:rsidRDefault="00447901" w:rsidP="00DD170A">
      <w:pPr>
        <w:pStyle w:val="DecisionBody"/>
        <w:spacing w:beforeLines="0" w:before="0" w:afterLines="0" w:after="0"/>
        <w:rPr>
          <w:iCs/>
          <w:lang w:val="en-US"/>
        </w:rPr>
      </w:pPr>
      <w:r w:rsidRPr="00447901">
        <w:rPr>
          <w:iCs/>
          <w:lang w:val="en-US"/>
        </w:rPr>
        <w:t xml:space="preserve"> The Tribunal makes no finding on this issue, other than to note the procedural </w:t>
      </w:r>
      <w:r w:rsidRPr="00447901">
        <w:rPr>
          <w:iCs/>
          <w:lang w:val="en-US"/>
        </w:rPr>
        <w:lastRenderedPageBreak/>
        <w:t>requirement of an MCR before significant changes are authorized.</w:t>
      </w:r>
    </w:p>
    <w:p w14:paraId="57C126FF" w14:textId="77777777" w:rsidR="00C840A9" w:rsidRPr="00447901" w:rsidRDefault="00C840A9" w:rsidP="00C840A9">
      <w:pPr>
        <w:pStyle w:val="DecisionBody"/>
        <w:numPr>
          <w:ilvl w:val="0"/>
          <w:numId w:val="0"/>
        </w:numPr>
        <w:spacing w:beforeLines="0" w:before="0" w:afterLines="0" w:after="0"/>
        <w:rPr>
          <w:iCs/>
          <w:lang w:val="en-US"/>
        </w:rPr>
      </w:pPr>
    </w:p>
    <w:p w14:paraId="53B1D669" w14:textId="63694F92" w:rsidR="00447901" w:rsidRDefault="00447901" w:rsidP="000315E1">
      <w:pPr>
        <w:pStyle w:val="DecisionBody"/>
        <w:widowControl/>
        <w:spacing w:beforeLines="0" w:before="0" w:afterLines="0" w:after="0"/>
        <w:rPr>
          <w:iCs/>
          <w:lang w:val="en-US"/>
        </w:rPr>
      </w:pPr>
      <w:r w:rsidRPr="00447901">
        <w:rPr>
          <w:iCs/>
          <w:lang w:val="en-US"/>
        </w:rPr>
        <w:t>Mr. McDermott’s evidence in support for the Appellants’ proposal appears to be overly focused on existing development.  In supporting the SASP</w:t>
      </w:r>
      <w:r w:rsidR="00B063EF">
        <w:rPr>
          <w:iCs/>
          <w:lang w:val="en-US"/>
        </w:rPr>
        <w:t>,</w:t>
      </w:r>
      <w:r w:rsidRPr="00447901">
        <w:rPr>
          <w:iCs/>
          <w:lang w:val="en-US"/>
        </w:rPr>
        <w:t xml:space="preserve"> he says that it “will ensure current development approvals”.  And in support of the designations</w:t>
      </w:r>
      <w:r w:rsidR="00B063EF">
        <w:rPr>
          <w:iCs/>
          <w:lang w:val="en-US"/>
        </w:rPr>
        <w:t>,</w:t>
      </w:r>
      <w:r w:rsidRPr="00447901">
        <w:rPr>
          <w:iCs/>
          <w:lang w:val="en-US"/>
        </w:rPr>
        <w:t xml:space="preserve"> he referred to “the existing development rights and the scale and nature of the existing built form”.</w:t>
      </w:r>
    </w:p>
    <w:p w14:paraId="1ADAB8DA" w14:textId="77777777" w:rsidR="00C840A9" w:rsidRPr="00447901" w:rsidRDefault="00C840A9" w:rsidP="00C840A9">
      <w:pPr>
        <w:pStyle w:val="DecisionBody"/>
        <w:numPr>
          <w:ilvl w:val="0"/>
          <w:numId w:val="0"/>
        </w:numPr>
        <w:spacing w:beforeLines="0" w:before="0" w:afterLines="0" w:after="0"/>
        <w:rPr>
          <w:iCs/>
          <w:lang w:val="en-US"/>
        </w:rPr>
      </w:pPr>
    </w:p>
    <w:p w14:paraId="171FAC13" w14:textId="60086FE6" w:rsidR="00C840A9" w:rsidRDefault="00447901" w:rsidP="00A90E38">
      <w:pPr>
        <w:pStyle w:val="DecisionBody"/>
        <w:spacing w:beforeLines="0" w:before="0" w:afterLines="0" w:after="0"/>
        <w:rPr>
          <w:iCs/>
          <w:lang w:val="en-US"/>
        </w:rPr>
      </w:pPr>
      <w:r w:rsidRPr="00447901">
        <w:rPr>
          <w:iCs/>
          <w:lang w:val="en-US"/>
        </w:rPr>
        <w:t>This appears to the Tribunal to be maintaining the status quo, and not the future as the City</w:t>
      </w:r>
      <w:r w:rsidR="00B063EF">
        <w:rPr>
          <w:iCs/>
          <w:lang w:val="en-US"/>
        </w:rPr>
        <w:t xml:space="preserve"> of Toronto</w:t>
      </w:r>
      <w:r w:rsidRPr="00447901">
        <w:rPr>
          <w:iCs/>
          <w:lang w:val="en-US"/>
        </w:rPr>
        <w:t xml:space="preserve"> is directed by the </w:t>
      </w:r>
      <w:r w:rsidR="00B063EF">
        <w:rPr>
          <w:iCs/>
          <w:lang w:val="en-US"/>
        </w:rPr>
        <w:t>GP</w:t>
      </w:r>
      <w:r w:rsidRPr="00447901">
        <w:rPr>
          <w:iCs/>
          <w:lang w:val="en-US"/>
        </w:rPr>
        <w:t xml:space="preserve"> to accomplish.</w:t>
      </w:r>
    </w:p>
    <w:p w14:paraId="1BCBAA81" w14:textId="77777777" w:rsidR="00B063EF" w:rsidRPr="00A90E38" w:rsidRDefault="00B063EF" w:rsidP="00BC0DCF">
      <w:pPr>
        <w:pStyle w:val="DecisionBody"/>
        <w:numPr>
          <w:ilvl w:val="0"/>
          <w:numId w:val="0"/>
        </w:numPr>
        <w:spacing w:beforeLines="0" w:before="0" w:afterLines="0" w:after="0"/>
        <w:rPr>
          <w:iCs/>
          <w:lang w:val="en-US"/>
        </w:rPr>
      </w:pPr>
    </w:p>
    <w:p w14:paraId="5E89B0F5" w14:textId="54C9F92E" w:rsidR="00447901" w:rsidRDefault="00447901" w:rsidP="00DD170A">
      <w:pPr>
        <w:pStyle w:val="DecisionBody"/>
        <w:spacing w:beforeLines="0" w:before="0" w:afterLines="0" w:after="0"/>
        <w:rPr>
          <w:iCs/>
          <w:lang w:val="en-US"/>
        </w:rPr>
      </w:pPr>
      <w:r w:rsidRPr="00447901">
        <w:rPr>
          <w:iCs/>
          <w:lang w:val="en-US"/>
        </w:rPr>
        <w:t xml:space="preserve">The Tribunal accepts the opinion of Ms. </w:t>
      </w:r>
      <w:r w:rsidR="0082627C">
        <w:rPr>
          <w:iCs/>
          <w:lang w:val="en-US"/>
        </w:rPr>
        <w:t>Heydorn</w:t>
      </w:r>
      <w:r w:rsidRPr="00447901">
        <w:rPr>
          <w:iCs/>
          <w:lang w:val="en-US"/>
        </w:rPr>
        <w:t xml:space="preserve"> with respect to these Appeals as follows:</w:t>
      </w:r>
    </w:p>
    <w:p w14:paraId="4502B25E" w14:textId="77777777" w:rsidR="00C840A9" w:rsidRPr="00447901" w:rsidRDefault="00C840A9" w:rsidP="00C840A9">
      <w:pPr>
        <w:pStyle w:val="DecisionBody"/>
        <w:numPr>
          <w:ilvl w:val="0"/>
          <w:numId w:val="0"/>
        </w:numPr>
        <w:spacing w:beforeLines="0" w:before="0" w:afterLines="0" w:after="0"/>
        <w:rPr>
          <w:iCs/>
          <w:lang w:val="en-US"/>
        </w:rPr>
      </w:pPr>
    </w:p>
    <w:p w14:paraId="24D4AB8A" w14:textId="3DFFF373" w:rsidR="00C840A9" w:rsidRDefault="00447901" w:rsidP="00200BBC">
      <w:pPr>
        <w:pStyle w:val="DecisionBody"/>
        <w:spacing w:beforeLines="0" w:before="0" w:afterLines="0" w:after="0"/>
        <w:rPr>
          <w:iCs/>
          <w:lang w:val="en-US"/>
        </w:rPr>
      </w:pPr>
      <w:r w:rsidRPr="00447901">
        <w:rPr>
          <w:iCs/>
          <w:lang w:val="en-US"/>
        </w:rPr>
        <w:t xml:space="preserve">With respect to Reisman Appeal </w:t>
      </w:r>
      <w:r w:rsidR="00B063EF">
        <w:rPr>
          <w:iCs/>
          <w:lang w:val="en-US"/>
        </w:rPr>
        <w:t>No.</w:t>
      </w:r>
      <w:r w:rsidRPr="00447901">
        <w:rPr>
          <w:iCs/>
          <w:lang w:val="en-US"/>
        </w:rPr>
        <w:t xml:space="preserve"> </w:t>
      </w:r>
      <w:r w:rsidR="00B063EF">
        <w:rPr>
          <w:iCs/>
          <w:lang w:val="en-US"/>
        </w:rPr>
        <w:t>54</w:t>
      </w:r>
      <w:r w:rsidR="00BE7831" w:rsidRPr="00447901">
        <w:rPr>
          <w:iCs/>
          <w:lang w:val="en-US"/>
        </w:rPr>
        <w:t>,</w:t>
      </w:r>
      <w:r w:rsidR="00BE7831">
        <w:rPr>
          <w:iCs/>
          <w:lang w:val="en-US"/>
        </w:rPr>
        <w:t xml:space="preserve"> the Tribunal </w:t>
      </w:r>
      <w:r w:rsidRPr="00447901">
        <w:rPr>
          <w:iCs/>
          <w:lang w:val="en-US"/>
        </w:rPr>
        <w:t>agree</w:t>
      </w:r>
      <w:r w:rsidR="00BE7831">
        <w:rPr>
          <w:iCs/>
          <w:lang w:val="en-US"/>
        </w:rPr>
        <w:t>s</w:t>
      </w:r>
      <w:r w:rsidRPr="00447901">
        <w:rPr>
          <w:iCs/>
          <w:lang w:val="en-US"/>
        </w:rPr>
        <w:t xml:space="preserve"> with Ms. </w:t>
      </w:r>
      <w:r w:rsidR="0082627C">
        <w:rPr>
          <w:iCs/>
          <w:lang w:val="en-US"/>
        </w:rPr>
        <w:t>Heydorn</w:t>
      </w:r>
      <w:r w:rsidRPr="00447901">
        <w:rPr>
          <w:iCs/>
          <w:lang w:val="en-US"/>
        </w:rPr>
        <w:t xml:space="preserve"> that the SASP proposed by the Appellant that would place a cap on retail uses in that block is undesirable. It is unnecessary layering and changes the intent of the designation. The cap proposed was not supported by any factual evidence. The matter of size can be more properly dealt with in a zoning by-law</w:t>
      </w:r>
      <w:r w:rsidR="00C840A9">
        <w:rPr>
          <w:iCs/>
          <w:lang w:val="en-US"/>
        </w:rPr>
        <w:t>.</w:t>
      </w:r>
    </w:p>
    <w:p w14:paraId="78403055" w14:textId="5FA6754D" w:rsidR="00B063EF" w:rsidRPr="00200BBC" w:rsidRDefault="00BC0DCF" w:rsidP="00BC0DCF">
      <w:pPr>
        <w:pStyle w:val="DecisionBody"/>
        <w:numPr>
          <w:ilvl w:val="0"/>
          <w:numId w:val="0"/>
        </w:numPr>
        <w:tabs>
          <w:tab w:val="left" w:pos="7305"/>
        </w:tabs>
        <w:spacing w:beforeLines="0" w:before="0" w:afterLines="0" w:after="0"/>
        <w:rPr>
          <w:iCs/>
          <w:lang w:val="en-US"/>
        </w:rPr>
      </w:pPr>
      <w:r>
        <w:rPr>
          <w:iCs/>
          <w:lang w:val="en-US"/>
        </w:rPr>
        <w:tab/>
      </w:r>
    </w:p>
    <w:p w14:paraId="0C3CEC78" w14:textId="55F117BE" w:rsidR="00447901" w:rsidRDefault="00447901" w:rsidP="00DD170A">
      <w:pPr>
        <w:pStyle w:val="DecisionBody"/>
        <w:spacing w:beforeLines="0" w:before="0" w:afterLines="0" w:after="0"/>
        <w:rPr>
          <w:iCs/>
          <w:lang w:val="en-US"/>
        </w:rPr>
      </w:pPr>
      <w:r w:rsidRPr="00447901">
        <w:rPr>
          <w:iCs/>
          <w:lang w:val="en-US"/>
        </w:rPr>
        <w:t>With respect to Appeal</w:t>
      </w:r>
      <w:r w:rsidR="00B063EF">
        <w:rPr>
          <w:iCs/>
          <w:lang w:val="en-US"/>
        </w:rPr>
        <w:t xml:space="preserve"> Nos.</w:t>
      </w:r>
      <w:r w:rsidRPr="00447901">
        <w:rPr>
          <w:iCs/>
          <w:lang w:val="en-US"/>
        </w:rPr>
        <w:t xml:space="preserve"> 9 and 123, the Tribunal again prefers the evidence of  Ms. </w:t>
      </w:r>
      <w:r w:rsidR="0082627C">
        <w:rPr>
          <w:iCs/>
          <w:lang w:val="en-US"/>
        </w:rPr>
        <w:t>Heydorn</w:t>
      </w:r>
      <w:r w:rsidRPr="00447901">
        <w:rPr>
          <w:iCs/>
          <w:lang w:val="en-US"/>
        </w:rPr>
        <w:t xml:space="preserve"> on the issues and of the impact on and the influence of existing uses. This is also true on their size and nature, especially the church lands which form the southern boundary of the Reisman </w:t>
      </w:r>
      <w:r w:rsidR="00151587">
        <w:rPr>
          <w:iCs/>
          <w:lang w:val="en-US"/>
        </w:rPr>
        <w:t>L</w:t>
      </w:r>
      <w:r w:rsidRPr="00447901">
        <w:rPr>
          <w:iCs/>
          <w:lang w:val="en-US"/>
        </w:rPr>
        <w:t>ands. These are the subject of a special agreement with respect to future uses and challenges to them.</w:t>
      </w:r>
    </w:p>
    <w:p w14:paraId="3B1E0AA0" w14:textId="77777777" w:rsidR="00C840A9" w:rsidRPr="00447901" w:rsidRDefault="00C840A9" w:rsidP="00C840A9">
      <w:pPr>
        <w:pStyle w:val="DecisionBody"/>
        <w:numPr>
          <w:ilvl w:val="0"/>
          <w:numId w:val="0"/>
        </w:numPr>
        <w:spacing w:beforeLines="0" w:before="0" w:afterLines="0" w:after="0"/>
        <w:rPr>
          <w:iCs/>
          <w:lang w:val="en-US"/>
        </w:rPr>
      </w:pPr>
    </w:p>
    <w:p w14:paraId="2B80EC93" w14:textId="21C7D1FC" w:rsidR="00DD170A" w:rsidRDefault="00447901" w:rsidP="00456E54">
      <w:pPr>
        <w:pStyle w:val="DecisionBody"/>
        <w:widowControl/>
        <w:spacing w:beforeLines="0" w:before="0" w:afterLines="0" w:after="0"/>
        <w:rPr>
          <w:iCs/>
          <w:lang w:val="en-US"/>
        </w:rPr>
      </w:pPr>
      <w:r w:rsidRPr="00447901">
        <w:rPr>
          <w:iCs/>
          <w:lang w:val="en-US"/>
        </w:rPr>
        <w:t>On the Appellants’ proposals for alterations from Core to General Employment, the Tribunal is persuaded by the City</w:t>
      </w:r>
      <w:r w:rsidR="00151587">
        <w:rPr>
          <w:iCs/>
          <w:lang w:val="en-US"/>
        </w:rPr>
        <w:t xml:space="preserve"> of Toronto</w:t>
      </w:r>
      <w:r w:rsidRPr="00447901">
        <w:rPr>
          <w:iCs/>
          <w:lang w:val="en-US"/>
        </w:rPr>
        <w:t>’s argument for retention of the CE designation in OPA 231.  The same argument in favour of adequate separation distances from industrial uses should govern here.</w:t>
      </w:r>
    </w:p>
    <w:p w14:paraId="47A16BBD" w14:textId="77777777" w:rsidR="00456E54" w:rsidRDefault="00456E54" w:rsidP="00DD170A">
      <w:pPr>
        <w:pStyle w:val="DecisionBody"/>
        <w:numPr>
          <w:ilvl w:val="0"/>
          <w:numId w:val="0"/>
        </w:numPr>
        <w:spacing w:beforeLines="0" w:before="0" w:afterLines="0" w:after="0"/>
        <w:rPr>
          <w:iCs/>
          <w:lang w:val="en-US"/>
        </w:rPr>
      </w:pPr>
    </w:p>
    <w:p w14:paraId="0AF0BC10" w14:textId="7CCFB6B6" w:rsidR="00447901" w:rsidRDefault="00447901" w:rsidP="00DD170A">
      <w:pPr>
        <w:pStyle w:val="DecisionBody"/>
        <w:numPr>
          <w:ilvl w:val="0"/>
          <w:numId w:val="0"/>
        </w:numPr>
        <w:spacing w:beforeLines="0" w:before="0" w:afterLines="0" w:after="0"/>
        <w:rPr>
          <w:b/>
          <w:iCs/>
          <w:lang w:val="en-US"/>
        </w:rPr>
      </w:pPr>
      <w:r w:rsidRPr="000315E1">
        <w:rPr>
          <w:b/>
          <w:iCs/>
          <w:lang w:val="en-US"/>
        </w:rPr>
        <w:t xml:space="preserve">Findings and Conclusions on the Choice </w:t>
      </w:r>
      <w:r w:rsidR="001F7C81" w:rsidRPr="000315E1">
        <w:rPr>
          <w:b/>
          <w:iCs/>
          <w:lang w:val="en-US"/>
        </w:rPr>
        <w:t>L</w:t>
      </w:r>
      <w:r w:rsidRPr="000315E1">
        <w:rPr>
          <w:b/>
          <w:iCs/>
          <w:lang w:val="en-US"/>
        </w:rPr>
        <w:t>ands</w:t>
      </w:r>
    </w:p>
    <w:p w14:paraId="3625A72F" w14:textId="77777777" w:rsidR="00C840A9" w:rsidRPr="00447901" w:rsidRDefault="00C840A9" w:rsidP="00DD170A">
      <w:pPr>
        <w:pStyle w:val="DecisionBody"/>
        <w:numPr>
          <w:ilvl w:val="0"/>
          <w:numId w:val="0"/>
        </w:numPr>
        <w:spacing w:beforeLines="0" w:before="0" w:afterLines="0" w:after="0"/>
        <w:rPr>
          <w:iCs/>
          <w:lang w:val="en-US"/>
        </w:rPr>
      </w:pPr>
    </w:p>
    <w:p w14:paraId="41B52997" w14:textId="6ACC5DEB" w:rsidR="00447901" w:rsidRDefault="00447901" w:rsidP="00DD170A">
      <w:pPr>
        <w:pStyle w:val="DecisionBody"/>
        <w:spacing w:beforeLines="0" w:before="0" w:afterLines="0" w:after="0"/>
        <w:rPr>
          <w:iCs/>
          <w:lang w:val="en-US"/>
        </w:rPr>
      </w:pPr>
      <w:r w:rsidRPr="00447901">
        <w:rPr>
          <w:iCs/>
          <w:lang w:val="en-US"/>
        </w:rPr>
        <w:t xml:space="preserve">One mechanism for protection </w:t>
      </w:r>
      <w:r w:rsidR="00A16E07">
        <w:rPr>
          <w:iCs/>
          <w:lang w:val="en-US"/>
        </w:rPr>
        <w:t xml:space="preserve">of employment lands </w:t>
      </w:r>
      <w:r w:rsidRPr="00447901">
        <w:rPr>
          <w:iCs/>
          <w:lang w:val="en-US"/>
        </w:rPr>
        <w:t>is to refuse manufacturing uses next to “sensitive” uses, or the opposite. The Choice witnesses say that this should not override the PPS policies in favour of residential uses close to higher level transit.  The proposed high-rise residential uses on this site should be permitted, they argue, as they would be next to the GO station, part of the FastTrack network. While this may be true in general, this premise does not authorize the many proposed residential structures on this fairly small site. The context here includes both employment and residential neighbourhoods, existing and planned.  There is no obvious “need” for this redesignation.</w:t>
      </w:r>
    </w:p>
    <w:p w14:paraId="4D1D0130" w14:textId="77777777" w:rsidR="00C840A9" w:rsidRPr="00447901" w:rsidRDefault="00C840A9" w:rsidP="00C840A9">
      <w:pPr>
        <w:pStyle w:val="DecisionBody"/>
        <w:numPr>
          <w:ilvl w:val="0"/>
          <w:numId w:val="0"/>
        </w:numPr>
        <w:spacing w:beforeLines="0" w:before="0" w:afterLines="0" w:after="0"/>
        <w:rPr>
          <w:iCs/>
          <w:lang w:val="en-US"/>
        </w:rPr>
      </w:pPr>
    </w:p>
    <w:p w14:paraId="2A6F2CE7" w14:textId="3CF06577" w:rsidR="00447901" w:rsidRDefault="00447901" w:rsidP="00DD170A">
      <w:pPr>
        <w:pStyle w:val="DecisionBody"/>
        <w:spacing w:beforeLines="0" w:before="0" w:afterLines="0" w:after="0"/>
        <w:rPr>
          <w:iCs/>
          <w:lang w:val="en-US"/>
        </w:rPr>
      </w:pPr>
      <w:r w:rsidRPr="00447901">
        <w:rPr>
          <w:iCs/>
          <w:lang w:val="en-US"/>
        </w:rPr>
        <w:t xml:space="preserve">It seems clear that significant residential towers, even with some commercial or retail uses, will do little to preserve or increase the desired employment uses. The evidence of Mr. Michael to the contrary was not persuasive, as it appeared too speculative as applied to this specific neighbourhood.  Office uses are increasing elsewhere, closer to downtown neighbourhoods, he said.  There is little evidence in support of increased office or other employment uses here should the desired towers be </w:t>
      </w:r>
      <w:r w:rsidR="00151587" w:rsidRPr="00447901">
        <w:rPr>
          <w:iCs/>
          <w:lang w:val="en-US"/>
        </w:rPr>
        <w:t>built</w:t>
      </w:r>
      <w:r w:rsidRPr="00447901">
        <w:rPr>
          <w:iCs/>
          <w:lang w:val="en-US"/>
        </w:rPr>
        <w:t>.</w:t>
      </w:r>
    </w:p>
    <w:p w14:paraId="1403D23E" w14:textId="77777777" w:rsidR="00C840A9" w:rsidRPr="00447901" w:rsidRDefault="00C840A9" w:rsidP="00C840A9">
      <w:pPr>
        <w:pStyle w:val="DecisionBody"/>
        <w:numPr>
          <w:ilvl w:val="0"/>
          <w:numId w:val="0"/>
        </w:numPr>
        <w:spacing w:beforeLines="0" w:before="0" w:afterLines="0" w:after="0"/>
        <w:rPr>
          <w:iCs/>
          <w:lang w:val="en-US"/>
        </w:rPr>
      </w:pPr>
    </w:p>
    <w:p w14:paraId="3FEEAA1D" w14:textId="3200BE64" w:rsidR="00447901" w:rsidRDefault="00447901" w:rsidP="00DD170A">
      <w:pPr>
        <w:pStyle w:val="DecisionBody"/>
        <w:spacing w:beforeLines="0" w:before="0" w:afterLines="0" w:after="0"/>
        <w:rPr>
          <w:iCs/>
          <w:lang w:val="en-US"/>
        </w:rPr>
      </w:pPr>
      <w:r w:rsidRPr="00447901">
        <w:rPr>
          <w:iCs/>
          <w:lang w:val="en-US"/>
        </w:rPr>
        <w:t xml:space="preserve">The Tribunal has carefully considered the provincial direction in Policy 1.2.6.2 of PPS 2020.  Where avoidance of conflicting uses is not possible, planning authorities shall protect the long-term viability of existing or planned industrial, manufacturing or other uses that are vulnerable to encroachment by ensuring that </w:t>
      </w:r>
      <w:r w:rsidRPr="00447901">
        <w:rPr>
          <w:i/>
          <w:iCs/>
          <w:lang w:val="en-US"/>
        </w:rPr>
        <w:t xml:space="preserve">sensitive land uses </w:t>
      </w:r>
      <w:r w:rsidRPr="00447901">
        <w:rPr>
          <w:iCs/>
          <w:lang w:val="en-US"/>
        </w:rPr>
        <w:t xml:space="preserve">are only permitted following a Municipal Comprehensive Review, as set out above. The Tribunal finds that the conditions for permitting residential uses have not been met, from the evidence presented. There is no demonstrated “need” for the proposed use residential towers, as there are or will be many reasonable alternative residential locations nearby. It has not been shown to the Tribunal’s satisfaction that any </w:t>
      </w:r>
      <w:r w:rsidRPr="00447901">
        <w:rPr>
          <w:i/>
          <w:iCs/>
          <w:lang w:val="en-US"/>
        </w:rPr>
        <w:t xml:space="preserve">adverse effects </w:t>
      </w:r>
      <w:r w:rsidRPr="000315E1">
        <w:rPr>
          <w:lang w:val="en-US"/>
        </w:rPr>
        <w:t>would be</w:t>
      </w:r>
      <w:r w:rsidRPr="00447901">
        <w:rPr>
          <w:i/>
          <w:iCs/>
          <w:lang w:val="en-US"/>
        </w:rPr>
        <w:t xml:space="preserve"> </w:t>
      </w:r>
      <w:r w:rsidRPr="00447901">
        <w:rPr>
          <w:iCs/>
          <w:lang w:val="en-US"/>
        </w:rPr>
        <w:t>minimized and mitigated, as there are no final designs to consider. It is also not evident that potential impacts to industrial, manufacturing or other uses are minimized and mitigated.</w:t>
      </w:r>
    </w:p>
    <w:p w14:paraId="4240B69B" w14:textId="77777777" w:rsidR="00C840A9" w:rsidRPr="00447901" w:rsidRDefault="00C840A9" w:rsidP="00C840A9">
      <w:pPr>
        <w:pStyle w:val="DecisionBody"/>
        <w:numPr>
          <w:ilvl w:val="0"/>
          <w:numId w:val="0"/>
        </w:numPr>
        <w:spacing w:beforeLines="0" w:before="0" w:afterLines="0" w:after="0"/>
        <w:rPr>
          <w:iCs/>
          <w:lang w:val="en-US"/>
        </w:rPr>
      </w:pPr>
    </w:p>
    <w:p w14:paraId="3A699003" w14:textId="5A1E8986" w:rsidR="00447901" w:rsidRDefault="00447901" w:rsidP="00151587">
      <w:pPr>
        <w:pStyle w:val="DecisionBody"/>
        <w:spacing w:beforeLines="0" w:before="0" w:afterLines="0" w:after="0"/>
        <w:rPr>
          <w:iCs/>
          <w:lang w:val="en-US"/>
        </w:rPr>
      </w:pPr>
      <w:r w:rsidRPr="00447901">
        <w:rPr>
          <w:iCs/>
          <w:lang w:val="en-US"/>
        </w:rPr>
        <w:lastRenderedPageBreak/>
        <w:t>The Tribunal agrees with Ms. Heydorn that sensitive uses, including the residential towers proposed, would most likely disrupt the stable operating environment of existing businesses, especially the industrial ones. They could create conditions that would constrain future investment in permitted employment uses.  Approvals have already been granted for significant high rise residential structures even closer to the GO station. Arguments in favour of more, and close by, are not persuasive.</w:t>
      </w:r>
    </w:p>
    <w:p w14:paraId="5BDDE4F2" w14:textId="77777777" w:rsidR="00BC0DCF" w:rsidRPr="00151587" w:rsidRDefault="00BC0DCF" w:rsidP="00BC0DCF">
      <w:pPr>
        <w:pStyle w:val="DecisionBody"/>
        <w:numPr>
          <w:ilvl w:val="0"/>
          <w:numId w:val="0"/>
        </w:numPr>
        <w:spacing w:beforeLines="0" w:before="0" w:afterLines="0" w:after="0"/>
        <w:rPr>
          <w:iCs/>
          <w:lang w:val="en-US"/>
        </w:rPr>
      </w:pPr>
    </w:p>
    <w:p w14:paraId="4F9409DC" w14:textId="0D6130AA" w:rsidR="009E2D8C" w:rsidRDefault="00447901" w:rsidP="00C840A9">
      <w:pPr>
        <w:pStyle w:val="DecisionBody"/>
        <w:widowControl/>
        <w:spacing w:beforeLines="0" w:before="0" w:afterLines="0" w:after="0"/>
        <w:rPr>
          <w:iCs/>
          <w:lang w:val="en-US"/>
        </w:rPr>
      </w:pPr>
      <w:r w:rsidRPr="00447901">
        <w:rPr>
          <w:iCs/>
          <w:lang w:val="en-US"/>
        </w:rPr>
        <w:t xml:space="preserve">Mr. Rodger did point to the non-policy introductory text in s. 4.6 of the City </w:t>
      </w:r>
      <w:r w:rsidR="009E2D8C">
        <w:rPr>
          <w:iCs/>
          <w:lang w:val="en-US"/>
        </w:rPr>
        <w:t xml:space="preserve">of Toronto’s </w:t>
      </w:r>
      <w:r w:rsidRPr="00447901">
        <w:rPr>
          <w:iCs/>
          <w:lang w:val="en-US"/>
        </w:rPr>
        <w:t>OP that states that uses that detract from the economic function of these lands will not be permitted to locate in Employment Areas. However he stated that</w:t>
      </w:r>
      <w:r w:rsidR="009E2D8C">
        <w:rPr>
          <w:iCs/>
          <w:lang w:val="en-US"/>
        </w:rPr>
        <w:t>:</w:t>
      </w:r>
      <w:r w:rsidRPr="00447901">
        <w:rPr>
          <w:iCs/>
          <w:lang w:val="en-US"/>
        </w:rPr>
        <w:t xml:space="preserve"> </w:t>
      </w:r>
    </w:p>
    <w:p w14:paraId="7D4B10FD" w14:textId="77777777" w:rsidR="009E2D8C" w:rsidRDefault="009E2D8C" w:rsidP="00200BBC">
      <w:pPr>
        <w:pStyle w:val="ListParagraph"/>
        <w:rPr>
          <w:iCs/>
        </w:rPr>
      </w:pPr>
    </w:p>
    <w:p w14:paraId="573F4EA1" w14:textId="6494A852" w:rsidR="00A90E38" w:rsidRDefault="00447901" w:rsidP="009E2D8C">
      <w:pPr>
        <w:pStyle w:val="DecisionBody"/>
        <w:widowControl/>
        <w:numPr>
          <w:ilvl w:val="0"/>
          <w:numId w:val="0"/>
        </w:numPr>
        <w:spacing w:beforeLines="0" w:before="0" w:afterLines="0" w:after="0" w:line="240" w:lineRule="auto"/>
        <w:ind w:left="1440" w:right="1080"/>
        <w:rPr>
          <w:iCs/>
          <w:sz w:val="20"/>
          <w:szCs w:val="20"/>
          <w:lang w:val="en-US"/>
        </w:rPr>
      </w:pPr>
      <w:r w:rsidRPr="000315E1">
        <w:rPr>
          <w:iCs/>
          <w:sz w:val="20"/>
          <w:szCs w:val="20"/>
          <w:lang w:val="en-US"/>
        </w:rPr>
        <w:t xml:space="preserve">… in my opinion a Mixed Use Areas designation is appropriate for the Choice Lands where existing economic activity will be protected since the </w:t>
      </w:r>
    </w:p>
    <w:p w14:paraId="44A4E3E2" w14:textId="32B86037" w:rsidR="009E2D8C" w:rsidRDefault="00447901" w:rsidP="009E2D8C">
      <w:pPr>
        <w:pStyle w:val="DecisionBody"/>
        <w:widowControl/>
        <w:numPr>
          <w:ilvl w:val="0"/>
          <w:numId w:val="0"/>
        </w:numPr>
        <w:spacing w:beforeLines="0" w:before="0" w:afterLines="0" w:after="0" w:line="240" w:lineRule="auto"/>
        <w:ind w:left="1440" w:right="1080"/>
        <w:rPr>
          <w:iCs/>
          <w:lang w:val="en-US"/>
        </w:rPr>
      </w:pPr>
      <w:r w:rsidRPr="00A90E38">
        <w:rPr>
          <w:iCs/>
          <w:sz w:val="20"/>
          <w:szCs w:val="20"/>
          <w:lang w:val="en-US"/>
        </w:rPr>
        <w:t>proposed SASP would require, at minimum, the maintenance of existing non-residential GFA under redevelopment.</w:t>
      </w:r>
    </w:p>
    <w:p w14:paraId="32F6D83A" w14:textId="77777777" w:rsidR="00A90E38" w:rsidRDefault="00A90E38" w:rsidP="00A90E38">
      <w:pPr>
        <w:pStyle w:val="DecisionBody"/>
        <w:widowControl/>
        <w:numPr>
          <w:ilvl w:val="0"/>
          <w:numId w:val="0"/>
        </w:numPr>
        <w:spacing w:beforeLines="0" w:before="0" w:afterLines="0" w:after="0" w:line="240" w:lineRule="auto"/>
        <w:ind w:right="1080"/>
        <w:rPr>
          <w:iCs/>
          <w:lang w:val="en-US"/>
        </w:rPr>
      </w:pPr>
    </w:p>
    <w:p w14:paraId="27977CBD" w14:textId="20D553A6" w:rsidR="00C840A9" w:rsidRPr="009E2D8C" w:rsidRDefault="00447901" w:rsidP="00456E54">
      <w:pPr>
        <w:pStyle w:val="DecisionBody"/>
        <w:widowControl/>
        <w:numPr>
          <w:ilvl w:val="0"/>
          <w:numId w:val="0"/>
        </w:numPr>
        <w:spacing w:beforeLines="0" w:before="0" w:afterLines="0" w:after="0" w:line="240" w:lineRule="auto"/>
        <w:ind w:left="720" w:right="1080" w:firstLine="720"/>
        <w:rPr>
          <w:iCs/>
          <w:lang w:val="en-US"/>
        </w:rPr>
      </w:pPr>
      <w:r w:rsidRPr="009E2D8C">
        <w:rPr>
          <w:iCs/>
          <w:lang w:val="en-US"/>
        </w:rPr>
        <w:t>(Exhibit 7, para 56).</w:t>
      </w:r>
    </w:p>
    <w:p w14:paraId="213E3656" w14:textId="77777777" w:rsidR="00C840A9" w:rsidRPr="00447901" w:rsidRDefault="00C840A9" w:rsidP="00C840A9">
      <w:pPr>
        <w:pStyle w:val="DecisionBody"/>
        <w:widowControl/>
        <w:numPr>
          <w:ilvl w:val="0"/>
          <w:numId w:val="0"/>
        </w:numPr>
        <w:spacing w:beforeLines="0" w:before="0" w:afterLines="0" w:after="0"/>
        <w:rPr>
          <w:iCs/>
          <w:lang w:val="en-US"/>
        </w:rPr>
      </w:pPr>
    </w:p>
    <w:p w14:paraId="4F57B172" w14:textId="387D8BC8" w:rsidR="00447901" w:rsidRDefault="00447901" w:rsidP="00DD170A">
      <w:pPr>
        <w:pStyle w:val="DecisionBody"/>
        <w:spacing w:beforeLines="0" w:before="0" w:afterLines="0" w:after="0"/>
        <w:rPr>
          <w:iCs/>
          <w:lang w:val="en-US"/>
        </w:rPr>
      </w:pPr>
      <w:r w:rsidRPr="00447901">
        <w:rPr>
          <w:iCs/>
          <w:lang w:val="en-US"/>
        </w:rPr>
        <w:t xml:space="preserve">The Tribunal agrees with Mr. Biggart’s submission that this is not sufficiently specific to ensure retention of “existing non-residential GFA”, i.e. the grocery store, an employment use.  It concludes that merely redesignating the Choice </w:t>
      </w:r>
      <w:r w:rsidR="009E2D8C">
        <w:rPr>
          <w:iCs/>
          <w:lang w:val="en-US"/>
        </w:rPr>
        <w:t>L</w:t>
      </w:r>
      <w:r w:rsidRPr="00447901">
        <w:rPr>
          <w:iCs/>
          <w:lang w:val="en-US"/>
        </w:rPr>
        <w:t xml:space="preserve">ands to MU so as to permit large residential uses essentially WITHIN the “Employment Area” designation is not good planning.  It should not be authorized when incompatibilities are likely, and even breaches of existing ECRs are possible. Mr. Rodger stated at para. 74 of his Witness Statement (Exhibit 7) that the Choice </w:t>
      </w:r>
      <w:r w:rsidR="00266C8C">
        <w:rPr>
          <w:iCs/>
          <w:lang w:val="en-US"/>
        </w:rPr>
        <w:t>L</w:t>
      </w:r>
      <w:r w:rsidRPr="00447901">
        <w:rPr>
          <w:iCs/>
          <w:lang w:val="en-US"/>
        </w:rPr>
        <w:t>ands are sufficiently sized to provide for transition to the surrounding lands via the Urban Design Guidelines for appropriate built form. Considering that the proposed designs including six towers from 18 storeys to 35 storeys above podiums, with 1,716 dwelling units (Exhibit 1B), the Tribunal cannot agree that there will be adequate transition and protection from the existing industrial uses nearby.  Existing industrial uses should not have to mitigate for new tall apartment buildings. Nor does it seem likely that mitigation measures proposed for the proposed structures would suffice, given the very short separation distances in the concept plan.</w:t>
      </w:r>
    </w:p>
    <w:p w14:paraId="71B86406" w14:textId="77777777" w:rsidR="00C840A9" w:rsidRPr="00447901" w:rsidRDefault="00C840A9" w:rsidP="00C840A9">
      <w:pPr>
        <w:pStyle w:val="DecisionBody"/>
        <w:numPr>
          <w:ilvl w:val="0"/>
          <w:numId w:val="0"/>
        </w:numPr>
        <w:spacing w:beforeLines="0" w:before="0" w:afterLines="0" w:after="0"/>
        <w:rPr>
          <w:iCs/>
          <w:lang w:val="en-US"/>
        </w:rPr>
      </w:pPr>
    </w:p>
    <w:p w14:paraId="723F4398" w14:textId="514B0BD5" w:rsidR="00447901" w:rsidRDefault="00447901" w:rsidP="000315E1">
      <w:pPr>
        <w:pStyle w:val="DecisionBody"/>
        <w:widowControl/>
        <w:spacing w:beforeLines="0" w:before="0" w:afterLines="0" w:after="0"/>
        <w:rPr>
          <w:iCs/>
          <w:lang w:val="en-US"/>
        </w:rPr>
      </w:pPr>
      <w:r w:rsidRPr="00447901">
        <w:rPr>
          <w:iCs/>
          <w:lang w:val="en-US"/>
        </w:rPr>
        <w:lastRenderedPageBreak/>
        <w:t xml:space="preserve">The Tribunal has considered the recent Decision of our colleague Mr. Tousaw in </w:t>
      </w:r>
      <w:r w:rsidRPr="00447901">
        <w:rPr>
          <w:i/>
          <w:iCs/>
          <w:lang w:val="en-US"/>
        </w:rPr>
        <w:t xml:space="preserve">Satin Finish Hardwood Flooring </w:t>
      </w:r>
      <w:r w:rsidR="007338B2">
        <w:rPr>
          <w:i/>
          <w:iCs/>
          <w:lang w:val="en-US"/>
        </w:rPr>
        <w:t xml:space="preserve">Ontario </w:t>
      </w:r>
      <w:r w:rsidRPr="00447901">
        <w:rPr>
          <w:i/>
          <w:iCs/>
          <w:lang w:val="en-US"/>
        </w:rPr>
        <w:t>Limited</w:t>
      </w:r>
      <w:r w:rsidR="007338B2">
        <w:rPr>
          <w:i/>
          <w:iCs/>
          <w:lang w:val="en-US"/>
        </w:rPr>
        <w:t xml:space="preserve"> v. Toronto (City)</w:t>
      </w:r>
      <w:r w:rsidRPr="00447901">
        <w:rPr>
          <w:i/>
          <w:iCs/>
          <w:lang w:val="en-US"/>
        </w:rPr>
        <w:t>,</w:t>
      </w:r>
      <w:r w:rsidRPr="00447901">
        <w:rPr>
          <w:iCs/>
          <w:lang w:val="en-US"/>
        </w:rPr>
        <w:t xml:space="preserve"> 2021 CanLII 129311, cited by Mr. Neligan. There, a conversion to Residential was proposed to enable a residential use in a designated Employment area.  The Tribunal granted this, based on the surrounding context. It stated:</w:t>
      </w:r>
      <w:bookmarkStart w:id="9" w:name="par1"/>
    </w:p>
    <w:p w14:paraId="060C1D2E" w14:textId="77777777" w:rsidR="00C840A9" w:rsidRPr="00447901" w:rsidRDefault="00C840A9" w:rsidP="00C840A9">
      <w:pPr>
        <w:pStyle w:val="DecisionBody"/>
        <w:numPr>
          <w:ilvl w:val="0"/>
          <w:numId w:val="0"/>
        </w:numPr>
        <w:spacing w:beforeLines="0" w:before="0" w:afterLines="0" w:after="0"/>
        <w:rPr>
          <w:iCs/>
          <w:lang w:val="en-US"/>
        </w:rPr>
      </w:pPr>
    </w:p>
    <w:p w14:paraId="4C78AE37" w14:textId="4368534B" w:rsidR="00DD170A" w:rsidRDefault="00DD170A" w:rsidP="00151587">
      <w:pPr>
        <w:pStyle w:val="DecisionBody"/>
        <w:widowControl/>
        <w:numPr>
          <w:ilvl w:val="0"/>
          <w:numId w:val="0"/>
        </w:numPr>
        <w:spacing w:beforeLines="0" w:before="0" w:afterLines="0" w:after="0" w:line="240" w:lineRule="auto"/>
        <w:ind w:left="1440" w:right="1080"/>
        <w:rPr>
          <w:iCs/>
          <w:sz w:val="20"/>
          <w:szCs w:val="20"/>
        </w:rPr>
      </w:pPr>
      <w:r w:rsidRPr="000315E1">
        <w:rPr>
          <w:iCs/>
          <w:sz w:val="20"/>
          <w:szCs w:val="20"/>
        </w:rPr>
        <w:t>[</w:t>
      </w:r>
      <w:r w:rsidR="00447901" w:rsidRPr="000315E1">
        <w:rPr>
          <w:iCs/>
          <w:sz w:val="20"/>
          <w:szCs w:val="20"/>
        </w:rPr>
        <w:t>1</w:t>
      </w:r>
      <w:bookmarkEnd w:id="9"/>
      <w:r w:rsidR="00447901" w:rsidRPr="000315E1">
        <w:rPr>
          <w:iCs/>
          <w:sz w:val="20"/>
          <w:szCs w:val="20"/>
        </w:rPr>
        <w:t xml:space="preserve">]         More than one land use choice may be appropriate for a particular property.  Context is key to assessing the planning merits of land uses within </w:t>
      </w:r>
      <w:r w:rsidR="00447901" w:rsidRPr="00151587">
        <w:rPr>
          <w:iCs/>
          <w:sz w:val="20"/>
          <w:szCs w:val="20"/>
        </w:rPr>
        <w:t>the built environment.  The physical, economic and social characteristics of the immediate area may lead to one or more suitable end uses.</w:t>
      </w:r>
    </w:p>
    <w:p w14:paraId="00110E9E" w14:textId="329D43FB" w:rsidR="00447901" w:rsidRPr="000315E1" w:rsidRDefault="00447901" w:rsidP="00DD170A">
      <w:pPr>
        <w:pStyle w:val="DecisionBody"/>
        <w:numPr>
          <w:ilvl w:val="0"/>
          <w:numId w:val="0"/>
        </w:numPr>
        <w:spacing w:beforeLines="0" w:before="0" w:afterLines="0" w:after="0" w:line="240" w:lineRule="auto"/>
        <w:ind w:left="1440" w:right="1080"/>
        <w:rPr>
          <w:iCs/>
          <w:sz w:val="20"/>
          <w:szCs w:val="20"/>
        </w:rPr>
      </w:pPr>
    </w:p>
    <w:p w14:paraId="063A3CB3" w14:textId="05A92267" w:rsidR="00DD170A" w:rsidRDefault="00447901" w:rsidP="00A90E38">
      <w:pPr>
        <w:pStyle w:val="DecisionBody"/>
        <w:numPr>
          <w:ilvl w:val="0"/>
          <w:numId w:val="0"/>
        </w:numPr>
        <w:spacing w:beforeLines="0" w:before="0" w:afterLines="0" w:after="0" w:line="240" w:lineRule="auto"/>
        <w:ind w:left="1440" w:right="1080"/>
        <w:rPr>
          <w:iCs/>
          <w:sz w:val="20"/>
          <w:szCs w:val="20"/>
        </w:rPr>
      </w:pPr>
      <w:r w:rsidRPr="000315E1">
        <w:rPr>
          <w:iCs/>
          <w:sz w:val="20"/>
          <w:szCs w:val="20"/>
        </w:rPr>
        <w:t>[</w:t>
      </w:r>
      <w:bookmarkStart w:id="10" w:name="par2"/>
      <w:r w:rsidRPr="000315E1">
        <w:rPr>
          <w:iCs/>
          <w:sz w:val="20"/>
          <w:szCs w:val="20"/>
        </w:rPr>
        <w:t>2</w:t>
      </w:r>
      <w:bookmarkEnd w:id="10"/>
      <w:r w:rsidRPr="000315E1">
        <w:rPr>
          <w:iCs/>
          <w:sz w:val="20"/>
          <w:szCs w:val="20"/>
        </w:rPr>
        <w:t>]         This appeal is a case on point.  A request for land use conversion from Employment to Residential (“conversion”) reveals strengths and weaknesses for both land uses.  Either use may be found appropriate for the planning context and either use is likely to adapt and contribute to the area’s success over the long-term.  However, one use may rise in preference above another through its relative planning merits based on the particulars of context.</w:t>
      </w:r>
    </w:p>
    <w:p w14:paraId="4499758D" w14:textId="77777777" w:rsidR="00151587" w:rsidRPr="000315E1" w:rsidRDefault="00151587" w:rsidP="00151587">
      <w:pPr>
        <w:pStyle w:val="DecisionBody"/>
        <w:numPr>
          <w:ilvl w:val="0"/>
          <w:numId w:val="0"/>
        </w:numPr>
        <w:spacing w:beforeLines="0" w:before="0" w:afterLines="0" w:after="0" w:line="240" w:lineRule="auto"/>
        <w:ind w:right="1080"/>
        <w:rPr>
          <w:iCs/>
          <w:sz w:val="20"/>
          <w:szCs w:val="20"/>
        </w:rPr>
      </w:pPr>
    </w:p>
    <w:p w14:paraId="7145E4BD" w14:textId="5645B871" w:rsidR="00447901" w:rsidRDefault="00447901" w:rsidP="00DD170A">
      <w:pPr>
        <w:pStyle w:val="DecisionBody"/>
        <w:numPr>
          <w:ilvl w:val="0"/>
          <w:numId w:val="0"/>
        </w:numPr>
        <w:spacing w:beforeLines="0" w:before="0" w:afterLines="0" w:after="0" w:line="240" w:lineRule="auto"/>
        <w:ind w:left="1440" w:right="1080"/>
        <w:rPr>
          <w:iCs/>
          <w:sz w:val="20"/>
          <w:szCs w:val="20"/>
        </w:rPr>
      </w:pPr>
      <w:r w:rsidRPr="000315E1">
        <w:rPr>
          <w:iCs/>
          <w:sz w:val="20"/>
          <w:szCs w:val="20"/>
        </w:rPr>
        <w:t>[</w:t>
      </w:r>
      <w:bookmarkStart w:id="11" w:name="par3"/>
      <w:r w:rsidRPr="000315E1">
        <w:rPr>
          <w:iCs/>
          <w:sz w:val="20"/>
          <w:szCs w:val="20"/>
        </w:rPr>
        <w:t>3</w:t>
      </w:r>
      <w:bookmarkEnd w:id="11"/>
      <w:r w:rsidRPr="000315E1">
        <w:rPr>
          <w:iCs/>
          <w:sz w:val="20"/>
          <w:szCs w:val="20"/>
        </w:rPr>
        <w:t>]         Here, the Tribunal finds in favour of conversion.  Among the many reasons supporting the Decision, is the critical finding that the contextual setting here is one in a well-established transition away from traditional employment uses.</w:t>
      </w:r>
    </w:p>
    <w:p w14:paraId="019E0BFB" w14:textId="77777777" w:rsidR="00C840A9" w:rsidRDefault="00C840A9" w:rsidP="00DD170A">
      <w:pPr>
        <w:pStyle w:val="DecisionBody"/>
        <w:numPr>
          <w:ilvl w:val="0"/>
          <w:numId w:val="0"/>
        </w:numPr>
        <w:spacing w:beforeLines="0" w:before="0" w:afterLines="0" w:after="0" w:line="240" w:lineRule="auto"/>
        <w:ind w:left="1440" w:right="1080"/>
        <w:rPr>
          <w:iCs/>
          <w:sz w:val="20"/>
          <w:szCs w:val="20"/>
        </w:rPr>
      </w:pPr>
    </w:p>
    <w:p w14:paraId="3892F79F" w14:textId="77777777" w:rsidR="00DD170A" w:rsidRPr="000315E1" w:rsidRDefault="00DD170A" w:rsidP="00DD170A">
      <w:pPr>
        <w:pStyle w:val="DecisionBody"/>
        <w:numPr>
          <w:ilvl w:val="0"/>
          <w:numId w:val="0"/>
        </w:numPr>
        <w:spacing w:beforeLines="0" w:before="0" w:afterLines="0" w:after="0" w:line="240" w:lineRule="auto"/>
        <w:ind w:left="1440" w:right="1080"/>
        <w:rPr>
          <w:iCs/>
          <w:sz w:val="20"/>
          <w:szCs w:val="20"/>
        </w:rPr>
      </w:pPr>
    </w:p>
    <w:p w14:paraId="40853E8D" w14:textId="31814949" w:rsidR="00447901" w:rsidRDefault="00447901" w:rsidP="00EC4C11">
      <w:pPr>
        <w:pStyle w:val="DecisionBody"/>
        <w:widowControl/>
        <w:spacing w:beforeLines="0" w:before="0" w:afterLines="0" w:after="0"/>
        <w:rPr>
          <w:iCs/>
          <w:lang w:val="en-US"/>
        </w:rPr>
      </w:pPr>
      <w:r w:rsidRPr="00447901">
        <w:rPr>
          <w:iCs/>
          <w:lang w:val="en-US"/>
        </w:rPr>
        <w:t>The Tribunal finds from the evidence that the surrounding neighbourhood situation in the Milliken area here</w:t>
      </w:r>
      <w:r w:rsidR="007338B2">
        <w:rPr>
          <w:iCs/>
          <w:lang w:val="en-US"/>
        </w:rPr>
        <w:t>,</w:t>
      </w:r>
      <w:r w:rsidRPr="00447901">
        <w:rPr>
          <w:iCs/>
          <w:lang w:val="en-US"/>
        </w:rPr>
        <w:t xml:space="preserve"> is very different from that in </w:t>
      </w:r>
      <w:r w:rsidRPr="00447901">
        <w:rPr>
          <w:i/>
          <w:iCs/>
          <w:lang w:val="en-US"/>
        </w:rPr>
        <w:t xml:space="preserve">Satin Finish </w:t>
      </w:r>
      <w:r w:rsidRPr="00447901">
        <w:rPr>
          <w:iCs/>
          <w:lang w:val="en-US"/>
        </w:rPr>
        <w:t xml:space="preserve">case. There is a rather narrow and limited Employment Area designation here. There have been recent approvals of conversions to MU on the Splendid China site (allowing significant high-rise residential). There are also many surrounding residential uses west of Kennedy </w:t>
      </w:r>
      <w:r w:rsidR="000651A1">
        <w:rPr>
          <w:iCs/>
          <w:lang w:val="en-US"/>
        </w:rPr>
        <w:t xml:space="preserve">Road </w:t>
      </w:r>
      <w:r w:rsidRPr="00447901">
        <w:rPr>
          <w:iCs/>
          <w:lang w:val="en-US"/>
        </w:rPr>
        <w:t>and east of Midland Avenue. There is no “need” then for additional residential uses here, even to accommodate the policy direction for such uses that are transit-supportive.</w:t>
      </w:r>
    </w:p>
    <w:p w14:paraId="65300628" w14:textId="77777777" w:rsidR="00C840A9" w:rsidRPr="00447901" w:rsidRDefault="00C840A9" w:rsidP="00C840A9">
      <w:pPr>
        <w:pStyle w:val="DecisionBody"/>
        <w:numPr>
          <w:ilvl w:val="0"/>
          <w:numId w:val="0"/>
        </w:numPr>
        <w:spacing w:beforeLines="0" w:before="0" w:afterLines="0" w:after="0"/>
        <w:rPr>
          <w:iCs/>
          <w:lang w:val="en-US"/>
        </w:rPr>
      </w:pPr>
    </w:p>
    <w:p w14:paraId="7D5A190E" w14:textId="77777777" w:rsidR="00456E54" w:rsidRDefault="00447901" w:rsidP="00456E54">
      <w:pPr>
        <w:pStyle w:val="DecisionBody"/>
        <w:widowControl/>
        <w:spacing w:beforeLines="0" w:before="0" w:afterLines="0" w:after="0"/>
        <w:rPr>
          <w:iCs/>
          <w:lang w:val="en-US"/>
        </w:rPr>
      </w:pPr>
      <w:r w:rsidRPr="00447901">
        <w:rPr>
          <w:iCs/>
          <w:lang w:val="en-US"/>
        </w:rPr>
        <w:t xml:space="preserve">The Appellants cannot claim that this fact situation is similar to that in </w:t>
      </w:r>
      <w:r w:rsidRPr="00447901">
        <w:rPr>
          <w:i/>
          <w:iCs/>
          <w:lang w:val="en-US"/>
        </w:rPr>
        <w:t xml:space="preserve">Satin Finish, </w:t>
      </w:r>
      <w:r w:rsidRPr="00447901">
        <w:rPr>
          <w:iCs/>
          <w:lang w:val="en-US"/>
        </w:rPr>
        <w:t xml:space="preserve">as the setting does not evidence a transition away from traditional employment uses in Milliken. </w:t>
      </w:r>
      <w:r w:rsidR="000651A1">
        <w:rPr>
          <w:iCs/>
          <w:lang w:val="en-US"/>
        </w:rPr>
        <w:t xml:space="preserve"> </w:t>
      </w:r>
      <w:r w:rsidRPr="00447901">
        <w:rPr>
          <w:iCs/>
          <w:lang w:val="en-US"/>
        </w:rPr>
        <w:t xml:space="preserve">There are many industrial uses to the south of the Choice property.  More importantly, there is the danger foreseen by the City </w:t>
      </w:r>
      <w:r w:rsidR="007338B2">
        <w:rPr>
          <w:iCs/>
          <w:lang w:val="en-US"/>
        </w:rPr>
        <w:t xml:space="preserve">of Toronto </w:t>
      </w:r>
      <w:r w:rsidRPr="00447901">
        <w:rPr>
          <w:iCs/>
          <w:lang w:val="en-US"/>
        </w:rPr>
        <w:t xml:space="preserve">that such uses might well threaten the existing industrial uses, including those granted Certificates of Approval under the </w:t>
      </w:r>
      <w:r w:rsidRPr="000315E1">
        <w:rPr>
          <w:i/>
          <w:lang w:val="en-US"/>
        </w:rPr>
        <w:t>Environmental Protection Act</w:t>
      </w:r>
      <w:r w:rsidRPr="00447901">
        <w:rPr>
          <w:iCs/>
          <w:lang w:val="en-US"/>
        </w:rPr>
        <w:t xml:space="preserve">. </w:t>
      </w:r>
    </w:p>
    <w:p w14:paraId="04801D95" w14:textId="77777777" w:rsidR="00456E54" w:rsidRDefault="00456E54" w:rsidP="00456E54">
      <w:pPr>
        <w:pStyle w:val="ListParagraph"/>
        <w:rPr>
          <w:b w:val="0"/>
          <w:iCs/>
        </w:rPr>
      </w:pPr>
    </w:p>
    <w:p w14:paraId="0174E6DB" w14:textId="530B8E2C" w:rsidR="00447901" w:rsidRPr="002759ED" w:rsidRDefault="00447901" w:rsidP="00456E54">
      <w:pPr>
        <w:pStyle w:val="DecisionBody"/>
        <w:widowControl/>
        <w:numPr>
          <w:ilvl w:val="0"/>
          <w:numId w:val="0"/>
        </w:numPr>
        <w:spacing w:beforeLines="0" w:before="0" w:afterLines="0" w:after="0"/>
        <w:rPr>
          <w:iCs/>
          <w:lang w:val="en-US"/>
        </w:rPr>
      </w:pPr>
      <w:r w:rsidRPr="00447901">
        <w:rPr>
          <w:b/>
          <w:iCs/>
          <w:lang w:val="en-US"/>
        </w:rPr>
        <w:t>ORDER</w:t>
      </w:r>
    </w:p>
    <w:p w14:paraId="7CC90758" w14:textId="77777777" w:rsidR="00447901" w:rsidRPr="00447901" w:rsidRDefault="00447901" w:rsidP="000651A1">
      <w:pPr>
        <w:pStyle w:val="DecisionBody"/>
        <w:numPr>
          <w:ilvl w:val="0"/>
          <w:numId w:val="0"/>
        </w:numPr>
        <w:spacing w:beforeLines="0" w:before="0" w:afterLines="0" w:after="0"/>
        <w:rPr>
          <w:b/>
          <w:iCs/>
          <w:lang w:val="en-US"/>
        </w:rPr>
      </w:pPr>
    </w:p>
    <w:p w14:paraId="7090A888" w14:textId="608ED2B0" w:rsidR="00447901" w:rsidRDefault="00447901" w:rsidP="000651A1">
      <w:pPr>
        <w:pStyle w:val="DecisionBody"/>
        <w:spacing w:beforeLines="0" w:before="0" w:afterLines="0" w:after="0"/>
        <w:rPr>
          <w:iCs/>
          <w:lang w:val="en-US"/>
        </w:rPr>
      </w:pPr>
      <w:r w:rsidRPr="00447901">
        <w:rPr>
          <w:b/>
          <w:iCs/>
          <w:lang w:val="en-US"/>
        </w:rPr>
        <w:t>THE TRIBUNAL ORDERS</w:t>
      </w:r>
      <w:r w:rsidRPr="00447901">
        <w:rPr>
          <w:iCs/>
          <w:lang w:val="en-US"/>
        </w:rPr>
        <w:t xml:space="preserve"> that the Appeals of Al Reisman Ltd., 1182929 Ontario Inc., May Flower Landscaping Design Ltd., and Loblaw Properties Limited and </w:t>
      </w:r>
      <w:r w:rsidR="000651A1" w:rsidRPr="00135DE7">
        <w:rPr>
          <w:rFonts w:cs="Arial"/>
          <w:iCs/>
          <w:lang w:val="en-US"/>
        </w:rPr>
        <w:t>CP REIT Ontario Properties Limited</w:t>
      </w:r>
      <w:r w:rsidR="000651A1" w:rsidRPr="00F41936">
        <w:rPr>
          <w:rFonts w:cs="Arial"/>
        </w:rPr>
        <w:t xml:space="preserve"> </w:t>
      </w:r>
      <w:r w:rsidRPr="00447901">
        <w:rPr>
          <w:iCs/>
          <w:lang w:val="en-US"/>
        </w:rPr>
        <w:t xml:space="preserve">to Official Plan Amendment </w:t>
      </w:r>
      <w:r w:rsidR="007338B2">
        <w:rPr>
          <w:iCs/>
          <w:lang w:val="en-US"/>
        </w:rPr>
        <w:t xml:space="preserve">No. </w:t>
      </w:r>
      <w:r w:rsidRPr="00447901">
        <w:rPr>
          <w:iCs/>
          <w:lang w:val="en-US"/>
        </w:rPr>
        <w:t>231 to the Official Plan of the City of Toronto are dismissed.</w:t>
      </w:r>
    </w:p>
    <w:p w14:paraId="0F2B0E1A" w14:textId="77777777" w:rsidR="00DD170A" w:rsidRPr="00447901" w:rsidRDefault="00DD170A" w:rsidP="000651A1">
      <w:pPr>
        <w:pStyle w:val="DecisionBody"/>
        <w:numPr>
          <w:ilvl w:val="0"/>
          <w:numId w:val="0"/>
        </w:numPr>
        <w:spacing w:beforeLines="0" w:before="0" w:afterLines="0" w:after="0"/>
        <w:rPr>
          <w:iCs/>
          <w:lang w:val="en-US"/>
        </w:rPr>
      </w:pPr>
    </w:p>
    <w:p w14:paraId="789E6F3A" w14:textId="4E67DAE8" w:rsidR="00447901" w:rsidRDefault="00447901" w:rsidP="000651A1">
      <w:pPr>
        <w:pStyle w:val="DecisionBody"/>
        <w:spacing w:beforeLines="0" w:before="0" w:afterLines="0" w:after="0"/>
        <w:rPr>
          <w:iCs/>
        </w:rPr>
      </w:pPr>
      <w:r w:rsidRPr="00447901">
        <w:rPr>
          <w:b/>
          <w:iCs/>
        </w:rPr>
        <w:t>AND THE TRIBUNAL FURTHER ORDERS</w:t>
      </w:r>
      <w:r w:rsidRPr="00447901">
        <w:rPr>
          <w:iCs/>
        </w:rPr>
        <w:t> that this Decision and Order is strictly without prejudice to the position any Party may take in respect of any issue or matter</w:t>
      </w:r>
      <w:r w:rsidR="000651A1">
        <w:rPr>
          <w:iCs/>
        </w:rPr>
        <w:t>,</w:t>
      </w:r>
      <w:r w:rsidRPr="00447901">
        <w:rPr>
          <w:iCs/>
        </w:rPr>
        <w:t xml:space="preserve"> which remains to be adjudicated during other phases of the Appeals to Official Plan Amendment </w:t>
      </w:r>
      <w:r w:rsidR="000651A1">
        <w:rPr>
          <w:iCs/>
        </w:rPr>
        <w:t xml:space="preserve">No. </w:t>
      </w:r>
      <w:r w:rsidRPr="00447901">
        <w:rPr>
          <w:iCs/>
        </w:rPr>
        <w:t>231. For greater certainty and without limiting the foregoing:</w:t>
      </w:r>
    </w:p>
    <w:p w14:paraId="0D38AAE6" w14:textId="77777777" w:rsidR="00DD170A" w:rsidRPr="00447901" w:rsidRDefault="00DD170A" w:rsidP="000651A1">
      <w:pPr>
        <w:pStyle w:val="DecisionBody"/>
        <w:numPr>
          <w:ilvl w:val="0"/>
          <w:numId w:val="0"/>
        </w:numPr>
        <w:spacing w:beforeLines="0" w:before="0" w:afterLines="0" w:after="0"/>
        <w:rPr>
          <w:iCs/>
        </w:rPr>
      </w:pPr>
    </w:p>
    <w:p w14:paraId="2DB9AED2" w14:textId="78F5F62B" w:rsidR="00DD170A" w:rsidRDefault="00447901" w:rsidP="00A90E38">
      <w:pPr>
        <w:pStyle w:val="DecisionBody"/>
        <w:widowControl/>
        <w:numPr>
          <w:ilvl w:val="0"/>
          <w:numId w:val="83"/>
        </w:numPr>
        <w:spacing w:beforeLines="0" w:before="0" w:afterLines="0" w:after="0"/>
        <w:ind w:left="907" w:hanging="547"/>
        <w:rPr>
          <w:iCs/>
        </w:rPr>
      </w:pPr>
      <w:r w:rsidRPr="00447901">
        <w:rPr>
          <w:iCs/>
        </w:rPr>
        <w:t>No party may take the position that because the Tribunal has resolved an issue and/or approved certain Secondary Plan policies or provisions in this Phase 6B Hearing, that</w:t>
      </w:r>
      <w:r w:rsidR="00C95803">
        <w:rPr>
          <w:iCs/>
        </w:rPr>
        <w:t xml:space="preserve"> the</w:t>
      </w:r>
      <w:r w:rsidRPr="00447901">
        <w:rPr>
          <w:iCs/>
        </w:rPr>
        <w:t xml:space="preserve"> same issue cannot have a different resolution and/or different policies or provisions approved on a site-specific basis as they apply to those lands that remain at issue in the remainder of Phase 6 of the Hearing;</w:t>
      </w:r>
    </w:p>
    <w:p w14:paraId="5B103D3F" w14:textId="77777777" w:rsidR="00DD170A" w:rsidRDefault="00DD170A" w:rsidP="00DD170A">
      <w:pPr>
        <w:pStyle w:val="DecisionBody"/>
        <w:numPr>
          <w:ilvl w:val="0"/>
          <w:numId w:val="0"/>
        </w:numPr>
        <w:spacing w:beforeLines="0" w:before="0" w:afterLines="0" w:after="0"/>
        <w:ind w:left="900"/>
        <w:rPr>
          <w:iCs/>
        </w:rPr>
      </w:pPr>
    </w:p>
    <w:p w14:paraId="243869FA" w14:textId="61009D12" w:rsidR="00447901" w:rsidRDefault="00447901" w:rsidP="00200BBC">
      <w:pPr>
        <w:pStyle w:val="DecisionBody"/>
        <w:widowControl/>
        <w:numPr>
          <w:ilvl w:val="0"/>
          <w:numId w:val="83"/>
        </w:numPr>
        <w:spacing w:beforeLines="0" w:before="0" w:afterLines="0" w:after="0"/>
        <w:ind w:left="907" w:hanging="547"/>
        <w:rPr>
          <w:iCs/>
        </w:rPr>
      </w:pPr>
      <w:r w:rsidRPr="00447901">
        <w:rPr>
          <w:iCs/>
        </w:rPr>
        <w:t xml:space="preserve">The Tribunal’s </w:t>
      </w:r>
      <w:r w:rsidR="00C95803">
        <w:rPr>
          <w:iCs/>
        </w:rPr>
        <w:t>D</w:t>
      </w:r>
      <w:r w:rsidRPr="00447901">
        <w:rPr>
          <w:iCs/>
        </w:rPr>
        <w:t>ecision respecting those issues, policies, and provisions that were approved pursuant to the Phase 6B Hearing shall not be considered in any way to be a disposition of same for purposes of those matters remaining at issue in the remaining Phase 6 Hearings.</w:t>
      </w:r>
    </w:p>
    <w:p w14:paraId="447610AB" w14:textId="73F64E29" w:rsidR="00BC0DCF" w:rsidRDefault="00BC0DCF">
      <w:pPr>
        <w:rPr>
          <w:rFonts w:ascii="Arial" w:hAnsi="Arial"/>
          <w:bCs/>
          <w:iCs/>
          <w:lang w:val="en-CA"/>
        </w:rPr>
      </w:pPr>
      <w:r>
        <w:rPr>
          <w:iCs/>
        </w:rPr>
        <w:br w:type="page"/>
      </w:r>
    </w:p>
    <w:p w14:paraId="4D9BBDC3" w14:textId="77777777" w:rsidR="00BC0DCF" w:rsidRPr="00447901" w:rsidRDefault="00BC0DCF" w:rsidP="00BC0DCF">
      <w:pPr>
        <w:pStyle w:val="DecisionBody"/>
        <w:spacing w:beforeLines="0" w:before="0" w:afterLines="0" w:after="0"/>
        <w:rPr>
          <w:iCs/>
        </w:rPr>
      </w:pPr>
      <w:r w:rsidRPr="00447901">
        <w:rPr>
          <w:b/>
          <w:iCs/>
        </w:rPr>
        <w:lastRenderedPageBreak/>
        <w:t>AND THE TRIBUNAL FURTHER ORDERS</w:t>
      </w:r>
      <w:r w:rsidRPr="00447901">
        <w:rPr>
          <w:iCs/>
        </w:rPr>
        <w:t> that in the event there are issues arising from the implementation of this Order, the Tribunal may be spoken to.</w:t>
      </w:r>
    </w:p>
    <w:p w14:paraId="4B217208" w14:textId="77777777" w:rsidR="00DD170A" w:rsidRPr="00447901" w:rsidRDefault="00DD170A" w:rsidP="00DD170A">
      <w:pPr>
        <w:pStyle w:val="DecisionBody"/>
        <w:numPr>
          <w:ilvl w:val="0"/>
          <w:numId w:val="0"/>
        </w:numPr>
        <w:spacing w:beforeLines="0" w:before="0" w:afterLines="0" w:after="0"/>
        <w:rPr>
          <w:iCs/>
        </w:rPr>
      </w:pPr>
    </w:p>
    <w:p w14:paraId="78D5E4E9" w14:textId="77777777" w:rsidR="004928BC" w:rsidRDefault="004928BC" w:rsidP="00E63C80">
      <w:pPr>
        <w:pStyle w:val="DecisionBody"/>
        <w:numPr>
          <w:ilvl w:val="0"/>
          <w:numId w:val="0"/>
        </w:numPr>
        <w:spacing w:beforeLines="0" w:before="0" w:afterLines="0" w:after="0" w:line="240" w:lineRule="auto"/>
        <w:jc w:val="right"/>
        <w:rPr>
          <w:i/>
        </w:rPr>
      </w:pPr>
    </w:p>
    <w:p w14:paraId="19DA6EB4" w14:textId="7239778F" w:rsidR="00E63C80" w:rsidRPr="00E63C80" w:rsidRDefault="00E63C80" w:rsidP="00E63C80">
      <w:pPr>
        <w:pStyle w:val="DecisionBody"/>
        <w:numPr>
          <w:ilvl w:val="0"/>
          <w:numId w:val="0"/>
        </w:numPr>
        <w:spacing w:beforeLines="0" w:before="0" w:afterLines="0" w:after="0" w:line="240" w:lineRule="auto"/>
        <w:jc w:val="right"/>
        <w:rPr>
          <w:i/>
        </w:rPr>
      </w:pPr>
      <w:r w:rsidRPr="00E63C80">
        <w:rPr>
          <w:i/>
        </w:rPr>
        <w:t>“</w:t>
      </w:r>
      <w:r w:rsidR="00D84C0C">
        <w:rPr>
          <w:i/>
        </w:rPr>
        <w:t>G. Burton</w:t>
      </w:r>
      <w:r w:rsidRPr="00E63C80">
        <w:rPr>
          <w:i/>
        </w:rPr>
        <w:t>”</w:t>
      </w:r>
    </w:p>
    <w:p w14:paraId="6BD5A4AA" w14:textId="77777777" w:rsidR="00E63C80" w:rsidRPr="00E63C80" w:rsidRDefault="00E63C80" w:rsidP="00E63C80">
      <w:pPr>
        <w:pStyle w:val="DecisionBody"/>
        <w:numPr>
          <w:ilvl w:val="0"/>
          <w:numId w:val="0"/>
        </w:numPr>
        <w:spacing w:beforeLines="0" w:before="0" w:afterLines="0" w:after="0" w:line="240" w:lineRule="auto"/>
        <w:jc w:val="right"/>
        <w:rPr>
          <w:i/>
        </w:rPr>
      </w:pPr>
    </w:p>
    <w:p w14:paraId="7E1AED37" w14:textId="77777777" w:rsidR="00E63C80" w:rsidRPr="00E63C80" w:rsidRDefault="00E63C80" w:rsidP="00E63C80">
      <w:pPr>
        <w:pStyle w:val="DecisionBody"/>
        <w:numPr>
          <w:ilvl w:val="0"/>
          <w:numId w:val="0"/>
        </w:numPr>
        <w:spacing w:beforeLines="0" w:before="0" w:afterLines="0" w:after="0" w:line="240" w:lineRule="auto"/>
        <w:jc w:val="right"/>
        <w:rPr>
          <w:i/>
        </w:rPr>
      </w:pPr>
    </w:p>
    <w:p w14:paraId="6A0B40B4" w14:textId="12E9636A" w:rsidR="00E63C80" w:rsidRPr="00E63C80" w:rsidRDefault="00D84C0C" w:rsidP="00E63C80">
      <w:pPr>
        <w:pStyle w:val="DecisionBody"/>
        <w:numPr>
          <w:ilvl w:val="0"/>
          <w:numId w:val="0"/>
        </w:numPr>
        <w:spacing w:beforeLines="0" w:before="0" w:afterLines="0" w:after="0" w:line="240" w:lineRule="auto"/>
        <w:jc w:val="right"/>
        <w:rPr>
          <w:iCs/>
        </w:rPr>
      </w:pPr>
      <w:r>
        <w:rPr>
          <w:iCs/>
        </w:rPr>
        <w:t>G. BURTON</w:t>
      </w:r>
    </w:p>
    <w:p w14:paraId="4CBE1E9E" w14:textId="1406273E" w:rsidR="00E63C80" w:rsidRDefault="00D84C0C" w:rsidP="00E63C80">
      <w:pPr>
        <w:pStyle w:val="DecisionBody"/>
        <w:numPr>
          <w:ilvl w:val="0"/>
          <w:numId w:val="0"/>
        </w:numPr>
        <w:spacing w:beforeLines="0" w:before="0" w:afterLines="0" w:after="0" w:line="240" w:lineRule="auto"/>
        <w:jc w:val="right"/>
        <w:rPr>
          <w:iCs/>
        </w:rPr>
      </w:pPr>
      <w:r>
        <w:rPr>
          <w:iCs/>
        </w:rPr>
        <w:t>VICE-CHAIR</w:t>
      </w:r>
    </w:p>
    <w:p w14:paraId="4B1C234E" w14:textId="307F32CA" w:rsidR="00D84C0C" w:rsidRDefault="00D84C0C" w:rsidP="00E63C80">
      <w:pPr>
        <w:pStyle w:val="DecisionBody"/>
        <w:numPr>
          <w:ilvl w:val="0"/>
          <w:numId w:val="0"/>
        </w:numPr>
        <w:spacing w:beforeLines="0" w:before="0" w:afterLines="0" w:after="0" w:line="240" w:lineRule="auto"/>
        <w:jc w:val="right"/>
        <w:rPr>
          <w:iCs/>
        </w:rPr>
      </w:pPr>
    </w:p>
    <w:p w14:paraId="1ACC4973" w14:textId="77777777" w:rsidR="002759ED" w:rsidRDefault="002759ED" w:rsidP="00E63C80">
      <w:pPr>
        <w:pStyle w:val="DecisionBody"/>
        <w:numPr>
          <w:ilvl w:val="0"/>
          <w:numId w:val="0"/>
        </w:numPr>
        <w:spacing w:beforeLines="0" w:before="0" w:afterLines="0" w:after="0" w:line="240" w:lineRule="auto"/>
        <w:jc w:val="right"/>
        <w:rPr>
          <w:iCs/>
        </w:rPr>
      </w:pPr>
    </w:p>
    <w:p w14:paraId="4F540871" w14:textId="74EC9CFF" w:rsidR="00D84C0C" w:rsidRPr="00E63C80" w:rsidRDefault="00D84C0C" w:rsidP="00D84C0C">
      <w:pPr>
        <w:pStyle w:val="DecisionBody"/>
        <w:numPr>
          <w:ilvl w:val="0"/>
          <w:numId w:val="0"/>
        </w:numPr>
        <w:spacing w:beforeLines="0" w:before="0" w:afterLines="0" w:after="0" w:line="240" w:lineRule="auto"/>
        <w:jc w:val="right"/>
        <w:rPr>
          <w:i/>
        </w:rPr>
      </w:pPr>
      <w:r w:rsidRPr="00E63C80">
        <w:rPr>
          <w:i/>
        </w:rPr>
        <w:t>“</w:t>
      </w:r>
      <w:r>
        <w:rPr>
          <w:i/>
        </w:rPr>
        <w:t>D.S. Colbourne</w:t>
      </w:r>
      <w:r w:rsidRPr="00E63C80">
        <w:rPr>
          <w:i/>
        </w:rPr>
        <w:t>”</w:t>
      </w:r>
    </w:p>
    <w:p w14:paraId="65D4AFFD" w14:textId="77777777" w:rsidR="00D84C0C" w:rsidRPr="00E63C80" w:rsidRDefault="00D84C0C" w:rsidP="00D84C0C">
      <w:pPr>
        <w:pStyle w:val="DecisionBody"/>
        <w:numPr>
          <w:ilvl w:val="0"/>
          <w:numId w:val="0"/>
        </w:numPr>
        <w:spacing w:beforeLines="0" w:before="0" w:afterLines="0" w:after="0" w:line="240" w:lineRule="auto"/>
        <w:jc w:val="right"/>
        <w:rPr>
          <w:i/>
        </w:rPr>
      </w:pPr>
    </w:p>
    <w:p w14:paraId="2B706E0E" w14:textId="77777777" w:rsidR="00D84C0C" w:rsidRPr="00E63C80" w:rsidRDefault="00D84C0C" w:rsidP="00D84C0C">
      <w:pPr>
        <w:pStyle w:val="DecisionBody"/>
        <w:numPr>
          <w:ilvl w:val="0"/>
          <w:numId w:val="0"/>
        </w:numPr>
        <w:spacing w:beforeLines="0" w:before="0" w:afterLines="0" w:after="0" w:line="240" w:lineRule="auto"/>
        <w:jc w:val="right"/>
        <w:rPr>
          <w:i/>
        </w:rPr>
      </w:pPr>
    </w:p>
    <w:p w14:paraId="133ACD34" w14:textId="000C6431" w:rsidR="00D84C0C" w:rsidRPr="00E63C80" w:rsidRDefault="00D84C0C" w:rsidP="00D84C0C">
      <w:pPr>
        <w:pStyle w:val="DecisionBody"/>
        <w:numPr>
          <w:ilvl w:val="0"/>
          <w:numId w:val="0"/>
        </w:numPr>
        <w:spacing w:beforeLines="0" w:before="0" w:afterLines="0" w:after="0" w:line="240" w:lineRule="auto"/>
        <w:jc w:val="right"/>
        <w:rPr>
          <w:iCs/>
        </w:rPr>
      </w:pPr>
      <w:r>
        <w:rPr>
          <w:iCs/>
        </w:rPr>
        <w:t>D.S. COLBOURNE</w:t>
      </w:r>
    </w:p>
    <w:p w14:paraId="51DF0D9F" w14:textId="77777777" w:rsidR="00D84C0C" w:rsidRDefault="00D84C0C" w:rsidP="00D84C0C">
      <w:pPr>
        <w:pStyle w:val="DecisionBody"/>
        <w:numPr>
          <w:ilvl w:val="0"/>
          <w:numId w:val="0"/>
        </w:numPr>
        <w:spacing w:beforeLines="0" w:before="0" w:afterLines="0" w:after="0" w:line="240" w:lineRule="auto"/>
        <w:jc w:val="right"/>
        <w:rPr>
          <w:iCs/>
        </w:rPr>
      </w:pPr>
      <w:r>
        <w:rPr>
          <w:iCs/>
        </w:rPr>
        <w:t>VICE-CHAIR</w:t>
      </w:r>
    </w:p>
    <w:p w14:paraId="50B0D70B" w14:textId="6ACBAD97" w:rsidR="003F0FF4" w:rsidRDefault="003F0FF4" w:rsidP="00447901">
      <w:pPr>
        <w:pStyle w:val="Footer"/>
        <w:jc w:val="left"/>
        <w:rPr>
          <w:rFonts w:cs="Arial"/>
          <w:b/>
        </w:rPr>
      </w:pPr>
    </w:p>
    <w:p w14:paraId="22CF6C33" w14:textId="0A769B33" w:rsidR="00BC0DCF" w:rsidRDefault="00BC0DCF" w:rsidP="00447901">
      <w:pPr>
        <w:pStyle w:val="Footer"/>
        <w:jc w:val="left"/>
        <w:rPr>
          <w:rFonts w:cs="Arial"/>
          <w:b/>
        </w:rPr>
      </w:pPr>
    </w:p>
    <w:p w14:paraId="032CAFA0" w14:textId="645A3429" w:rsidR="00BC0DCF" w:rsidRDefault="00BC0DCF" w:rsidP="00447901">
      <w:pPr>
        <w:pStyle w:val="Footer"/>
        <w:jc w:val="left"/>
        <w:rPr>
          <w:rFonts w:cs="Arial"/>
          <w:b/>
        </w:rPr>
      </w:pPr>
    </w:p>
    <w:p w14:paraId="738FFB16" w14:textId="75A064F0" w:rsidR="00BC0DCF" w:rsidRDefault="00BC0DCF" w:rsidP="00447901">
      <w:pPr>
        <w:pStyle w:val="Footer"/>
        <w:jc w:val="left"/>
        <w:rPr>
          <w:rFonts w:cs="Arial"/>
          <w:b/>
        </w:rPr>
      </w:pPr>
    </w:p>
    <w:p w14:paraId="254D4566" w14:textId="206C176C" w:rsidR="00BC0DCF" w:rsidRDefault="00BC0DCF" w:rsidP="00447901">
      <w:pPr>
        <w:pStyle w:val="Footer"/>
        <w:jc w:val="left"/>
        <w:rPr>
          <w:rFonts w:cs="Arial"/>
          <w:b/>
        </w:rPr>
      </w:pPr>
    </w:p>
    <w:p w14:paraId="6DCB5B01" w14:textId="2D6F2E39" w:rsidR="00BC0DCF" w:rsidRDefault="00BC0DCF" w:rsidP="00447901">
      <w:pPr>
        <w:pStyle w:val="Footer"/>
        <w:jc w:val="left"/>
        <w:rPr>
          <w:rFonts w:cs="Arial"/>
          <w:b/>
        </w:rPr>
      </w:pPr>
    </w:p>
    <w:p w14:paraId="1D4D1A19" w14:textId="31EEFF4F" w:rsidR="00BC0DCF" w:rsidRDefault="00BC0DCF" w:rsidP="00447901">
      <w:pPr>
        <w:pStyle w:val="Footer"/>
        <w:jc w:val="left"/>
        <w:rPr>
          <w:rFonts w:cs="Arial"/>
          <w:b/>
        </w:rPr>
      </w:pPr>
    </w:p>
    <w:p w14:paraId="38C54574" w14:textId="03063F1F" w:rsidR="00BC0DCF" w:rsidRDefault="00BC0DCF" w:rsidP="00447901">
      <w:pPr>
        <w:pStyle w:val="Footer"/>
        <w:jc w:val="left"/>
        <w:rPr>
          <w:rFonts w:cs="Arial"/>
          <w:b/>
        </w:rPr>
      </w:pPr>
    </w:p>
    <w:p w14:paraId="21B042C8" w14:textId="01FEC72F" w:rsidR="00BC0DCF" w:rsidRDefault="00BC0DCF" w:rsidP="00447901">
      <w:pPr>
        <w:pStyle w:val="Footer"/>
        <w:jc w:val="left"/>
        <w:rPr>
          <w:rFonts w:cs="Arial"/>
          <w:b/>
        </w:rPr>
      </w:pPr>
    </w:p>
    <w:p w14:paraId="262BF5FF" w14:textId="7F88F9A6" w:rsidR="00BC0DCF" w:rsidRDefault="00BC0DCF" w:rsidP="00447901">
      <w:pPr>
        <w:pStyle w:val="Footer"/>
        <w:jc w:val="left"/>
        <w:rPr>
          <w:rFonts w:cs="Arial"/>
          <w:b/>
        </w:rPr>
      </w:pPr>
    </w:p>
    <w:p w14:paraId="44DE471F" w14:textId="1E5B46CE" w:rsidR="00BC0DCF" w:rsidRDefault="00BC0DCF" w:rsidP="00447901">
      <w:pPr>
        <w:pStyle w:val="Footer"/>
        <w:jc w:val="left"/>
        <w:rPr>
          <w:rFonts w:cs="Arial"/>
          <w:b/>
        </w:rPr>
      </w:pPr>
    </w:p>
    <w:p w14:paraId="2EB81ECF" w14:textId="6882BA19" w:rsidR="00BC0DCF" w:rsidRDefault="00BC0DCF" w:rsidP="00447901">
      <w:pPr>
        <w:pStyle w:val="Footer"/>
        <w:jc w:val="left"/>
        <w:rPr>
          <w:rFonts w:cs="Arial"/>
          <w:b/>
        </w:rPr>
      </w:pPr>
    </w:p>
    <w:p w14:paraId="7A2A352F" w14:textId="40473FB0" w:rsidR="00BC0DCF" w:rsidRDefault="00BC0DCF" w:rsidP="00447901">
      <w:pPr>
        <w:pStyle w:val="Footer"/>
        <w:jc w:val="left"/>
        <w:rPr>
          <w:rFonts w:cs="Arial"/>
          <w:b/>
        </w:rPr>
      </w:pPr>
    </w:p>
    <w:p w14:paraId="08632745" w14:textId="5EE63DDC" w:rsidR="00BC0DCF" w:rsidRDefault="00BC0DCF" w:rsidP="00447901">
      <w:pPr>
        <w:pStyle w:val="Footer"/>
        <w:jc w:val="left"/>
        <w:rPr>
          <w:rFonts w:cs="Arial"/>
          <w:b/>
        </w:rPr>
      </w:pPr>
    </w:p>
    <w:p w14:paraId="41DFF8D0" w14:textId="48591FE0" w:rsidR="00BC0DCF" w:rsidRDefault="00BC0DCF" w:rsidP="00447901">
      <w:pPr>
        <w:pStyle w:val="Footer"/>
        <w:jc w:val="left"/>
        <w:rPr>
          <w:rFonts w:cs="Arial"/>
          <w:b/>
        </w:rPr>
      </w:pPr>
    </w:p>
    <w:p w14:paraId="1E28A5D3" w14:textId="186E5424" w:rsidR="00BC0DCF" w:rsidRDefault="00BC0DCF" w:rsidP="00447901">
      <w:pPr>
        <w:pStyle w:val="Footer"/>
        <w:jc w:val="left"/>
        <w:rPr>
          <w:rFonts w:cs="Arial"/>
          <w:b/>
        </w:rPr>
      </w:pPr>
    </w:p>
    <w:p w14:paraId="5B9E9D4D" w14:textId="6F0583F6" w:rsidR="00BC0DCF" w:rsidRDefault="00BC0DCF" w:rsidP="00447901">
      <w:pPr>
        <w:pStyle w:val="Footer"/>
        <w:jc w:val="left"/>
        <w:rPr>
          <w:rFonts w:cs="Arial"/>
          <w:b/>
        </w:rPr>
      </w:pPr>
    </w:p>
    <w:p w14:paraId="41A47146" w14:textId="5C9A5C7A" w:rsidR="00BC0DCF" w:rsidRDefault="00BC0DCF" w:rsidP="00447901">
      <w:pPr>
        <w:pStyle w:val="Footer"/>
        <w:jc w:val="left"/>
        <w:rPr>
          <w:rFonts w:cs="Arial"/>
          <w:b/>
        </w:rPr>
      </w:pPr>
    </w:p>
    <w:p w14:paraId="28DA8A31" w14:textId="62F4336B" w:rsidR="00BC0DCF" w:rsidRDefault="00BC0DCF" w:rsidP="00447901">
      <w:pPr>
        <w:pStyle w:val="Footer"/>
        <w:jc w:val="left"/>
        <w:rPr>
          <w:rFonts w:cs="Arial"/>
          <w:b/>
        </w:rPr>
      </w:pPr>
    </w:p>
    <w:p w14:paraId="48AD7210" w14:textId="77777777" w:rsidR="00BC0DCF" w:rsidRDefault="00BC0DCF" w:rsidP="00447901">
      <w:pPr>
        <w:pStyle w:val="Footer"/>
        <w:jc w:val="left"/>
        <w:rPr>
          <w:rFonts w:cs="Arial"/>
          <w:b/>
        </w:rPr>
      </w:pPr>
    </w:p>
    <w:p w14:paraId="2B7067E1" w14:textId="77777777" w:rsidR="00DD170A" w:rsidRDefault="00DD170A" w:rsidP="00A90E38">
      <w:pPr>
        <w:pStyle w:val="Footer"/>
        <w:jc w:val="left"/>
        <w:rPr>
          <w:rFonts w:cs="Arial"/>
          <w:b/>
        </w:rPr>
      </w:pPr>
    </w:p>
    <w:p w14:paraId="0C64D922" w14:textId="78308F3C" w:rsidR="001B3403" w:rsidRPr="005D7E92" w:rsidRDefault="001B3403" w:rsidP="001B3403">
      <w:pPr>
        <w:pStyle w:val="Footer"/>
        <w:rPr>
          <w:rFonts w:cs="Arial"/>
          <w:b/>
        </w:rPr>
      </w:pPr>
      <w:r w:rsidRPr="005D7E92">
        <w:rPr>
          <w:rFonts w:cs="Arial"/>
          <w:b/>
        </w:rPr>
        <w:t>Ontario Land Tribunal</w:t>
      </w:r>
    </w:p>
    <w:p w14:paraId="13EA9B96" w14:textId="77777777" w:rsidR="001B3403" w:rsidRPr="005D7E92" w:rsidRDefault="001B3403" w:rsidP="001B3403">
      <w:pPr>
        <w:pStyle w:val="Footer"/>
        <w:rPr>
          <w:rFonts w:cs="Arial"/>
        </w:rPr>
      </w:pPr>
      <w:r w:rsidRPr="005D7E92">
        <w:rPr>
          <w:rFonts w:cs="Arial"/>
        </w:rPr>
        <w:t xml:space="preserve">Website: </w:t>
      </w:r>
      <w:hyperlink r:id="rId12" w:history="1">
        <w:r w:rsidRPr="005D7E92">
          <w:rPr>
            <w:rStyle w:val="Hyperlink"/>
            <w:rFonts w:cs="Arial"/>
            <w:color w:val="auto"/>
          </w:rPr>
          <w:t>olt.gov.on.ca</w:t>
        </w:r>
      </w:hyperlink>
      <w:r w:rsidRPr="005D7E92">
        <w:rPr>
          <w:rFonts w:cs="Arial"/>
        </w:rPr>
        <w:t xml:space="preserve">   Telephone: 416-212-6349   Toll Free: 1-866-448-2248</w:t>
      </w:r>
    </w:p>
    <w:p w14:paraId="2A5F7FBE" w14:textId="77777777" w:rsidR="001B3403" w:rsidRPr="005D7E92" w:rsidRDefault="001B3403" w:rsidP="001B3403">
      <w:pPr>
        <w:rPr>
          <w:rFonts w:ascii="Arial" w:hAnsi="Arial" w:cs="Arial"/>
        </w:rPr>
      </w:pPr>
    </w:p>
    <w:p w14:paraId="2CB462FB" w14:textId="77777777" w:rsidR="001B3403" w:rsidRPr="005D7E92" w:rsidRDefault="001B3403" w:rsidP="001B3403">
      <w:pPr>
        <w:pStyle w:val="Footer"/>
        <w:rPr>
          <w:rFonts w:cs="Arial"/>
        </w:rPr>
      </w:pPr>
    </w:p>
    <w:p w14:paraId="37C20C7A" w14:textId="1FA6DD1F" w:rsidR="00447901" w:rsidRPr="00447901" w:rsidRDefault="00F679FA" w:rsidP="00447901">
      <w:pPr>
        <w:rPr>
          <w:rFonts w:ascii="Arial" w:hAnsi="Arial" w:cs="Arial"/>
        </w:rPr>
      </w:pPr>
      <w:r w:rsidRPr="005873BD">
        <w:rPr>
          <w:rFonts w:ascii="Arial" w:hAnsi="Arial" w:cs="Arial"/>
        </w:rPr>
        <w:t>The Conservation Review Board, the Environmental Review Tribunal, the Local Planning Appeal Tribunal and the Mining and Lands Tribunal are amalgamated and continued as the Ontario Land Tribunal (“Tribunal”). Any reference to the preceding tribunals or the former Ontario Municipal Board is deemed to be a reference to the Tribunal.</w:t>
      </w:r>
      <w:r w:rsidR="00447901" w:rsidRPr="00447901">
        <w:rPr>
          <w:rFonts w:ascii="Arial" w:hAnsi="Arial" w:cs="Arial"/>
        </w:rPr>
        <w:t xml:space="preserve"> </w:t>
      </w:r>
    </w:p>
    <w:sectPr w:rsidR="00447901" w:rsidRPr="00447901" w:rsidSect="000315E1">
      <w:headerReference w:type="default" r:id="rId13"/>
      <w:headerReference w:type="first" r:id="rId14"/>
      <w:pgSz w:w="12240" w:h="15840" w:code="1"/>
      <w:pgMar w:top="1440" w:right="1296" w:bottom="1350" w:left="1296"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D96D4" w14:textId="77777777" w:rsidR="00003E3C" w:rsidRDefault="00003E3C">
      <w:r>
        <w:separator/>
      </w:r>
    </w:p>
  </w:endnote>
  <w:endnote w:type="continuationSeparator" w:id="0">
    <w:p w14:paraId="492931B0" w14:textId="77777777" w:rsidR="00003E3C" w:rsidRDefault="0000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A44B" w14:textId="77777777" w:rsidR="00003E3C" w:rsidRDefault="00003E3C">
      <w:r>
        <w:separator/>
      </w:r>
    </w:p>
  </w:footnote>
  <w:footnote w:type="continuationSeparator" w:id="0">
    <w:p w14:paraId="73C3DA34" w14:textId="77777777" w:rsidR="00003E3C" w:rsidRDefault="0000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663197378"/>
      <w:docPartObj>
        <w:docPartGallery w:val="Page Numbers (Top of Page)"/>
        <w:docPartUnique/>
      </w:docPartObj>
    </w:sdtPr>
    <w:sdtEndPr>
      <w:rPr>
        <w:noProof/>
      </w:rPr>
    </w:sdtEndPr>
    <w:sdtContent>
      <w:p w14:paraId="7ABA6340" w14:textId="5CAB4442" w:rsidR="00003E3C" w:rsidRPr="00447901" w:rsidRDefault="00003E3C" w:rsidP="00447901">
        <w:pPr>
          <w:pStyle w:val="Header"/>
          <w:ind w:firstLine="3960"/>
          <w:jc w:val="center"/>
          <w:rPr>
            <w:rFonts w:ascii="Arial" w:hAnsi="Arial" w:cs="Arial"/>
          </w:rPr>
        </w:pPr>
        <w:r w:rsidRPr="00447901">
          <w:rPr>
            <w:rFonts w:ascii="Arial" w:hAnsi="Arial" w:cs="Arial"/>
          </w:rPr>
          <w:fldChar w:fldCharType="begin"/>
        </w:r>
        <w:r w:rsidRPr="00447901">
          <w:rPr>
            <w:rFonts w:ascii="Arial" w:hAnsi="Arial" w:cs="Arial"/>
          </w:rPr>
          <w:instrText xml:space="preserve"> PAGE   \* MERGEFORMAT </w:instrText>
        </w:r>
        <w:r w:rsidRPr="00447901">
          <w:rPr>
            <w:rFonts w:ascii="Arial" w:hAnsi="Arial" w:cs="Arial"/>
          </w:rPr>
          <w:fldChar w:fldCharType="separate"/>
        </w:r>
        <w:r w:rsidRPr="00447901">
          <w:rPr>
            <w:rFonts w:ascii="Arial" w:hAnsi="Arial" w:cs="Arial"/>
            <w:noProof/>
          </w:rPr>
          <w:t>2</w:t>
        </w:r>
        <w:r w:rsidRPr="00447901">
          <w:rPr>
            <w:rFonts w:ascii="Arial" w:hAnsi="Arial" w:cs="Arial"/>
            <w:noProof/>
          </w:rPr>
          <w:fldChar w:fldCharType="end"/>
        </w:r>
        <w:r>
          <w:rPr>
            <w:rFonts w:ascii="Arial" w:hAnsi="Arial" w:cs="Arial"/>
            <w:noProof/>
          </w:rPr>
          <w:tab/>
        </w:r>
        <w:r>
          <w:rPr>
            <w:rFonts w:ascii="Arial" w:hAnsi="Arial" w:cs="Arial"/>
            <w:noProof/>
          </w:rPr>
          <w:tab/>
          <w:t>PL140860</w:t>
        </w:r>
      </w:p>
    </w:sdtContent>
  </w:sdt>
  <w:p w14:paraId="4A506735" w14:textId="77777777" w:rsidR="00003E3C" w:rsidRPr="00447901" w:rsidRDefault="00003E3C">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3148" w14:textId="77777777" w:rsidR="00003E3C" w:rsidRPr="00227A56" w:rsidRDefault="00003E3C" w:rsidP="008C66E0">
    <w:pPr>
      <w:pStyle w:val="Header"/>
      <w:tabs>
        <w:tab w:val="clear" w:pos="4320"/>
        <w:tab w:val="clear" w:pos="8640"/>
      </w:tabs>
      <w:jc w:val="center"/>
      <w:rPr>
        <w:rFonts w:ascii="Arial" w:hAnsi="Arial" w:cs="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219B1"/>
    <w:multiLevelType w:val="multilevel"/>
    <w:tmpl w:val="9E78D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476C5"/>
    <w:multiLevelType w:val="multilevel"/>
    <w:tmpl w:val="84E82702"/>
    <w:lvl w:ilvl="0">
      <w:start w:val="7"/>
      <w:numFmt w:val="decimal"/>
      <w:lvlText w:val="%1"/>
      <w:lvlJc w:val="left"/>
      <w:pPr>
        <w:ind w:left="918" w:hanging="544"/>
      </w:pPr>
    </w:lvl>
    <w:lvl w:ilvl="1">
      <w:start w:val="1"/>
      <w:numFmt w:val="decimal"/>
      <w:lvlText w:val="%1.%2"/>
      <w:lvlJc w:val="left"/>
      <w:pPr>
        <w:ind w:left="918" w:hanging="544"/>
      </w:pPr>
      <w:rPr>
        <w:spacing w:val="-1"/>
        <w:w w:val="91"/>
      </w:rPr>
    </w:lvl>
    <w:lvl w:ilvl="2">
      <w:numFmt w:val="bullet"/>
      <w:lvlText w:val="•"/>
      <w:lvlJc w:val="left"/>
      <w:pPr>
        <w:ind w:left="2193" w:hanging="544"/>
      </w:pPr>
    </w:lvl>
    <w:lvl w:ilvl="3">
      <w:numFmt w:val="bullet"/>
      <w:lvlText w:val="•"/>
      <w:lvlJc w:val="left"/>
      <w:pPr>
        <w:ind w:left="3206" w:hanging="544"/>
      </w:pPr>
    </w:lvl>
    <w:lvl w:ilvl="4">
      <w:numFmt w:val="bullet"/>
      <w:lvlText w:val="•"/>
      <w:lvlJc w:val="left"/>
      <w:pPr>
        <w:ind w:left="4220" w:hanging="544"/>
      </w:pPr>
    </w:lvl>
    <w:lvl w:ilvl="5">
      <w:numFmt w:val="bullet"/>
      <w:lvlText w:val="•"/>
      <w:lvlJc w:val="left"/>
      <w:pPr>
        <w:ind w:left="5233" w:hanging="544"/>
      </w:pPr>
    </w:lvl>
    <w:lvl w:ilvl="6">
      <w:numFmt w:val="bullet"/>
      <w:lvlText w:val="•"/>
      <w:lvlJc w:val="left"/>
      <w:pPr>
        <w:ind w:left="6246" w:hanging="544"/>
      </w:pPr>
    </w:lvl>
    <w:lvl w:ilvl="7">
      <w:numFmt w:val="bullet"/>
      <w:lvlText w:val="•"/>
      <w:lvlJc w:val="left"/>
      <w:pPr>
        <w:ind w:left="7260" w:hanging="544"/>
      </w:pPr>
    </w:lvl>
    <w:lvl w:ilvl="8">
      <w:numFmt w:val="bullet"/>
      <w:lvlText w:val="•"/>
      <w:lvlJc w:val="left"/>
      <w:pPr>
        <w:ind w:left="8273" w:hanging="544"/>
      </w:pPr>
    </w:lvl>
  </w:abstractNum>
  <w:abstractNum w:abstractNumId="2" w15:restartNumberingAfterBreak="0">
    <w:nsid w:val="03F50117"/>
    <w:multiLevelType w:val="multilevel"/>
    <w:tmpl w:val="1DCA1B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EA2329"/>
    <w:multiLevelType w:val="hybridMultilevel"/>
    <w:tmpl w:val="4A18DEB8"/>
    <w:lvl w:ilvl="0" w:tplc="E2AC6624">
      <w:start w:val="1"/>
      <w:numFmt w:val="decimal"/>
      <w:lvlText w:val="%1."/>
      <w:lvlJc w:val="left"/>
      <w:pPr>
        <w:ind w:left="480" w:hanging="360"/>
        <w:jc w:val="left"/>
      </w:pPr>
      <w:rPr>
        <w:rFonts w:ascii="Arial" w:eastAsia="Arial" w:hAnsi="Arial" w:cs="Arial" w:hint="default"/>
        <w:b w:val="0"/>
        <w:bCs w:val="0"/>
        <w:i w:val="0"/>
        <w:iCs w:val="0"/>
        <w:spacing w:val="-1"/>
        <w:w w:val="100"/>
        <w:sz w:val="24"/>
        <w:szCs w:val="24"/>
      </w:rPr>
    </w:lvl>
    <w:lvl w:ilvl="1" w:tplc="D1CE4622">
      <w:numFmt w:val="bullet"/>
      <w:lvlText w:val="•"/>
      <w:lvlJc w:val="left"/>
      <w:pPr>
        <w:ind w:left="1352" w:hanging="360"/>
      </w:pPr>
      <w:rPr>
        <w:rFonts w:hint="default"/>
      </w:rPr>
    </w:lvl>
    <w:lvl w:ilvl="2" w:tplc="DB5E6794">
      <w:numFmt w:val="bullet"/>
      <w:lvlText w:val="•"/>
      <w:lvlJc w:val="left"/>
      <w:pPr>
        <w:ind w:left="2224" w:hanging="360"/>
      </w:pPr>
      <w:rPr>
        <w:rFonts w:hint="default"/>
      </w:rPr>
    </w:lvl>
    <w:lvl w:ilvl="3" w:tplc="172E9EB8">
      <w:numFmt w:val="bullet"/>
      <w:lvlText w:val="•"/>
      <w:lvlJc w:val="left"/>
      <w:pPr>
        <w:ind w:left="3096" w:hanging="360"/>
      </w:pPr>
      <w:rPr>
        <w:rFonts w:hint="default"/>
      </w:rPr>
    </w:lvl>
    <w:lvl w:ilvl="4" w:tplc="72722186">
      <w:numFmt w:val="bullet"/>
      <w:lvlText w:val="•"/>
      <w:lvlJc w:val="left"/>
      <w:pPr>
        <w:ind w:left="3968" w:hanging="360"/>
      </w:pPr>
      <w:rPr>
        <w:rFonts w:hint="default"/>
      </w:rPr>
    </w:lvl>
    <w:lvl w:ilvl="5" w:tplc="6160FE62">
      <w:numFmt w:val="bullet"/>
      <w:lvlText w:val="•"/>
      <w:lvlJc w:val="left"/>
      <w:pPr>
        <w:ind w:left="4840" w:hanging="360"/>
      </w:pPr>
      <w:rPr>
        <w:rFonts w:hint="default"/>
      </w:rPr>
    </w:lvl>
    <w:lvl w:ilvl="6" w:tplc="B91886F4">
      <w:numFmt w:val="bullet"/>
      <w:lvlText w:val="•"/>
      <w:lvlJc w:val="left"/>
      <w:pPr>
        <w:ind w:left="5712" w:hanging="360"/>
      </w:pPr>
      <w:rPr>
        <w:rFonts w:hint="default"/>
      </w:rPr>
    </w:lvl>
    <w:lvl w:ilvl="7" w:tplc="B5F28CB0">
      <w:numFmt w:val="bullet"/>
      <w:lvlText w:val="•"/>
      <w:lvlJc w:val="left"/>
      <w:pPr>
        <w:ind w:left="6584" w:hanging="360"/>
      </w:pPr>
      <w:rPr>
        <w:rFonts w:hint="default"/>
      </w:rPr>
    </w:lvl>
    <w:lvl w:ilvl="8" w:tplc="BE44AD7A">
      <w:numFmt w:val="bullet"/>
      <w:lvlText w:val="•"/>
      <w:lvlJc w:val="left"/>
      <w:pPr>
        <w:ind w:left="7456" w:hanging="360"/>
      </w:pPr>
      <w:rPr>
        <w:rFonts w:hint="default"/>
      </w:rPr>
    </w:lvl>
  </w:abstractNum>
  <w:abstractNum w:abstractNumId="4" w15:restartNumberingAfterBreak="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9802D28"/>
    <w:multiLevelType w:val="hybridMultilevel"/>
    <w:tmpl w:val="A306BF5A"/>
    <w:lvl w:ilvl="0" w:tplc="7D909728">
      <w:start w:val="1"/>
      <w:numFmt w:val="decimal"/>
      <w:lvlText w:val="%1."/>
      <w:lvlJc w:val="left"/>
      <w:pPr>
        <w:ind w:left="480" w:hanging="360"/>
      </w:pPr>
      <w:rPr>
        <w:rFonts w:ascii="Arial" w:eastAsia="Arial" w:hAnsi="Arial" w:cs="Arial" w:hint="default"/>
        <w:b w:val="0"/>
        <w:bCs w:val="0"/>
        <w:i w:val="0"/>
        <w:iCs w:val="0"/>
        <w:spacing w:val="-1"/>
        <w:w w:val="100"/>
        <w:sz w:val="24"/>
        <w:szCs w:val="24"/>
      </w:rPr>
    </w:lvl>
    <w:lvl w:ilvl="1" w:tplc="2626DCFC">
      <w:numFmt w:val="bullet"/>
      <w:lvlText w:val="•"/>
      <w:lvlJc w:val="left"/>
      <w:pPr>
        <w:ind w:left="1352" w:hanging="360"/>
      </w:pPr>
    </w:lvl>
    <w:lvl w:ilvl="2" w:tplc="65B64E16">
      <w:numFmt w:val="bullet"/>
      <w:lvlText w:val="•"/>
      <w:lvlJc w:val="left"/>
      <w:pPr>
        <w:ind w:left="2224" w:hanging="360"/>
      </w:pPr>
    </w:lvl>
    <w:lvl w:ilvl="3" w:tplc="06C8609C">
      <w:numFmt w:val="bullet"/>
      <w:lvlText w:val="•"/>
      <w:lvlJc w:val="left"/>
      <w:pPr>
        <w:ind w:left="3096" w:hanging="360"/>
      </w:pPr>
    </w:lvl>
    <w:lvl w:ilvl="4" w:tplc="DE924BFE">
      <w:numFmt w:val="bullet"/>
      <w:lvlText w:val="•"/>
      <w:lvlJc w:val="left"/>
      <w:pPr>
        <w:ind w:left="3968" w:hanging="360"/>
      </w:pPr>
    </w:lvl>
    <w:lvl w:ilvl="5" w:tplc="CE4A8E44">
      <w:numFmt w:val="bullet"/>
      <w:lvlText w:val="•"/>
      <w:lvlJc w:val="left"/>
      <w:pPr>
        <w:ind w:left="4840" w:hanging="360"/>
      </w:pPr>
    </w:lvl>
    <w:lvl w:ilvl="6" w:tplc="5B90FEE2">
      <w:numFmt w:val="bullet"/>
      <w:lvlText w:val="•"/>
      <w:lvlJc w:val="left"/>
      <w:pPr>
        <w:ind w:left="5712" w:hanging="360"/>
      </w:pPr>
    </w:lvl>
    <w:lvl w:ilvl="7" w:tplc="DA86C7C6">
      <w:numFmt w:val="bullet"/>
      <w:lvlText w:val="•"/>
      <w:lvlJc w:val="left"/>
      <w:pPr>
        <w:ind w:left="6584" w:hanging="360"/>
      </w:pPr>
    </w:lvl>
    <w:lvl w:ilvl="8" w:tplc="AFAC09F6">
      <w:numFmt w:val="bullet"/>
      <w:lvlText w:val="•"/>
      <w:lvlJc w:val="left"/>
      <w:pPr>
        <w:ind w:left="7456" w:hanging="360"/>
      </w:pPr>
    </w:lvl>
  </w:abstractNum>
  <w:abstractNum w:abstractNumId="6" w15:restartNumberingAfterBreak="0">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E753AB"/>
    <w:multiLevelType w:val="multilevel"/>
    <w:tmpl w:val="157ECC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0C932867"/>
    <w:multiLevelType w:val="hybridMultilevel"/>
    <w:tmpl w:val="F8184738"/>
    <w:lvl w:ilvl="0" w:tplc="29E4549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11" w15:restartNumberingAfterBreak="0">
    <w:nsid w:val="10583A4E"/>
    <w:multiLevelType w:val="hybridMultilevel"/>
    <w:tmpl w:val="1A3856CC"/>
    <w:lvl w:ilvl="0" w:tplc="1009001B">
      <w:start w:val="1"/>
      <w:numFmt w:val="lowerRoman"/>
      <w:lvlText w:val="%1."/>
      <w:lvlJc w:val="righ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A456D4"/>
    <w:multiLevelType w:val="hybridMultilevel"/>
    <w:tmpl w:val="B49E7FB4"/>
    <w:lvl w:ilvl="0" w:tplc="988CA6BC">
      <w:numFmt w:val="bullet"/>
      <w:lvlText w:val="-"/>
      <w:lvlJc w:val="left"/>
      <w:pPr>
        <w:ind w:left="2160" w:hanging="360"/>
      </w:pPr>
      <w:rPr>
        <w:rFonts w:ascii="Arial" w:eastAsia="Times New Roman"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141816A2"/>
    <w:multiLevelType w:val="hybridMultilevel"/>
    <w:tmpl w:val="F1248178"/>
    <w:lvl w:ilvl="0" w:tplc="1009000F">
      <w:start w:val="1"/>
      <w:numFmt w:val="decimal"/>
      <w:lvlText w:val="%1."/>
      <w:lvlJc w:val="left"/>
      <w:pPr>
        <w:ind w:left="720" w:hanging="360"/>
      </w:pPr>
      <w:rPr>
        <w:rFonts w:hint="default"/>
        <w:b w:val="0"/>
        <w:bCs w:val="0"/>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6450179"/>
    <w:multiLevelType w:val="hybridMultilevel"/>
    <w:tmpl w:val="6EA668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6DD4A5B"/>
    <w:multiLevelType w:val="hybridMultilevel"/>
    <w:tmpl w:val="725E1E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0F3D92"/>
    <w:multiLevelType w:val="hybridMultilevel"/>
    <w:tmpl w:val="D6AC18F4"/>
    <w:lvl w:ilvl="0" w:tplc="C9CE96C2">
      <w:start w:val="1"/>
      <w:numFmt w:val="decimal"/>
      <w:pStyle w:val="DecisionBody"/>
      <w:lvlText w:val="[%1]"/>
      <w:lvlJc w:val="left"/>
      <w:pPr>
        <w:ind w:left="360" w:hanging="360"/>
      </w:pPr>
      <w:rPr>
        <w:rFonts w:hint="default"/>
        <w:b w:val="0"/>
        <w:bCs w:val="0"/>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194650F3"/>
    <w:multiLevelType w:val="hybridMultilevel"/>
    <w:tmpl w:val="81A62D2E"/>
    <w:lvl w:ilvl="0" w:tplc="C4EE7D4C">
      <w:start w:val="1"/>
      <w:numFmt w:val="decimal"/>
      <w:lvlText w:val="%1."/>
      <w:lvlJc w:val="left"/>
      <w:pPr>
        <w:ind w:left="720" w:hanging="360"/>
      </w:pPr>
      <w:rPr>
        <w:rFonts w:hint="default"/>
        <w:b w:val="0"/>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A0D2397"/>
    <w:multiLevelType w:val="hybridMultilevel"/>
    <w:tmpl w:val="1F985656"/>
    <w:lvl w:ilvl="0" w:tplc="988CA6B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AA731D2"/>
    <w:multiLevelType w:val="hybridMultilevel"/>
    <w:tmpl w:val="126872FE"/>
    <w:lvl w:ilvl="0" w:tplc="F7C028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0C901D9"/>
    <w:multiLevelType w:val="hybridMultilevel"/>
    <w:tmpl w:val="671E73C6"/>
    <w:lvl w:ilvl="0" w:tplc="FEF0E7AC">
      <w:start w:val="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21DB0F70"/>
    <w:multiLevelType w:val="hybridMultilevel"/>
    <w:tmpl w:val="E97E1AC8"/>
    <w:lvl w:ilvl="0" w:tplc="1009000F">
      <w:start w:val="1"/>
      <w:numFmt w:val="decimal"/>
      <w:lvlText w:val="%1."/>
      <w:lvlJc w:val="left"/>
      <w:pPr>
        <w:ind w:left="1460" w:hanging="360"/>
      </w:pPr>
    </w:lvl>
    <w:lvl w:ilvl="1" w:tplc="10090019" w:tentative="1">
      <w:start w:val="1"/>
      <w:numFmt w:val="lowerLetter"/>
      <w:lvlText w:val="%2."/>
      <w:lvlJc w:val="left"/>
      <w:pPr>
        <w:ind w:left="2180" w:hanging="360"/>
      </w:pPr>
    </w:lvl>
    <w:lvl w:ilvl="2" w:tplc="1009001B" w:tentative="1">
      <w:start w:val="1"/>
      <w:numFmt w:val="lowerRoman"/>
      <w:lvlText w:val="%3."/>
      <w:lvlJc w:val="right"/>
      <w:pPr>
        <w:ind w:left="2900" w:hanging="180"/>
      </w:pPr>
    </w:lvl>
    <w:lvl w:ilvl="3" w:tplc="1009000F" w:tentative="1">
      <w:start w:val="1"/>
      <w:numFmt w:val="decimal"/>
      <w:lvlText w:val="%4."/>
      <w:lvlJc w:val="left"/>
      <w:pPr>
        <w:ind w:left="3620" w:hanging="360"/>
      </w:pPr>
    </w:lvl>
    <w:lvl w:ilvl="4" w:tplc="10090019" w:tentative="1">
      <w:start w:val="1"/>
      <w:numFmt w:val="lowerLetter"/>
      <w:lvlText w:val="%5."/>
      <w:lvlJc w:val="left"/>
      <w:pPr>
        <w:ind w:left="4340" w:hanging="360"/>
      </w:pPr>
    </w:lvl>
    <w:lvl w:ilvl="5" w:tplc="1009001B" w:tentative="1">
      <w:start w:val="1"/>
      <w:numFmt w:val="lowerRoman"/>
      <w:lvlText w:val="%6."/>
      <w:lvlJc w:val="right"/>
      <w:pPr>
        <w:ind w:left="5060" w:hanging="180"/>
      </w:pPr>
    </w:lvl>
    <w:lvl w:ilvl="6" w:tplc="1009000F" w:tentative="1">
      <w:start w:val="1"/>
      <w:numFmt w:val="decimal"/>
      <w:lvlText w:val="%7."/>
      <w:lvlJc w:val="left"/>
      <w:pPr>
        <w:ind w:left="5780" w:hanging="360"/>
      </w:pPr>
    </w:lvl>
    <w:lvl w:ilvl="7" w:tplc="10090019" w:tentative="1">
      <w:start w:val="1"/>
      <w:numFmt w:val="lowerLetter"/>
      <w:lvlText w:val="%8."/>
      <w:lvlJc w:val="left"/>
      <w:pPr>
        <w:ind w:left="6500" w:hanging="360"/>
      </w:pPr>
    </w:lvl>
    <w:lvl w:ilvl="8" w:tplc="1009001B" w:tentative="1">
      <w:start w:val="1"/>
      <w:numFmt w:val="lowerRoman"/>
      <w:lvlText w:val="%9."/>
      <w:lvlJc w:val="right"/>
      <w:pPr>
        <w:ind w:left="7220" w:hanging="180"/>
      </w:pPr>
    </w:lvl>
  </w:abstractNum>
  <w:abstractNum w:abstractNumId="28" w15:restartNumberingAfterBreak="0">
    <w:nsid w:val="246D179E"/>
    <w:multiLevelType w:val="hybridMultilevel"/>
    <w:tmpl w:val="8402A164"/>
    <w:lvl w:ilvl="0" w:tplc="12C69E52">
      <w:start w:val="1"/>
      <w:numFmt w:val="decimal"/>
      <w:lvlText w:val="%1."/>
      <w:lvlJc w:val="left"/>
      <w:pPr>
        <w:ind w:left="460" w:hanging="360"/>
      </w:pPr>
      <w:rPr>
        <w:rFonts w:ascii="Arial Narrow" w:eastAsia="Arial Narrow" w:hAnsi="Arial Narrow" w:cs="Arial Narrow" w:hint="default"/>
        <w:b w:val="0"/>
        <w:bCs w:val="0"/>
        <w:i w:val="0"/>
        <w:iCs w:val="0"/>
        <w:spacing w:val="0"/>
        <w:w w:val="119"/>
        <w:sz w:val="20"/>
        <w:szCs w:val="20"/>
      </w:rPr>
    </w:lvl>
    <w:lvl w:ilvl="1" w:tplc="271C9FD6">
      <w:numFmt w:val="bullet"/>
      <w:lvlText w:val="•"/>
      <w:lvlJc w:val="left"/>
      <w:pPr>
        <w:ind w:left="1370" w:hanging="360"/>
      </w:pPr>
    </w:lvl>
    <w:lvl w:ilvl="2" w:tplc="854C5A8A">
      <w:numFmt w:val="bullet"/>
      <w:lvlText w:val="•"/>
      <w:lvlJc w:val="left"/>
      <w:pPr>
        <w:ind w:left="2280" w:hanging="360"/>
      </w:pPr>
    </w:lvl>
    <w:lvl w:ilvl="3" w:tplc="BA68DC9E">
      <w:numFmt w:val="bullet"/>
      <w:lvlText w:val="•"/>
      <w:lvlJc w:val="left"/>
      <w:pPr>
        <w:ind w:left="3190" w:hanging="360"/>
      </w:pPr>
    </w:lvl>
    <w:lvl w:ilvl="4" w:tplc="57F010FC">
      <w:numFmt w:val="bullet"/>
      <w:lvlText w:val="•"/>
      <w:lvlJc w:val="left"/>
      <w:pPr>
        <w:ind w:left="4100" w:hanging="360"/>
      </w:pPr>
    </w:lvl>
    <w:lvl w:ilvl="5" w:tplc="E242B466">
      <w:numFmt w:val="bullet"/>
      <w:lvlText w:val="•"/>
      <w:lvlJc w:val="left"/>
      <w:pPr>
        <w:ind w:left="5010" w:hanging="360"/>
      </w:pPr>
    </w:lvl>
    <w:lvl w:ilvl="6" w:tplc="539E2622">
      <w:numFmt w:val="bullet"/>
      <w:lvlText w:val="•"/>
      <w:lvlJc w:val="left"/>
      <w:pPr>
        <w:ind w:left="5920" w:hanging="360"/>
      </w:pPr>
    </w:lvl>
    <w:lvl w:ilvl="7" w:tplc="45C629B8">
      <w:numFmt w:val="bullet"/>
      <w:lvlText w:val="•"/>
      <w:lvlJc w:val="left"/>
      <w:pPr>
        <w:ind w:left="6830" w:hanging="360"/>
      </w:pPr>
    </w:lvl>
    <w:lvl w:ilvl="8" w:tplc="DB76D39A">
      <w:numFmt w:val="bullet"/>
      <w:lvlText w:val="•"/>
      <w:lvlJc w:val="left"/>
      <w:pPr>
        <w:ind w:left="7740" w:hanging="360"/>
      </w:pPr>
    </w:lvl>
  </w:abstractNum>
  <w:abstractNum w:abstractNumId="29" w15:restartNumberingAfterBreak="0">
    <w:nsid w:val="260B21FB"/>
    <w:multiLevelType w:val="hybridMultilevel"/>
    <w:tmpl w:val="8A08CE66"/>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7F46CE9"/>
    <w:multiLevelType w:val="multilevel"/>
    <w:tmpl w:val="A1769CEA"/>
    <w:lvl w:ilvl="0">
      <w:start w:val="6"/>
      <w:numFmt w:val="decimal"/>
      <w:lvlText w:val="%1"/>
      <w:lvlJc w:val="left"/>
      <w:pPr>
        <w:ind w:left="895" w:hanging="541"/>
      </w:pPr>
    </w:lvl>
    <w:lvl w:ilvl="1">
      <w:start w:val="11"/>
      <w:numFmt w:val="decimal"/>
      <w:lvlText w:val="%1.%2"/>
      <w:lvlJc w:val="left"/>
      <w:pPr>
        <w:ind w:left="895" w:hanging="541"/>
      </w:pPr>
      <w:rPr>
        <w:rFonts w:ascii="Arial" w:eastAsia="Arial" w:hAnsi="Arial" w:cs="Arial" w:hint="default"/>
        <w:b w:val="0"/>
        <w:bCs w:val="0"/>
        <w:i w:val="0"/>
        <w:iCs w:val="0"/>
        <w:color w:val="282828"/>
        <w:spacing w:val="-1"/>
        <w:w w:val="90"/>
        <w:sz w:val="21"/>
        <w:szCs w:val="21"/>
      </w:rPr>
    </w:lvl>
    <w:lvl w:ilvl="2">
      <w:numFmt w:val="bullet"/>
      <w:lvlText w:val="•"/>
      <w:lvlJc w:val="left"/>
      <w:pPr>
        <w:ind w:left="2780" w:hanging="541"/>
      </w:pPr>
    </w:lvl>
    <w:lvl w:ilvl="3">
      <w:numFmt w:val="bullet"/>
      <w:lvlText w:val="•"/>
      <w:lvlJc w:val="left"/>
      <w:pPr>
        <w:ind w:left="3720" w:hanging="541"/>
      </w:pPr>
    </w:lvl>
    <w:lvl w:ilvl="4">
      <w:numFmt w:val="bullet"/>
      <w:lvlText w:val="•"/>
      <w:lvlJc w:val="left"/>
      <w:pPr>
        <w:ind w:left="4660" w:hanging="541"/>
      </w:pPr>
    </w:lvl>
    <w:lvl w:ilvl="5">
      <w:numFmt w:val="bullet"/>
      <w:lvlText w:val="•"/>
      <w:lvlJc w:val="left"/>
      <w:pPr>
        <w:ind w:left="5600" w:hanging="541"/>
      </w:pPr>
    </w:lvl>
    <w:lvl w:ilvl="6">
      <w:numFmt w:val="bullet"/>
      <w:lvlText w:val="•"/>
      <w:lvlJc w:val="left"/>
      <w:pPr>
        <w:ind w:left="6540" w:hanging="541"/>
      </w:pPr>
    </w:lvl>
    <w:lvl w:ilvl="7">
      <w:numFmt w:val="bullet"/>
      <w:lvlText w:val="•"/>
      <w:lvlJc w:val="left"/>
      <w:pPr>
        <w:ind w:left="7480" w:hanging="541"/>
      </w:pPr>
    </w:lvl>
    <w:lvl w:ilvl="8">
      <w:numFmt w:val="bullet"/>
      <w:lvlText w:val="•"/>
      <w:lvlJc w:val="left"/>
      <w:pPr>
        <w:ind w:left="8420" w:hanging="541"/>
      </w:pPr>
    </w:lvl>
  </w:abstractNum>
  <w:abstractNum w:abstractNumId="31" w15:restartNumberingAfterBreak="0">
    <w:nsid w:val="28C121C6"/>
    <w:multiLevelType w:val="hybridMultilevel"/>
    <w:tmpl w:val="D618E0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2AB34E23"/>
    <w:multiLevelType w:val="hybridMultilevel"/>
    <w:tmpl w:val="5798B81A"/>
    <w:lvl w:ilvl="0" w:tplc="E6A4A40E">
      <w:start w:val="1"/>
      <w:numFmt w:val="decimal"/>
      <w:lvlText w:val="%1."/>
      <w:lvlJc w:val="left"/>
      <w:pPr>
        <w:ind w:left="1260" w:hanging="54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2D09005B"/>
    <w:multiLevelType w:val="hybridMultilevel"/>
    <w:tmpl w:val="32FAEB26"/>
    <w:lvl w:ilvl="0" w:tplc="E6A6EFA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2F4D606C"/>
    <w:multiLevelType w:val="hybridMultilevel"/>
    <w:tmpl w:val="62EA1BAA"/>
    <w:lvl w:ilvl="0" w:tplc="07D6092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7" w15:restartNumberingAfterBreak="0">
    <w:nsid w:val="31653CB5"/>
    <w:multiLevelType w:val="hybridMultilevel"/>
    <w:tmpl w:val="477EF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70E4997"/>
    <w:multiLevelType w:val="hybridMultilevel"/>
    <w:tmpl w:val="E3FCEA8C"/>
    <w:lvl w:ilvl="0" w:tplc="1009000F">
      <w:start w:val="1"/>
      <w:numFmt w:val="decimal"/>
      <w:lvlText w:val="%1."/>
      <w:lvlJc w:val="left"/>
      <w:pPr>
        <w:ind w:left="1210" w:hanging="360"/>
      </w:pPr>
    </w:lvl>
    <w:lvl w:ilvl="1" w:tplc="10090019" w:tentative="1">
      <w:start w:val="1"/>
      <w:numFmt w:val="lowerLetter"/>
      <w:lvlText w:val="%2."/>
      <w:lvlJc w:val="left"/>
      <w:pPr>
        <w:ind w:left="1930" w:hanging="360"/>
      </w:pPr>
    </w:lvl>
    <w:lvl w:ilvl="2" w:tplc="1009001B" w:tentative="1">
      <w:start w:val="1"/>
      <w:numFmt w:val="lowerRoman"/>
      <w:lvlText w:val="%3."/>
      <w:lvlJc w:val="right"/>
      <w:pPr>
        <w:ind w:left="2650" w:hanging="180"/>
      </w:pPr>
    </w:lvl>
    <w:lvl w:ilvl="3" w:tplc="1009000F" w:tentative="1">
      <w:start w:val="1"/>
      <w:numFmt w:val="decimal"/>
      <w:lvlText w:val="%4."/>
      <w:lvlJc w:val="left"/>
      <w:pPr>
        <w:ind w:left="3370" w:hanging="360"/>
      </w:pPr>
    </w:lvl>
    <w:lvl w:ilvl="4" w:tplc="10090019" w:tentative="1">
      <w:start w:val="1"/>
      <w:numFmt w:val="lowerLetter"/>
      <w:lvlText w:val="%5."/>
      <w:lvlJc w:val="left"/>
      <w:pPr>
        <w:ind w:left="4090" w:hanging="360"/>
      </w:pPr>
    </w:lvl>
    <w:lvl w:ilvl="5" w:tplc="1009001B" w:tentative="1">
      <w:start w:val="1"/>
      <w:numFmt w:val="lowerRoman"/>
      <w:lvlText w:val="%6."/>
      <w:lvlJc w:val="right"/>
      <w:pPr>
        <w:ind w:left="4810" w:hanging="180"/>
      </w:pPr>
    </w:lvl>
    <w:lvl w:ilvl="6" w:tplc="1009000F" w:tentative="1">
      <w:start w:val="1"/>
      <w:numFmt w:val="decimal"/>
      <w:lvlText w:val="%7."/>
      <w:lvlJc w:val="left"/>
      <w:pPr>
        <w:ind w:left="5530" w:hanging="360"/>
      </w:pPr>
    </w:lvl>
    <w:lvl w:ilvl="7" w:tplc="10090019" w:tentative="1">
      <w:start w:val="1"/>
      <w:numFmt w:val="lowerLetter"/>
      <w:lvlText w:val="%8."/>
      <w:lvlJc w:val="left"/>
      <w:pPr>
        <w:ind w:left="6250" w:hanging="360"/>
      </w:pPr>
    </w:lvl>
    <w:lvl w:ilvl="8" w:tplc="1009001B" w:tentative="1">
      <w:start w:val="1"/>
      <w:numFmt w:val="lowerRoman"/>
      <w:lvlText w:val="%9."/>
      <w:lvlJc w:val="right"/>
      <w:pPr>
        <w:ind w:left="6970" w:hanging="180"/>
      </w:pPr>
    </w:lvl>
  </w:abstractNum>
  <w:abstractNum w:abstractNumId="39" w15:restartNumberingAfterBreak="0">
    <w:nsid w:val="37587099"/>
    <w:multiLevelType w:val="hybridMultilevel"/>
    <w:tmpl w:val="FA44992A"/>
    <w:lvl w:ilvl="0" w:tplc="988CA6BC">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3A6B6494"/>
    <w:multiLevelType w:val="hybridMultilevel"/>
    <w:tmpl w:val="1862DB64"/>
    <w:lvl w:ilvl="0" w:tplc="174AAF74">
      <w:start w:val="1"/>
      <w:numFmt w:val="decimal"/>
      <w:lvlText w:val="[%1]"/>
      <w:lvlJc w:val="left"/>
      <w:pPr>
        <w:ind w:left="720" w:hanging="360"/>
      </w:pPr>
      <w:rPr>
        <w:rFonts w:hint="default"/>
        <w:b w:val="0"/>
        <w:bCs w:val="0"/>
        <w:i w:val="0"/>
        <w:iCs w:val="0"/>
        <w:sz w:val="24"/>
        <w:szCs w:val="24"/>
      </w:rPr>
    </w:lvl>
    <w:lvl w:ilvl="1" w:tplc="CED422B2">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B3A68EB"/>
    <w:multiLevelType w:val="hybridMultilevel"/>
    <w:tmpl w:val="FDB822B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B852782"/>
    <w:multiLevelType w:val="hybridMultilevel"/>
    <w:tmpl w:val="2BD6F628"/>
    <w:lvl w:ilvl="0" w:tplc="07A48F5E">
      <w:start w:val="1"/>
      <w:numFmt w:val="decimal"/>
      <w:lvlText w:val="%1)"/>
      <w:lvlJc w:val="left"/>
      <w:pPr>
        <w:ind w:left="1289" w:hanging="569"/>
      </w:pPr>
      <w:rPr>
        <w:rFonts w:ascii="Arial" w:eastAsia="Arial" w:hAnsi="Arial" w:cs="Arial" w:hint="default"/>
        <w:b w:val="0"/>
        <w:bCs w:val="0"/>
        <w:i w:val="0"/>
        <w:iCs w:val="0"/>
        <w:w w:val="100"/>
        <w:sz w:val="24"/>
        <w:szCs w:val="24"/>
        <w:lang w:val="en-CA" w:eastAsia="en-US" w:bidi="ar-SA"/>
      </w:rPr>
    </w:lvl>
    <w:lvl w:ilvl="1" w:tplc="A6BE521E">
      <w:start w:val="1"/>
      <w:numFmt w:val="lowerLetter"/>
      <w:lvlText w:val="%2)"/>
      <w:lvlJc w:val="left"/>
      <w:pPr>
        <w:ind w:left="2028" w:hanging="360"/>
      </w:pPr>
      <w:rPr>
        <w:rFonts w:ascii="Arial" w:eastAsia="Arial" w:hAnsi="Arial" w:cs="Arial" w:hint="default"/>
        <w:b w:val="0"/>
        <w:bCs w:val="0"/>
        <w:i w:val="0"/>
        <w:iCs w:val="0"/>
        <w:spacing w:val="0"/>
        <w:w w:val="100"/>
        <w:sz w:val="24"/>
        <w:szCs w:val="24"/>
        <w:lang w:val="en-CA" w:eastAsia="en-US" w:bidi="ar-SA"/>
      </w:rPr>
    </w:lvl>
    <w:lvl w:ilvl="2" w:tplc="AA6A16B0">
      <w:numFmt w:val="bullet"/>
      <w:lvlText w:val=""/>
      <w:lvlJc w:val="left"/>
      <w:pPr>
        <w:ind w:left="2748" w:hanging="360"/>
      </w:pPr>
      <w:rPr>
        <w:rFonts w:ascii="Symbol" w:eastAsia="Symbol" w:hAnsi="Symbol" w:cs="Symbol" w:hint="default"/>
        <w:b w:val="0"/>
        <w:bCs w:val="0"/>
        <w:i w:val="0"/>
        <w:iCs w:val="0"/>
        <w:w w:val="100"/>
        <w:sz w:val="24"/>
        <w:szCs w:val="24"/>
        <w:lang w:val="en-CA" w:eastAsia="en-US" w:bidi="ar-SA"/>
      </w:rPr>
    </w:lvl>
    <w:lvl w:ilvl="3" w:tplc="CFE6492A">
      <w:numFmt w:val="bullet"/>
      <w:lvlText w:val="•"/>
      <w:lvlJc w:val="left"/>
      <w:pPr>
        <w:ind w:left="1657" w:hanging="360"/>
      </w:pPr>
      <w:rPr>
        <w:rFonts w:hint="default"/>
        <w:lang w:val="en-CA" w:eastAsia="en-US" w:bidi="ar-SA"/>
      </w:rPr>
    </w:lvl>
    <w:lvl w:ilvl="4" w:tplc="1E34F556">
      <w:numFmt w:val="bullet"/>
      <w:lvlText w:val="•"/>
      <w:lvlJc w:val="left"/>
      <w:pPr>
        <w:ind w:left="1997" w:hanging="360"/>
      </w:pPr>
      <w:rPr>
        <w:rFonts w:hint="default"/>
        <w:lang w:val="en-CA" w:eastAsia="en-US" w:bidi="ar-SA"/>
      </w:rPr>
    </w:lvl>
    <w:lvl w:ilvl="5" w:tplc="AE3478E8">
      <w:numFmt w:val="bullet"/>
      <w:lvlText w:val="•"/>
      <w:lvlJc w:val="left"/>
      <w:pPr>
        <w:ind w:left="2037" w:hanging="360"/>
      </w:pPr>
      <w:rPr>
        <w:rFonts w:hint="default"/>
        <w:lang w:val="en-CA" w:eastAsia="en-US" w:bidi="ar-SA"/>
      </w:rPr>
    </w:lvl>
    <w:lvl w:ilvl="6" w:tplc="E454174A">
      <w:numFmt w:val="bullet"/>
      <w:lvlText w:val="•"/>
      <w:lvlJc w:val="left"/>
      <w:pPr>
        <w:ind w:left="2757" w:hanging="360"/>
      </w:pPr>
      <w:rPr>
        <w:rFonts w:hint="default"/>
        <w:lang w:val="en-CA" w:eastAsia="en-US" w:bidi="ar-SA"/>
      </w:rPr>
    </w:lvl>
    <w:lvl w:ilvl="7" w:tplc="D6449446">
      <w:numFmt w:val="bullet"/>
      <w:lvlText w:val="•"/>
      <w:lvlJc w:val="left"/>
      <w:pPr>
        <w:ind w:left="4487" w:hanging="360"/>
      </w:pPr>
      <w:rPr>
        <w:rFonts w:hint="default"/>
        <w:lang w:val="en-CA" w:eastAsia="en-US" w:bidi="ar-SA"/>
      </w:rPr>
    </w:lvl>
    <w:lvl w:ilvl="8" w:tplc="EF20382C">
      <w:numFmt w:val="bullet"/>
      <w:lvlText w:val="•"/>
      <w:lvlJc w:val="left"/>
      <w:pPr>
        <w:ind w:left="6217" w:hanging="360"/>
      </w:pPr>
      <w:rPr>
        <w:rFonts w:hint="default"/>
        <w:lang w:val="en-CA" w:eastAsia="en-US" w:bidi="ar-SA"/>
      </w:rPr>
    </w:lvl>
  </w:abstractNum>
  <w:abstractNum w:abstractNumId="44" w15:restartNumberingAfterBreak="0">
    <w:nsid w:val="3E545B8D"/>
    <w:multiLevelType w:val="hybridMultilevel"/>
    <w:tmpl w:val="D772B5D6"/>
    <w:lvl w:ilvl="0" w:tplc="1009000F">
      <w:start w:val="1"/>
      <w:numFmt w:val="decimal"/>
      <w:lvlText w:val="%1."/>
      <w:lvlJc w:val="left"/>
      <w:pPr>
        <w:ind w:left="1460" w:hanging="360"/>
      </w:pPr>
    </w:lvl>
    <w:lvl w:ilvl="1" w:tplc="10090019" w:tentative="1">
      <w:start w:val="1"/>
      <w:numFmt w:val="lowerLetter"/>
      <w:lvlText w:val="%2."/>
      <w:lvlJc w:val="left"/>
      <w:pPr>
        <w:ind w:left="2180" w:hanging="360"/>
      </w:pPr>
    </w:lvl>
    <w:lvl w:ilvl="2" w:tplc="1009001B" w:tentative="1">
      <w:start w:val="1"/>
      <w:numFmt w:val="lowerRoman"/>
      <w:lvlText w:val="%3."/>
      <w:lvlJc w:val="right"/>
      <w:pPr>
        <w:ind w:left="2900" w:hanging="180"/>
      </w:pPr>
    </w:lvl>
    <w:lvl w:ilvl="3" w:tplc="1009000F" w:tentative="1">
      <w:start w:val="1"/>
      <w:numFmt w:val="decimal"/>
      <w:lvlText w:val="%4."/>
      <w:lvlJc w:val="left"/>
      <w:pPr>
        <w:ind w:left="3620" w:hanging="360"/>
      </w:pPr>
    </w:lvl>
    <w:lvl w:ilvl="4" w:tplc="10090019" w:tentative="1">
      <w:start w:val="1"/>
      <w:numFmt w:val="lowerLetter"/>
      <w:lvlText w:val="%5."/>
      <w:lvlJc w:val="left"/>
      <w:pPr>
        <w:ind w:left="4340" w:hanging="360"/>
      </w:pPr>
    </w:lvl>
    <w:lvl w:ilvl="5" w:tplc="1009001B" w:tentative="1">
      <w:start w:val="1"/>
      <w:numFmt w:val="lowerRoman"/>
      <w:lvlText w:val="%6."/>
      <w:lvlJc w:val="right"/>
      <w:pPr>
        <w:ind w:left="5060" w:hanging="180"/>
      </w:pPr>
    </w:lvl>
    <w:lvl w:ilvl="6" w:tplc="1009000F" w:tentative="1">
      <w:start w:val="1"/>
      <w:numFmt w:val="decimal"/>
      <w:lvlText w:val="%7."/>
      <w:lvlJc w:val="left"/>
      <w:pPr>
        <w:ind w:left="5780" w:hanging="360"/>
      </w:pPr>
    </w:lvl>
    <w:lvl w:ilvl="7" w:tplc="10090019" w:tentative="1">
      <w:start w:val="1"/>
      <w:numFmt w:val="lowerLetter"/>
      <w:lvlText w:val="%8."/>
      <w:lvlJc w:val="left"/>
      <w:pPr>
        <w:ind w:left="6500" w:hanging="360"/>
      </w:pPr>
    </w:lvl>
    <w:lvl w:ilvl="8" w:tplc="1009001B" w:tentative="1">
      <w:start w:val="1"/>
      <w:numFmt w:val="lowerRoman"/>
      <w:lvlText w:val="%9."/>
      <w:lvlJc w:val="right"/>
      <w:pPr>
        <w:ind w:left="7220" w:hanging="180"/>
      </w:pPr>
    </w:lvl>
  </w:abstractNum>
  <w:abstractNum w:abstractNumId="45" w15:restartNumberingAfterBreak="0">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4E835A9"/>
    <w:multiLevelType w:val="hybridMultilevel"/>
    <w:tmpl w:val="50588EF8"/>
    <w:lvl w:ilvl="0" w:tplc="93DE27F8">
      <w:start w:val="1"/>
      <w:numFmt w:val="decimal"/>
      <w:lvlText w:val="%1."/>
      <w:lvlJc w:val="left"/>
      <w:pPr>
        <w:ind w:left="808" w:hanging="708"/>
      </w:pPr>
      <w:rPr>
        <w:rFonts w:ascii="Times New Roman" w:eastAsia="Times New Roman" w:hAnsi="Times New Roman" w:cs="Times New Roman" w:hint="default"/>
        <w:b w:val="0"/>
        <w:bCs w:val="0"/>
        <w:i w:val="0"/>
        <w:iCs w:val="0"/>
        <w:w w:val="99"/>
        <w:sz w:val="24"/>
        <w:szCs w:val="24"/>
      </w:rPr>
    </w:lvl>
    <w:lvl w:ilvl="1" w:tplc="D3F62C02">
      <w:start w:val="1"/>
      <w:numFmt w:val="lowerRoman"/>
      <w:lvlText w:val="%2."/>
      <w:lvlJc w:val="left"/>
      <w:pPr>
        <w:ind w:left="1540" w:hanging="488"/>
      </w:pPr>
      <w:rPr>
        <w:rFonts w:ascii="Times New Roman" w:eastAsia="Times New Roman" w:hAnsi="Times New Roman" w:cs="Times New Roman" w:hint="default"/>
        <w:b w:val="0"/>
        <w:bCs w:val="0"/>
        <w:i w:val="0"/>
        <w:iCs w:val="0"/>
        <w:w w:val="99"/>
        <w:sz w:val="24"/>
        <w:szCs w:val="24"/>
      </w:rPr>
    </w:lvl>
    <w:lvl w:ilvl="2" w:tplc="1009000F">
      <w:start w:val="1"/>
      <w:numFmt w:val="decimal"/>
      <w:lvlText w:val="%3."/>
      <w:lvlJc w:val="left"/>
      <w:pPr>
        <w:ind w:left="1900" w:hanging="360"/>
      </w:pPr>
      <w:rPr>
        <w:rFonts w:hint="default"/>
        <w:b w:val="0"/>
        <w:bCs w:val="0"/>
        <w:i w:val="0"/>
        <w:iCs w:val="0"/>
        <w:w w:val="99"/>
        <w:sz w:val="24"/>
        <w:szCs w:val="24"/>
      </w:rPr>
    </w:lvl>
    <w:lvl w:ilvl="3" w:tplc="F7E25B9C">
      <w:numFmt w:val="bullet"/>
      <w:lvlText w:val="•"/>
      <w:lvlJc w:val="left"/>
      <w:pPr>
        <w:ind w:left="2867" w:hanging="360"/>
      </w:pPr>
    </w:lvl>
    <w:lvl w:ilvl="4" w:tplc="D4984BE4">
      <w:numFmt w:val="bullet"/>
      <w:lvlText w:val="•"/>
      <w:lvlJc w:val="left"/>
      <w:pPr>
        <w:ind w:left="3835" w:hanging="360"/>
      </w:pPr>
    </w:lvl>
    <w:lvl w:ilvl="5" w:tplc="C9C4F42A">
      <w:numFmt w:val="bullet"/>
      <w:lvlText w:val="•"/>
      <w:lvlJc w:val="left"/>
      <w:pPr>
        <w:ind w:left="4802" w:hanging="360"/>
      </w:pPr>
    </w:lvl>
    <w:lvl w:ilvl="6" w:tplc="7C8A46D0">
      <w:numFmt w:val="bullet"/>
      <w:lvlText w:val="•"/>
      <w:lvlJc w:val="left"/>
      <w:pPr>
        <w:ind w:left="5770" w:hanging="360"/>
      </w:pPr>
    </w:lvl>
    <w:lvl w:ilvl="7" w:tplc="E56E3AC0">
      <w:numFmt w:val="bullet"/>
      <w:lvlText w:val="•"/>
      <w:lvlJc w:val="left"/>
      <w:pPr>
        <w:ind w:left="6737" w:hanging="360"/>
      </w:pPr>
    </w:lvl>
    <w:lvl w:ilvl="8" w:tplc="657A94B8">
      <w:numFmt w:val="bullet"/>
      <w:lvlText w:val="•"/>
      <w:lvlJc w:val="left"/>
      <w:pPr>
        <w:ind w:left="7705" w:hanging="360"/>
      </w:pPr>
    </w:lvl>
  </w:abstractNum>
  <w:abstractNum w:abstractNumId="49" w15:restartNumberingAfterBreak="0">
    <w:nsid w:val="46695AB8"/>
    <w:multiLevelType w:val="multilevel"/>
    <w:tmpl w:val="2F3C63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85A5DDB"/>
    <w:multiLevelType w:val="hybridMultilevel"/>
    <w:tmpl w:val="C2527AE2"/>
    <w:lvl w:ilvl="0" w:tplc="C35AF206">
      <w:start w:val="1"/>
      <w:numFmt w:val="decimal"/>
      <w:lvlText w:val="%1."/>
      <w:lvlJc w:val="left"/>
      <w:pPr>
        <w:ind w:left="480" w:hanging="360"/>
        <w:jc w:val="left"/>
      </w:pPr>
      <w:rPr>
        <w:rFonts w:ascii="Arial" w:eastAsia="Arial" w:hAnsi="Arial" w:cs="Arial" w:hint="default"/>
        <w:b w:val="0"/>
        <w:bCs w:val="0"/>
        <w:i w:val="0"/>
        <w:iCs w:val="0"/>
        <w:spacing w:val="-1"/>
        <w:w w:val="100"/>
        <w:sz w:val="24"/>
        <w:szCs w:val="24"/>
      </w:rPr>
    </w:lvl>
    <w:lvl w:ilvl="1" w:tplc="811A397A">
      <w:numFmt w:val="bullet"/>
      <w:lvlText w:val="•"/>
      <w:lvlJc w:val="left"/>
      <w:pPr>
        <w:ind w:left="1352" w:hanging="360"/>
      </w:pPr>
      <w:rPr>
        <w:rFonts w:hint="default"/>
      </w:rPr>
    </w:lvl>
    <w:lvl w:ilvl="2" w:tplc="78E0C376">
      <w:numFmt w:val="bullet"/>
      <w:lvlText w:val="•"/>
      <w:lvlJc w:val="left"/>
      <w:pPr>
        <w:ind w:left="2224" w:hanging="360"/>
      </w:pPr>
      <w:rPr>
        <w:rFonts w:hint="default"/>
      </w:rPr>
    </w:lvl>
    <w:lvl w:ilvl="3" w:tplc="0044901A">
      <w:numFmt w:val="bullet"/>
      <w:lvlText w:val="•"/>
      <w:lvlJc w:val="left"/>
      <w:pPr>
        <w:ind w:left="3096" w:hanging="360"/>
      </w:pPr>
      <w:rPr>
        <w:rFonts w:hint="default"/>
      </w:rPr>
    </w:lvl>
    <w:lvl w:ilvl="4" w:tplc="D78A517E">
      <w:numFmt w:val="bullet"/>
      <w:lvlText w:val="•"/>
      <w:lvlJc w:val="left"/>
      <w:pPr>
        <w:ind w:left="3968" w:hanging="360"/>
      </w:pPr>
      <w:rPr>
        <w:rFonts w:hint="default"/>
      </w:rPr>
    </w:lvl>
    <w:lvl w:ilvl="5" w:tplc="AC06E348">
      <w:numFmt w:val="bullet"/>
      <w:lvlText w:val="•"/>
      <w:lvlJc w:val="left"/>
      <w:pPr>
        <w:ind w:left="4840" w:hanging="360"/>
      </w:pPr>
      <w:rPr>
        <w:rFonts w:hint="default"/>
      </w:rPr>
    </w:lvl>
    <w:lvl w:ilvl="6" w:tplc="FAAC3FDC">
      <w:numFmt w:val="bullet"/>
      <w:lvlText w:val="•"/>
      <w:lvlJc w:val="left"/>
      <w:pPr>
        <w:ind w:left="5712" w:hanging="360"/>
      </w:pPr>
      <w:rPr>
        <w:rFonts w:hint="default"/>
      </w:rPr>
    </w:lvl>
    <w:lvl w:ilvl="7" w:tplc="3EE2B700">
      <w:numFmt w:val="bullet"/>
      <w:lvlText w:val="•"/>
      <w:lvlJc w:val="left"/>
      <w:pPr>
        <w:ind w:left="6584" w:hanging="360"/>
      </w:pPr>
      <w:rPr>
        <w:rFonts w:hint="default"/>
      </w:rPr>
    </w:lvl>
    <w:lvl w:ilvl="8" w:tplc="F4086A18">
      <w:numFmt w:val="bullet"/>
      <w:lvlText w:val="•"/>
      <w:lvlJc w:val="left"/>
      <w:pPr>
        <w:ind w:left="7456" w:hanging="360"/>
      </w:pPr>
      <w:rPr>
        <w:rFonts w:hint="default"/>
      </w:rPr>
    </w:lvl>
  </w:abstractNum>
  <w:abstractNum w:abstractNumId="52" w15:restartNumberingAfterBreak="0">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153332F"/>
    <w:multiLevelType w:val="hybridMultilevel"/>
    <w:tmpl w:val="81A62D2E"/>
    <w:lvl w:ilvl="0" w:tplc="C4EE7D4C">
      <w:start w:val="1"/>
      <w:numFmt w:val="decimal"/>
      <w:lvlText w:val="%1."/>
      <w:lvlJc w:val="left"/>
      <w:pPr>
        <w:ind w:left="720" w:hanging="360"/>
      </w:pPr>
      <w:rPr>
        <w:rFonts w:hint="default"/>
        <w:b w:val="0"/>
        <w:bCs/>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15E531B"/>
    <w:multiLevelType w:val="hybridMultilevel"/>
    <w:tmpl w:val="FF0860BE"/>
    <w:lvl w:ilvl="0" w:tplc="113694F4">
      <w:start w:val="4"/>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5" w15:restartNumberingAfterBreak="0">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3B05D6E"/>
    <w:multiLevelType w:val="hybridMultilevel"/>
    <w:tmpl w:val="2256C450"/>
    <w:lvl w:ilvl="0" w:tplc="A6BE521E">
      <w:start w:val="1"/>
      <w:numFmt w:val="lowerLetter"/>
      <w:lvlText w:val="%1)"/>
      <w:lvlJc w:val="left"/>
      <w:pPr>
        <w:ind w:left="3009" w:hanging="360"/>
      </w:pPr>
      <w:rPr>
        <w:rFonts w:ascii="Arial" w:eastAsia="Arial" w:hAnsi="Arial" w:cs="Arial" w:hint="default"/>
        <w:b w:val="0"/>
        <w:bCs w:val="0"/>
        <w:i w:val="0"/>
        <w:iCs w:val="0"/>
        <w:spacing w:val="0"/>
        <w:w w:val="100"/>
        <w:sz w:val="24"/>
        <w:szCs w:val="24"/>
        <w:lang w:val="en-CA" w:eastAsia="en-US" w:bidi="ar-SA"/>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5539455B"/>
    <w:multiLevelType w:val="hybridMultilevel"/>
    <w:tmpl w:val="05B8D9F8"/>
    <w:lvl w:ilvl="0" w:tplc="1009000F">
      <w:start w:val="1"/>
      <w:numFmt w:val="decimal"/>
      <w:lvlText w:val="%1."/>
      <w:lvlJc w:val="left"/>
      <w:pPr>
        <w:ind w:left="1210" w:hanging="360"/>
      </w:pPr>
    </w:lvl>
    <w:lvl w:ilvl="1" w:tplc="10090019" w:tentative="1">
      <w:start w:val="1"/>
      <w:numFmt w:val="lowerLetter"/>
      <w:lvlText w:val="%2."/>
      <w:lvlJc w:val="left"/>
      <w:pPr>
        <w:ind w:left="1930" w:hanging="360"/>
      </w:pPr>
    </w:lvl>
    <w:lvl w:ilvl="2" w:tplc="1009001B" w:tentative="1">
      <w:start w:val="1"/>
      <w:numFmt w:val="lowerRoman"/>
      <w:lvlText w:val="%3."/>
      <w:lvlJc w:val="right"/>
      <w:pPr>
        <w:ind w:left="2650" w:hanging="180"/>
      </w:pPr>
    </w:lvl>
    <w:lvl w:ilvl="3" w:tplc="1009000F" w:tentative="1">
      <w:start w:val="1"/>
      <w:numFmt w:val="decimal"/>
      <w:lvlText w:val="%4."/>
      <w:lvlJc w:val="left"/>
      <w:pPr>
        <w:ind w:left="3370" w:hanging="360"/>
      </w:pPr>
    </w:lvl>
    <w:lvl w:ilvl="4" w:tplc="10090019" w:tentative="1">
      <w:start w:val="1"/>
      <w:numFmt w:val="lowerLetter"/>
      <w:lvlText w:val="%5."/>
      <w:lvlJc w:val="left"/>
      <w:pPr>
        <w:ind w:left="4090" w:hanging="360"/>
      </w:pPr>
    </w:lvl>
    <w:lvl w:ilvl="5" w:tplc="1009001B" w:tentative="1">
      <w:start w:val="1"/>
      <w:numFmt w:val="lowerRoman"/>
      <w:lvlText w:val="%6."/>
      <w:lvlJc w:val="right"/>
      <w:pPr>
        <w:ind w:left="4810" w:hanging="180"/>
      </w:pPr>
    </w:lvl>
    <w:lvl w:ilvl="6" w:tplc="1009000F" w:tentative="1">
      <w:start w:val="1"/>
      <w:numFmt w:val="decimal"/>
      <w:lvlText w:val="%7."/>
      <w:lvlJc w:val="left"/>
      <w:pPr>
        <w:ind w:left="5530" w:hanging="360"/>
      </w:pPr>
    </w:lvl>
    <w:lvl w:ilvl="7" w:tplc="10090019" w:tentative="1">
      <w:start w:val="1"/>
      <w:numFmt w:val="lowerLetter"/>
      <w:lvlText w:val="%8."/>
      <w:lvlJc w:val="left"/>
      <w:pPr>
        <w:ind w:left="6250" w:hanging="360"/>
      </w:pPr>
    </w:lvl>
    <w:lvl w:ilvl="8" w:tplc="1009001B" w:tentative="1">
      <w:start w:val="1"/>
      <w:numFmt w:val="lowerRoman"/>
      <w:lvlText w:val="%9."/>
      <w:lvlJc w:val="right"/>
      <w:pPr>
        <w:ind w:left="6970" w:hanging="180"/>
      </w:pPr>
    </w:lvl>
  </w:abstractNum>
  <w:abstractNum w:abstractNumId="59" w15:restartNumberingAfterBreak="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60" w15:restartNumberingAfterBreak="0">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1" w15:restartNumberingAfterBreak="0">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10E15ED"/>
    <w:multiLevelType w:val="hybridMultilevel"/>
    <w:tmpl w:val="D14E1F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1856BBF"/>
    <w:multiLevelType w:val="hybridMultilevel"/>
    <w:tmpl w:val="C146294A"/>
    <w:lvl w:ilvl="0" w:tplc="4D006F14">
      <w:start w:val="1"/>
      <w:numFmt w:val="decimal"/>
      <w:lvlText w:val="%1)"/>
      <w:lvlJc w:val="left"/>
      <w:pPr>
        <w:ind w:left="900" w:hanging="5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1FC5C07"/>
    <w:multiLevelType w:val="hybridMultilevel"/>
    <w:tmpl w:val="722EA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5595A4F"/>
    <w:multiLevelType w:val="hybridMultilevel"/>
    <w:tmpl w:val="61AC5D48"/>
    <w:lvl w:ilvl="0" w:tplc="E696CA9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15:restartNumberingAfterBreak="0">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67323CB1"/>
    <w:multiLevelType w:val="hybridMultilevel"/>
    <w:tmpl w:val="2780A8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9B873A0"/>
    <w:multiLevelType w:val="hybridMultilevel"/>
    <w:tmpl w:val="0D3E66C4"/>
    <w:lvl w:ilvl="0" w:tplc="A6E660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2" w15:restartNumberingAfterBreak="0">
    <w:nsid w:val="6A8E0FBC"/>
    <w:multiLevelType w:val="hybridMultilevel"/>
    <w:tmpl w:val="4334866A"/>
    <w:lvl w:ilvl="0" w:tplc="C0E0EC84">
      <w:start w:val="1"/>
      <w:numFmt w:val="lowerLetter"/>
      <w:lvlText w:val="%1)"/>
      <w:lvlJc w:val="left"/>
      <w:pPr>
        <w:ind w:left="2340" w:hanging="360"/>
      </w:pPr>
      <w:rPr>
        <w:rFonts w:hint="default"/>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73" w15:restartNumberingAfterBreak="0">
    <w:nsid w:val="6BF90267"/>
    <w:multiLevelType w:val="hybridMultilevel"/>
    <w:tmpl w:val="D1229764"/>
    <w:lvl w:ilvl="0" w:tplc="8DF6B180">
      <w:start w:val="1"/>
      <w:numFmt w:val="decimal"/>
      <w:lvlText w:val="[%1]"/>
      <w:lvlJc w:val="left"/>
      <w:pPr>
        <w:ind w:left="720" w:hanging="360"/>
      </w:pPr>
      <w:rPr>
        <w:rFonts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E267781"/>
    <w:multiLevelType w:val="hybridMultilevel"/>
    <w:tmpl w:val="A64099CC"/>
    <w:lvl w:ilvl="0" w:tplc="9EB2B60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5" w15:restartNumberingAfterBreak="0">
    <w:nsid w:val="734F688C"/>
    <w:multiLevelType w:val="multilevel"/>
    <w:tmpl w:val="1A684BC6"/>
    <w:lvl w:ilvl="0">
      <w:start w:val="3"/>
      <w:numFmt w:val="decimal"/>
      <w:lvlText w:val="%1"/>
      <w:lvlJc w:val="left"/>
      <w:pPr>
        <w:ind w:left="868" w:hanging="542"/>
      </w:pPr>
    </w:lvl>
    <w:lvl w:ilvl="1">
      <w:start w:val="1"/>
      <w:numFmt w:val="decimal"/>
      <w:lvlText w:val="%1.%2"/>
      <w:lvlJc w:val="left"/>
      <w:pPr>
        <w:ind w:left="868" w:hanging="542"/>
      </w:pPr>
      <w:rPr>
        <w:spacing w:val="-1"/>
        <w:w w:val="107"/>
      </w:rPr>
    </w:lvl>
    <w:lvl w:ilvl="2">
      <w:numFmt w:val="bullet"/>
      <w:lvlText w:val="•"/>
      <w:lvlJc w:val="left"/>
      <w:pPr>
        <w:ind w:left="2748" w:hanging="542"/>
      </w:pPr>
    </w:lvl>
    <w:lvl w:ilvl="3">
      <w:numFmt w:val="bullet"/>
      <w:lvlText w:val="•"/>
      <w:lvlJc w:val="left"/>
      <w:pPr>
        <w:ind w:left="3692" w:hanging="542"/>
      </w:pPr>
    </w:lvl>
    <w:lvl w:ilvl="4">
      <w:numFmt w:val="bullet"/>
      <w:lvlText w:val="•"/>
      <w:lvlJc w:val="left"/>
      <w:pPr>
        <w:ind w:left="4636" w:hanging="542"/>
      </w:pPr>
    </w:lvl>
    <w:lvl w:ilvl="5">
      <w:numFmt w:val="bullet"/>
      <w:lvlText w:val="•"/>
      <w:lvlJc w:val="left"/>
      <w:pPr>
        <w:ind w:left="5580" w:hanging="542"/>
      </w:pPr>
    </w:lvl>
    <w:lvl w:ilvl="6">
      <w:numFmt w:val="bullet"/>
      <w:lvlText w:val="•"/>
      <w:lvlJc w:val="left"/>
      <w:pPr>
        <w:ind w:left="6524" w:hanging="542"/>
      </w:pPr>
    </w:lvl>
    <w:lvl w:ilvl="7">
      <w:numFmt w:val="bullet"/>
      <w:lvlText w:val="•"/>
      <w:lvlJc w:val="left"/>
      <w:pPr>
        <w:ind w:left="7468" w:hanging="542"/>
      </w:pPr>
    </w:lvl>
    <w:lvl w:ilvl="8">
      <w:numFmt w:val="bullet"/>
      <w:lvlText w:val="•"/>
      <w:lvlJc w:val="left"/>
      <w:pPr>
        <w:ind w:left="8412" w:hanging="542"/>
      </w:pPr>
    </w:lvl>
  </w:abstractNum>
  <w:abstractNum w:abstractNumId="76" w15:restartNumberingAfterBreak="0">
    <w:nsid w:val="77750A66"/>
    <w:multiLevelType w:val="hybridMultilevel"/>
    <w:tmpl w:val="15CED88A"/>
    <w:lvl w:ilvl="0" w:tplc="10090019">
      <w:start w:val="1"/>
      <w:numFmt w:val="lowerLetter"/>
      <w:lvlText w:val="%1."/>
      <w:lvlJc w:val="left"/>
      <w:pPr>
        <w:ind w:left="720" w:hanging="360"/>
      </w:pPr>
      <w:rPr>
        <w:rFonts w:hint="default"/>
        <w:b w:val="0"/>
        <w:bCs w:val="0"/>
        <w:i w:val="0"/>
        <w:i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A1140D2"/>
    <w:multiLevelType w:val="hybridMultilevel"/>
    <w:tmpl w:val="FABCB548"/>
    <w:lvl w:ilvl="0" w:tplc="1F9C1C9C">
      <w:start w:val="1"/>
      <w:numFmt w:val="decimal"/>
      <w:lvlText w:val="%1."/>
      <w:lvlJc w:val="left"/>
      <w:pPr>
        <w:ind w:left="1571" w:hanging="720"/>
        <w:jc w:val="right"/>
      </w:pPr>
      <w:rPr>
        <w:rFonts w:ascii="Times New Roman" w:eastAsia="Times New Roman" w:hAnsi="Times New Roman" w:cs="Times New Roman" w:hint="default"/>
        <w:b w:val="0"/>
        <w:bCs w:val="0"/>
        <w:i w:val="0"/>
        <w:iCs w:val="0"/>
        <w:w w:val="99"/>
        <w:sz w:val="24"/>
        <w:szCs w:val="24"/>
      </w:rPr>
    </w:lvl>
    <w:lvl w:ilvl="1" w:tplc="D7042F06">
      <w:start w:val="1"/>
      <w:numFmt w:val="lowerRoman"/>
      <w:lvlText w:val="%2."/>
      <w:lvlJc w:val="left"/>
      <w:pPr>
        <w:ind w:left="2291" w:hanging="488"/>
        <w:jc w:val="right"/>
      </w:pPr>
      <w:rPr>
        <w:rFonts w:ascii="Times New Roman" w:eastAsia="Times New Roman" w:hAnsi="Times New Roman" w:cs="Times New Roman" w:hint="default"/>
        <w:b w:val="0"/>
        <w:bCs w:val="0"/>
        <w:i w:val="0"/>
        <w:iCs w:val="0"/>
        <w:w w:val="99"/>
        <w:sz w:val="24"/>
        <w:szCs w:val="24"/>
      </w:rPr>
    </w:lvl>
    <w:lvl w:ilvl="2" w:tplc="6A409F00">
      <w:numFmt w:val="bullet"/>
      <w:lvlText w:val=""/>
      <w:lvlJc w:val="left"/>
      <w:pPr>
        <w:ind w:left="3011" w:hanging="461"/>
      </w:pPr>
      <w:rPr>
        <w:rFonts w:ascii="Symbol" w:eastAsia="Symbol" w:hAnsi="Symbol" w:cs="Symbol" w:hint="default"/>
        <w:b w:val="0"/>
        <w:bCs w:val="0"/>
        <w:i w:val="0"/>
        <w:iCs w:val="0"/>
        <w:w w:val="99"/>
        <w:sz w:val="20"/>
        <w:szCs w:val="20"/>
      </w:rPr>
    </w:lvl>
    <w:lvl w:ilvl="3" w:tplc="6CD21960">
      <w:numFmt w:val="bullet"/>
      <w:lvlText w:val="•"/>
      <w:lvlJc w:val="left"/>
      <w:pPr>
        <w:ind w:left="3011" w:hanging="461"/>
      </w:pPr>
      <w:rPr>
        <w:rFonts w:hint="default"/>
      </w:rPr>
    </w:lvl>
    <w:lvl w:ilvl="4" w:tplc="C9D6D130">
      <w:numFmt w:val="bullet"/>
      <w:lvlText w:val="•"/>
      <w:lvlJc w:val="left"/>
      <w:pPr>
        <w:ind w:left="4076" w:hanging="461"/>
      </w:pPr>
      <w:rPr>
        <w:rFonts w:hint="default"/>
      </w:rPr>
    </w:lvl>
    <w:lvl w:ilvl="5" w:tplc="D9BEC7AE">
      <w:numFmt w:val="bullet"/>
      <w:lvlText w:val="•"/>
      <w:lvlJc w:val="left"/>
      <w:pPr>
        <w:ind w:left="5142" w:hanging="461"/>
      </w:pPr>
      <w:rPr>
        <w:rFonts w:hint="default"/>
      </w:rPr>
    </w:lvl>
    <w:lvl w:ilvl="6" w:tplc="10D2A52A">
      <w:numFmt w:val="bullet"/>
      <w:lvlText w:val="•"/>
      <w:lvlJc w:val="left"/>
      <w:pPr>
        <w:ind w:left="6208" w:hanging="461"/>
      </w:pPr>
      <w:rPr>
        <w:rFonts w:hint="default"/>
      </w:rPr>
    </w:lvl>
    <w:lvl w:ilvl="7" w:tplc="C328496C">
      <w:numFmt w:val="bullet"/>
      <w:lvlText w:val="•"/>
      <w:lvlJc w:val="left"/>
      <w:pPr>
        <w:ind w:left="7273" w:hanging="461"/>
      </w:pPr>
      <w:rPr>
        <w:rFonts w:hint="default"/>
      </w:rPr>
    </w:lvl>
    <w:lvl w:ilvl="8" w:tplc="48A415B2">
      <w:numFmt w:val="bullet"/>
      <w:lvlText w:val="•"/>
      <w:lvlJc w:val="left"/>
      <w:pPr>
        <w:ind w:left="8339" w:hanging="461"/>
      </w:pPr>
      <w:rPr>
        <w:rFonts w:hint="default"/>
      </w:rPr>
    </w:lvl>
  </w:abstractNum>
  <w:abstractNum w:abstractNumId="79" w15:restartNumberingAfterBreak="0">
    <w:nsid w:val="7A6E20CE"/>
    <w:multiLevelType w:val="multilevel"/>
    <w:tmpl w:val="5596C82A"/>
    <w:lvl w:ilvl="0">
      <w:start w:val="3"/>
      <w:numFmt w:val="decimal"/>
      <w:lvlText w:val="%1"/>
      <w:lvlJc w:val="left"/>
      <w:pPr>
        <w:ind w:left="530" w:hanging="530"/>
      </w:pPr>
      <w:rPr>
        <w:rFonts w:cs="Times New Roman" w:hint="default"/>
      </w:rPr>
    </w:lvl>
    <w:lvl w:ilvl="1">
      <w:start w:val="1"/>
      <w:numFmt w:val="decimal"/>
      <w:lvlText w:val="%1.%2"/>
      <w:lvlJc w:val="left"/>
      <w:pPr>
        <w:ind w:left="1250" w:hanging="53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0" w15:restartNumberingAfterBreak="0">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1" w15:restartNumberingAfterBreak="0">
    <w:nsid w:val="7A956977"/>
    <w:multiLevelType w:val="hybridMultilevel"/>
    <w:tmpl w:val="94C03168"/>
    <w:lvl w:ilvl="0" w:tplc="B53435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5"/>
  </w:num>
  <w:num w:numId="2">
    <w:abstractNumId w:val="22"/>
  </w:num>
  <w:num w:numId="3">
    <w:abstractNumId w:val="77"/>
  </w:num>
  <w:num w:numId="4">
    <w:abstractNumId w:val="25"/>
  </w:num>
  <w:num w:numId="5">
    <w:abstractNumId w:val="82"/>
  </w:num>
  <w:num w:numId="6">
    <w:abstractNumId w:val="17"/>
  </w:num>
  <w:num w:numId="7">
    <w:abstractNumId w:val="6"/>
  </w:num>
  <w:num w:numId="8">
    <w:abstractNumId w:val="68"/>
  </w:num>
  <w:num w:numId="9">
    <w:abstractNumId w:val="50"/>
  </w:num>
  <w:num w:numId="10">
    <w:abstractNumId w:val="46"/>
  </w:num>
  <w:num w:numId="11">
    <w:abstractNumId w:val="59"/>
  </w:num>
  <w:num w:numId="12">
    <w:abstractNumId w:val="80"/>
  </w:num>
  <w:num w:numId="13">
    <w:abstractNumId w:val="15"/>
  </w:num>
  <w:num w:numId="14">
    <w:abstractNumId w:val="52"/>
  </w:num>
  <w:num w:numId="15">
    <w:abstractNumId w:val="65"/>
  </w:num>
  <w:num w:numId="16">
    <w:abstractNumId w:val="56"/>
  </w:num>
  <w:num w:numId="17">
    <w:abstractNumId w:val="24"/>
  </w:num>
  <w:num w:numId="18">
    <w:abstractNumId w:val="33"/>
  </w:num>
  <w:num w:numId="19">
    <w:abstractNumId w:val="8"/>
  </w:num>
  <w:num w:numId="20">
    <w:abstractNumId w:val="4"/>
  </w:num>
  <w:num w:numId="21">
    <w:abstractNumId w:val="23"/>
  </w:num>
  <w:num w:numId="22">
    <w:abstractNumId w:val="10"/>
  </w:num>
  <w:num w:numId="23">
    <w:abstractNumId w:val="45"/>
  </w:num>
  <w:num w:numId="24">
    <w:abstractNumId w:val="67"/>
  </w:num>
  <w:num w:numId="25">
    <w:abstractNumId w:val="40"/>
  </w:num>
  <w:num w:numId="26">
    <w:abstractNumId w:val="70"/>
  </w:num>
  <w:num w:numId="27">
    <w:abstractNumId w:val="35"/>
  </w:num>
  <w:num w:numId="28">
    <w:abstractNumId w:val="60"/>
  </w:num>
  <w:num w:numId="29">
    <w:abstractNumId w:val="47"/>
  </w:num>
  <w:num w:numId="30">
    <w:abstractNumId w:val="61"/>
  </w:num>
  <w:num w:numId="31">
    <w:abstractNumId w:val="81"/>
  </w:num>
  <w:num w:numId="32">
    <w:abstractNumId w:val="71"/>
  </w:num>
  <w:num w:numId="33">
    <w:abstractNumId w:val="29"/>
  </w:num>
  <w:num w:numId="34">
    <w:abstractNumId w:val="18"/>
  </w:num>
  <w:num w:numId="35">
    <w:abstractNumId w:val="73"/>
  </w:num>
  <w:num w:numId="36">
    <w:abstractNumId w:val="53"/>
  </w:num>
  <w:num w:numId="37">
    <w:abstractNumId w:val="19"/>
  </w:num>
  <w:num w:numId="38">
    <w:abstractNumId w:val="74"/>
  </w:num>
  <w:num w:numId="39">
    <w:abstractNumId w:val="11"/>
  </w:num>
  <w:num w:numId="40">
    <w:abstractNumId w:val="41"/>
  </w:num>
  <w:num w:numId="41">
    <w:abstractNumId w:val="66"/>
  </w:num>
  <w:num w:numId="42">
    <w:abstractNumId w:val="9"/>
  </w:num>
  <w:num w:numId="43">
    <w:abstractNumId w:val="34"/>
  </w:num>
  <w:num w:numId="44">
    <w:abstractNumId w:val="0"/>
  </w:num>
  <w:num w:numId="45">
    <w:abstractNumId w:val="7"/>
  </w:num>
  <w:num w:numId="46">
    <w:abstractNumId w:val="2"/>
  </w:num>
  <w:num w:numId="47">
    <w:abstractNumId w:val="49"/>
  </w:num>
  <w:num w:numId="48">
    <w:abstractNumId w:val="36"/>
  </w:num>
  <w:num w:numId="49">
    <w:abstractNumId w:val="79"/>
  </w:num>
  <w:num w:numId="50">
    <w:abstractNumId w:val="21"/>
  </w:num>
  <w:num w:numId="51">
    <w:abstractNumId w:val="31"/>
  </w:num>
  <w:num w:numId="52">
    <w:abstractNumId w:val="37"/>
  </w:num>
  <w:num w:numId="53">
    <w:abstractNumId w:val="72"/>
  </w:num>
  <w:num w:numId="54">
    <w:abstractNumId w:val="5"/>
    <w:lvlOverride w:ilvl="0">
      <w:startOverride w:val="1"/>
    </w:lvlOverride>
    <w:lvlOverride w:ilvl="1"/>
    <w:lvlOverride w:ilvl="2"/>
    <w:lvlOverride w:ilvl="3"/>
    <w:lvlOverride w:ilvl="4"/>
    <w:lvlOverride w:ilvl="5"/>
    <w:lvlOverride w:ilvl="6"/>
    <w:lvlOverride w:ilvl="7"/>
    <w:lvlOverride w:ilvl="8"/>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13"/>
  </w:num>
  <w:num w:numId="58">
    <w:abstractNumId w:val="76"/>
  </w:num>
  <w:num w:numId="59">
    <w:abstractNumId w:val="3"/>
  </w:num>
  <w:num w:numId="60">
    <w:abstractNumId w:val="51"/>
  </w:num>
  <w:num w:numId="61">
    <w:abstractNumId w:val="42"/>
  </w:num>
  <w:num w:numId="62">
    <w:abstractNumId w:val="78"/>
  </w:num>
  <w:num w:numId="63">
    <w:abstractNumId w:val="44"/>
  </w:num>
  <w:num w:numId="64">
    <w:abstractNumId w:val="43"/>
  </w:num>
  <w:num w:numId="65">
    <w:abstractNumId w:val="26"/>
  </w:num>
  <w:num w:numId="66">
    <w:abstractNumId w:val="57"/>
  </w:num>
  <w:num w:numId="67">
    <w:abstractNumId w:val="62"/>
  </w:num>
  <w:num w:numId="68">
    <w:abstractNumId w:val="14"/>
  </w:num>
  <w:num w:numId="69">
    <w:abstractNumId w:val="58"/>
  </w:num>
  <w:num w:numId="70">
    <w:abstractNumId w:val="38"/>
  </w:num>
  <w:num w:numId="71">
    <w:abstractNumId w:val="48"/>
  </w:num>
  <w:num w:numId="72">
    <w:abstractNumId w:val="75"/>
    <w:lvlOverride w:ilvl="0">
      <w:startOverride w:val="3"/>
    </w:lvlOverride>
    <w:lvlOverride w:ilvl="1">
      <w:startOverride w:val="1"/>
    </w:lvlOverride>
    <w:lvlOverride w:ilvl="2"/>
    <w:lvlOverride w:ilvl="3"/>
    <w:lvlOverride w:ilvl="4"/>
    <w:lvlOverride w:ilvl="5"/>
    <w:lvlOverride w:ilvl="6"/>
    <w:lvlOverride w:ilvl="7"/>
    <w:lvlOverride w:ilvl="8"/>
  </w:num>
  <w:num w:numId="73">
    <w:abstractNumId w:val="30"/>
    <w:lvlOverride w:ilvl="0">
      <w:startOverride w:val="6"/>
    </w:lvlOverride>
    <w:lvlOverride w:ilvl="1">
      <w:startOverride w:val="11"/>
    </w:lvlOverride>
    <w:lvlOverride w:ilvl="2"/>
    <w:lvlOverride w:ilvl="3"/>
    <w:lvlOverride w:ilvl="4"/>
    <w:lvlOverride w:ilvl="5"/>
    <w:lvlOverride w:ilvl="6"/>
    <w:lvlOverride w:ilvl="7"/>
    <w:lvlOverride w:ilvl="8"/>
  </w:num>
  <w:num w:numId="74">
    <w:abstractNumId w:val="30"/>
    <w:lvlOverride w:ilvl="0">
      <w:startOverride w:val="6"/>
    </w:lvlOverride>
    <w:lvlOverride w:ilvl="1">
      <w:startOverride w:val="11"/>
    </w:lvlOverride>
    <w:lvlOverride w:ilvl="2"/>
    <w:lvlOverride w:ilvl="3"/>
    <w:lvlOverride w:ilvl="4"/>
    <w:lvlOverride w:ilvl="5"/>
    <w:lvlOverride w:ilvl="6"/>
    <w:lvlOverride w:ilvl="7"/>
    <w:lvlOverride w:ilvl="8"/>
  </w:num>
  <w:num w:numId="75">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76">
    <w:abstractNumId w:val="30"/>
    <w:lvlOverride w:ilvl="0">
      <w:startOverride w:val="6"/>
    </w:lvlOverride>
    <w:lvlOverride w:ilvl="1">
      <w:startOverride w:val="11"/>
    </w:lvlOverride>
    <w:lvlOverride w:ilvl="2"/>
    <w:lvlOverride w:ilvl="3"/>
    <w:lvlOverride w:ilvl="4"/>
    <w:lvlOverride w:ilvl="5"/>
    <w:lvlOverride w:ilvl="6"/>
    <w:lvlOverride w:ilvl="7"/>
    <w:lvlOverride w:ilvl="8"/>
  </w:num>
  <w:num w:numId="77">
    <w:abstractNumId w:val="1"/>
    <w:lvlOverride w:ilvl="0">
      <w:startOverride w:val="7"/>
    </w:lvlOverride>
    <w:lvlOverride w:ilvl="1">
      <w:startOverride w:val="1"/>
    </w:lvlOverride>
    <w:lvlOverride w:ilvl="2"/>
    <w:lvlOverride w:ilvl="3"/>
    <w:lvlOverride w:ilvl="4"/>
    <w:lvlOverride w:ilvl="5"/>
    <w:lvlOverride w:ilvl="6"/>
    <w:lvlOverride w:ilvl="7"/>
    <w:lvlOverride w:ilvl="8"/>
  </w:num>
  <w:num w:numId="78">
    <w:abstractNumId w:val="28"/>
    <w:lvlOverride w:ilvl="0">
      <w:startOverride w:val="1"/>
    </w:lvlOverride>
    <w:lvlOverride w:ilvl="1"/>
    <w:lvlOverride w:ilvl="2"/>
    <w:lvlOverride w:ilvl="3"/>
    <w:lvlOverride w:ilvl="4"/>
    <w:lvlOverride w:ilvl="5"/>
    <w:lvlOverride w:ilvl="6"/>
    <w:lvlOverride w:ilvl="7"/>
    <w:lvlOverride w:ilvl="8"/>
  </w:num>
  <w:num w:numId="79">
    <w:abstractNumId w:val="27"/>
  </w:num>
  <w:num w:numId="80">
    <w:abstractNumId w:val="39"/>
  </w:num>
  <w:num w:numId="81">
    <w:abstractNumId w:val="48"/>
    <w:lvlOverride w:ilvl="0">
      <w:startOverride w:val="1"/>
    </w:lvlOverride>
    <w:lvlOverride w:ilvl="1">
      <w:startOverride w:val="1"/>
    </w:lvlOverride>
    <w:lvlOverride w:ilvl="2"/>
    <w:lvlOverride w:ilvl="3"/>
    <w:lvlOverride w:ilvl="4"/>
    <w:lvlOverride w:ilvl="5"/>
    <w:lvlOverride w:ilvl="6"/>
    <w:lvlOverride w:ilvl="7"/>
    <w:lvlOverride w:ilvl="8"/>
  </w:num>
  <w:num w:numId="82">
    <w:abstractNumId w:val="32"/>
  </w:num>
  <w:num w:numId="83">
    <w:abstractNumId w:val="63"/>
  </w:num>
  <w:num w:numId="84">
    <w:abstractNumId w:val="20"/>
  </w:num>
  <w:num w:numId="85">
    <w:abstractNumId w:val="64"/>
  </w:num>
  <w:num w:numId="86">
    <w:abstractNumId w:val="54"/>
  </w:num>
  <w:num w:numId="87">
    <w:abstractNumId w:val="69"/>
  </w:num>
  <w:num w:numId="88">
    <w:abstractNumId w:val="1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9C4"/>
    <w:rsid w:val="000038DB"/>
    <w:rsid w:val="00003D95"/>
    <w:rsid w:val="00003E3C"/>
    <w:rsid w:val="00005010"/>
    <w:rsid w:val="0001398A"/>
    <w:rsid w:val="000170F3"/>
    <w:rsid w:val="00017493"/>
    <w:rsid w:val="00017A12"/>
    <w:rsid w:val="00017DFC"/>
    <w:rsid w:val="0002036C"/>
    <w:rsid w:val="00022EAD"/>
    <w:rsid w:val="00024CC8"/>
    <w:rsid w:val="000315E1"/>
    <w:rsid w:val="00031C6E"/>
    <w:rsid w:val="0003783B"/>
    <w:rsid w:val="000424A6"/>
    <w:rsid w:val="00044AD5"/>
    <w:rsid w:val="00047FC0"/>
    <w:rsid w:val="00052084"/>
    <w:rsid w:val="000530FC"/>
    <w:rsid w:val="00054A9F"/>
    <w:rsid w:val="00056084"/>
    <w:rsid w:val="000566A1"/>
    <w:rsid w:val="00056F73"/>
    <w:rsid w:val="000609D4"/>
    <w:rsid w:val="000651A1"/>
    <w:rsid w:val="0006526A"/>
    <w:rsid w:val="00066BC3"/>
    <w:rsid w:val="00073A32"/>
    <w:rsid w:val="00075342"/>
    <w:rsid w:val="00076196"/>
    <w:rsid w:val="0008105B"/>
    <w:rsid w:val="0008139D"/>
    <w:rsid w:val="00081B93"/>
    <w:rsid w:val="00090BFD"/>
    <w:rsid w:val="00094645"/>
    <w:rsid w:val="00094E62"/>
    <w:rsid w:val="000976F8"/>
    <w:rsid w:val="000A5BAE"/>
    <w:rsid w:val="000B3455"/>
    <w:rsid w:val="000B4BFB"/>
    <w:rsid w:val="000B50D5"/>
    <w:rsid w:val="000B5A83"/>
    <w:rsid w:val="000C11C3"/>
    <w:rsid w:val="000C21BB"/>
    <w:rsid w:val="000C25F1"/>
    <w:rsid w:val="000C480C"/>
    <w:rsid w:val="000C4C26"/>
    <w:rsid w:val="000C7608"/>
    <w:rsid w:val="000D09B3"/>
    <w:rsid w:val="000D413A"/>
    <w:rsid w:val="000D6F9D"/>
    <w:rsid w:val="000D7BBD"/>
    <w:rsid w:val="000E19D2"/>
    <w:rsid w:val="000F1CE9"/>
    <w:rsid w:val="000F29DC"/>
    <w:rsid w:val="000F58F7"/>
    <w:rsid w:val="000F6357"/>
    <w:rsid w:val="000F7957"/>
    <w:rsid w:val="00100AF6"/>
    <w:rsid w:val="0010191A"/>
    <w:rsid w:val="00104001"/>
    <w:rsid w:val="0010677E"/>
    <w:rsid w:val="00117FC7"/>
    <w:rsid w:val="001220E4"/>
    <w:rsid w:val="0013161B"/>
    <w:rsid w:val="00132A1F"/>
    <w:rsid w:val="00134F7B"/>
    <w:rsid w:val="00135507"/>
    <w:rsid w:val="0013555E"/>
    <w:rsid w:val="001356C2"/>
    <w:rsid w:val="00137797"/>
    <w:rsid w:val="0014242E"/>
    <w:rsid w:val="00146ED9"/>
    <w:rsid w:val="00150EF9"/>
    <w:rsid w:val="00151587"/>
    <w:rsid w:val="00151C6A"/>
    <w:rsid w:val="001551CC"/>
    <w:rsid w:val="00155D0A"/>
    <w:rsid w:val="001562BE"/>
    <w:rsid w:val="001566D1"/>
    <w:rsid w:val="001570D5"/>
    <w:rsid w:val="00160F3A"/>
    <w:rsid w:val="001617E7"/>
    <w:rsid w:val="001634FB"/>
    <w:rsid w:val="001656BC"/>
    <w:rsid w:val="00165B51"/>
    <w:rsid w:val="00167F5B"/>
    <w:rsid w:val="001702F3"/>
    <w:rsid w:val="00172CE7"/>
    <w:rsid w:val="00176536"/>
    <w:rsid w:val="001765FB"/>
    <w:rsid w:val="001808B6"/>
    <w:rsid w:val="00182765"/>
    <w:rsid w:val="00182B0E"/>
    <w:rsid w:val="00185E46"/>
    <w:rsid w:val="00190DF3"/>
    <w:rsid w:val="001A3C06"/>
    <w:rsid w:val="001A63C1"/>
    <w:rsid w:val="001B3403"/>
    <w:rsid w:val="001B5CE4"/>
    <w:rsid w:val="001D67CE"/>
    <w:rsid w:val="001D6F93"/>
    <w:rsid w:val="001E0F11"/>
    <w:rsid w:val="001E492C"/>
    <w:rsid w:val="001E764F"/>
    <w:rsid w:val="001E7C12"/>
    <w:rsid w:val="001F179F"/>
    <w:rsid w:val="001F20FA"/>
    <w:rsid w:val="001F25A7"/>
    <w:rsid w:val="001F4332"/>
    <w:rsid w:val="001F7C81"/>
    <w:rsid w:val="002004AB"/>
    <w:rsid w:val="00200BBC"/>
    <w:rsid w:val="0020298E"/>
    <w:rsid w:val="00205167"/>
    <w:rsid w:val="0020565B"/>
    <w:rsid w:val="002137EA"/>
    <w:rsid w:val="002159B4"/>
    <w:rsid w:val="0021608D"/>
    <w:rsid w:val="00220639"/>
    <w:rsid w:val="00220B6E"/>
    <w:rsid w:val="0022133C"/>
    <w:rsid w:val="00225203"/>
    <w:rsid w:val="0022579A"/>
    <w:rsid w:val="00226115"/>
    <w:rsid w:val="00227A56"/>
    <w:rsid w:val="002315A3"/>
    <w:rsid w:val="002316D1"/>
    <w:rsid w:val="00231B8A"/>
    <w:rsid w:val="002346B3"/>
    <w:rsid w:val="00235236"/>
    <w:rsid w:val="002368D1"/>
    <w:rsid w:val="002419BB"/>
    <w:rsid w:val="0024300F"/>
    <w:rsid w:val="002433A2"/>
    <w:rsid w:val="002446DE"/>
    <w:rsid w:val="00246A65"/>
    <w:rsid w:val="00250221"/>
    <w:rsid w:val="00256790"/>
    <w:rsid w:val="00257414"/>
    <w:rsid w:val="0026320F"/>
    <w:rsid w:val="00264A5E"/>
    <w:rsid w:val="0026544D"/>
    <w:rsid w:val="00266C8C"/>
    <w:rsid w:val="00270AAE"/>
    <w:rsid w:val="002759ED"/>
    <w:rsid w:val="00277F40"/>
    <w:rsid w:val="00280925"/>
    <w:rsid w:val="0028264E"/>
    <w:rsid w:val="00283370"/>
    <w:rsid w:val="00285AD7"/>
    <w:rsid w:val="00290FEC"/>
    <w:rsid w:val="00293E85"/>
    <w:rsid w:val="002959D2"/>
    <w:rsid w:val="002A1D87"/>
    <w:rsid w:val="002A393B"/>
    <w:rsid w:val="002B32BA"/>
    <w:rsid w:val="002B47E9"/>
    <w:rsid w:val="002C00E1"/>
    <w:rsid w:val="002C1D6B"/>
    <w:rsid w:val="002C2DF1"/>
    <w:rsid w:val="002C7CBA"/>
    <w:rsid w:val="002D0E72"/>
    <w:rsid w:val="002D180E"/>
    <w:rsid w:val="002D2254"/>
    <w:rsid w:val="002D23D0"/>
    <w:rsid w:val="002D38E7"/>
    <w:rsid w:val="002E7C9F"/>
    <w:rsid w:val="002F2717"/>
    <w:rsid w:val="002F37EF"/>
    <w:rsid w:val="002F4E11"/>
    <w:rsid w:val="002F73E5"/>
    <w:rsid w:val="00303860"/>
    <w:rsid w:val="0030439D"/>
    <w:rsid w:val="003051EA"/>
    <w:rsid w:val="00307057"/>
    <w:rsid w:val="00307DEE"/>
    <w:rsid w:val="00310D85"/>
    <w:rsid w:val="00316394"/>
    <w:rsid w:val="00317672"/>
    <w:rsid w:val="00323369"/>
    <w:rsid w:val="00324440"/>
    <w:rsid w:val="003274CD"/>
    <w:rsid w:val="0032780E"/>
    <w:rsid w:val="00327CFB"/>
    <w:rsid w:val="00332A11"/>
    <w:rsid w:val="00336531"/>
    <w:rsid w:val="00340879"/>
    <w:rsid w:val="003437B3"/>
    <w:rsid w:val="00345480"/>
    <w:rsid w:val="003463CC"/>
    <w:rsid w:val="003506EA"/>
    <w:rsid w:val="00350E1B"/>
    <w:rsid w:val="00354C2E"/>
    <w:rsid w:val="003620BF"/>
    <w:rsid w:val="00367CB0"/>
    <w:rsid w:val="00375F31"/>
    <w:rsid w:val="00377A81"/>
    <w:rsid w:val="00377DB9"/>
    <w:rsid w:val="0038149B"/>
    <w:rsid w:val="00383B07"/>
    <w:rsid w:val="0038484F"/>
    <w:rsid w:val="00385FC9"/>
    <w:rsid w:val="003862C1"/>
    <w:rsid w:val="00386E2C"/>
    <w:rsid w:val="00391DD7"/>
    <w:rsid w:val="003926DE"/>
    <w:rsid w:val="0039403C"/>
    <w:rsid w:val="003A0452"/>
    <w:rsid w:val="003A7B11"/>
    <w:rsid w:val="003B236D"/>
    <w:rsid w:val="003B298B"/>
    <w:rsid w:val="003B74D1"/>
    <w:rsid w:val="003B7CE2"/>
    <w:rsid w:val="003D1234"/>
    <w:rsid w:val="003D3319"/>
    <w:rsid w:val="003E05F0"/>
    <w:rsid w:val="003E212A"/>
    <w:rsid w:val="003E50AD"/>
    <w:rsid w:val="003F0FF4"/>
    <w:rsid w:val="003F1818"/>
    <w:rsid w:val="003F266C"/>
    <w:rsid w:val="003F7D97"/>
    <w:rsid w:val="00401F7B"/>
    <w:rsid w:val="00403715"/>
    <w:rsid w:val="00404036"/>
    <w:rsid w:val="00410664"/>
    <w:rsid w:val="00410FAD"/>
    <w:rsid w:val="00411925"/>
    <w:rsid w:val="00420FFD"/>
    <w:rsid w:val="00421C41"/>
    <w:rsid w:val="004233D2"/>
    <w:rsid w:val="004258F4"/>
    <w:rsid w:val="00430A3E"/>
    <w:rsid w:val="00434177"/>
    <w:rsid w:val="00441A9B"/>
    <w:rsid w:val="004445D1"/>
    <w:rsid w:val="00447901"/>
    <w:rsid w:val="004507E6"/>
    <w:rsid w:val="00452228"/>
    <w:rsid w:val="004539BB"/>
    <w:rsid w:val="00455DE0"/>
    <w:rsid w:val="004565E3"/>
    <w:rsid w:val="004568CC"/>
    <w:rsid w:val="00456E54"/>
    <w:rsid w:val="00460B87"/>
    <w:rsid w:val="00461E14"/>
    <w:rsid w:val="004631A4"/>
    <w:rsid w:val="00464672"/>
    <w:rsid w:val="004662FE"/>
    <w:rsid w:val="00475C0F"/>
    <w:rsid w:val="004850D0"/>
    <w:rsid w:val="00485211"/>
    <w:rsid w:val="00485E87"/>
    <w:rsid w:val="0048609C"/>
    <w:rsid w:val="004928BC"/>
    <w:rsid w:val="00497441"/>
    <w:rsid w:val="004A1C40"/>
    <w:rsid w:val="004A4461"/>
    <w:rsid w:val="004A587D"/>
    <w:rsid w:val="004A7BEE"/>
    <w:rsid w:val="004B3247"/>
    <w:rsid w:val="004B6547"/>
    <w:rsid w:val="004B7231"/>
    <w:rsid w:val="004B7E92"/>
    <w:rsid w:val="004C06AB"/>
    <w:rsid w:val="004C3B19"/>
    <w:rsid w:val="004C5ADC"/>
    <w:rsid w:val="004D5D5D"/>
    <w:rsid w:val="004D64C9"/>
    <w:rsid w:val="004D6E02"/>
    <w:rsid w:val="004E03A4"/>
    <w:rsid w:val="004E127B"/>
    <w:rsid w:val="004E31D7"/>
    <w:rsid w:val="004E4C91"/>
    <w:rsid w:val="004E4CD6"/>
    <w:rsid w:val="004F13B0"/>
    <w:rsid w:val="004F1B46"/>
    <w:rsid w:val="004F1C80"/>
    <w:rsid w:val="004F4534"/>
    <w:rsid w:val="005012CC"/>
    <w:rsid w:val="00502326"/>
    <w:rsid w:val="00502F6E"/>
    <w:rsid w:val="00505D48"/>
    <w:rsid w:val="00505DF1"/>
    <w:rsid w:val="005064E9"/>
    <w:rsid w:val="00511C06"/>
    <w:rsid w:val="00513CCD"/>
    <w:rsid w:val="0051499C"/>
    <w:rsid w:val="0051734F"/>
    <w:rsid w:val="005176E6"/>
    <w:rsid w:val="005178E2"/>
    <w:rsid w:val="00522C48"/>
    <w:rsid w:val="00530917"/>
    <w:rsid w:val="00532F28"/>
    <w:rsid w:val="0053330D"/>
    <w:rsid w:val="00535A38"/>
    <w:rsid w:val="00536987"/>
    <w:rsid w:val="0053773B"/>
    <w:rsid w:val="0055024F"/>
    <w:rsid w:val="005517CB"/>
    <w:rsid w:val="005554F9"/>
    <w:rsid w:val="00556027"/>
    <w:rsid w:val="005600F6"/>
    <w:rsid w:val="005629D8"/>
    <w:rsid w:val="00570E58"/>
    <w:rsid w:val="00575802"/>
    <w:rsid w:val="00581834"/>
    <w:rsid w:val="00581EB4"/>
    <w:rsid w:val="00581FFB"/>
    <w:rsid w:val="005826C8"/>
    <w:rsid w:val="005832B8"/>
    <w:rsid w:val="00585347"/>
    <w:rsid w:val="00585632"/>
    <w:rsid w:val="0058684A"/>
    <w:rsid w:val="005873BD"/>
    <w:rsid w:val="00591D45"/>
    <w:rsid w:val="00595D46"/>
    <w:rsid w:val="005A1327"/>
    <w:rsid w:val="005A6B29"/>
    <w:rsid w:val="005A767F"/>
    <w:rsid w:val="005B0EFC"/>
    <w:rsid w:val="005B2223"/>
    <w:rsid w:val="005B2A60"/>
    <w:rsid w:val="005C4632"/>
    <w:rsid w:val="005C46AA"/>
    <w:rsid w:val="005C7251"/>
    <w:rsid w:val="005C7AA9"/>
    <w:rsid w:val="005D1ED7"/>
    <w:rsid w:val="005D5785"/>
    <w:rsid w:val="005D7E92"/>
    <w:rsid w:val="005E1637"/>
    <w:rsid w:val="005E51AF"/>
    <w:rsid w:val="005E6869"/>
    <w:rsid w:val="005E692E"/>
    <w:rsid w:val="005F182A"/>
    <w:rsid w:val="005F1F5D"/>
    <w:rsid w:val="005F7A16"/>
    <w:rsid w:val="006002DC"/>
    <w:rsid w:val="00604524"/>
    <w:rsid w:val="0060505C"/>
    <w:rsid w:val="00606D48"/>
    <w:rsid w:val="006110AD"/>
    <w:rsid w:val="00611B55"/>
    <w:rsid w:val="00614648"/>
    <w:rsid w:val="00616822"/>
    <w:rsid w:val="00620117"/>
    <w:rsid w:val="00621CCF"/>
    <w:rsid w:val="00627521"/>
    <w:rsid w:val="006306A8"/>
    <w:rsid w:val="006343FF"/>
    <w:rsid w:val="0063575A"/>
    <w:rsid w:val="00640174"/>
    <w:rsid w:val="006419E7"/>
    <w:rsid w:val="00641AD3"/>
    <w:rsid w:val="0064466F"/>
    <w:rsid w:val="00646BFB"/>
    <w:rsid w:val="00647B4B"/>
    <w:rsid w:val="00647ECC"/>
    <w:rsid w:val="00650EFB"/>
    <w:rsid w:val="006510E9"/>
    <w:rsid w:val="00653B50"/>
    <w:rsid w:val="00653C08"/>
    <w:rsid w:val="00653ECD"/>
    <w:rsid w:val="0065543F"/>
    <w:rsid w:val="00655F95"/>
    <w:rsid w:val="00656CC7"/>
    <w:rsid w:val="00657AF0"/>
    <w:rsid w:val="00657E0B"/>
    <w:rsid w:val="00657FF0"/>
    <w:rsid w:val="006629F9"/>
    <w:rsid w:val="00663C56"/>
    <w:rsid w:val="00665DAE"/>
    <w:rsid w:val="006664C3"/>
    <w:rsid w:val="00666899"/>
    <w:rsid w:val="00672E29"/>
    <w:rsid w:val="00677294"/>
    <w:rsid w:val="006802A5"/>
    <w:rsid w:val="00681B2B"/>
    <w:rsid w:val="00691361"/>
    <w:rsid w:val="0069164C"/>
    <w:rsid w:val="006A119C"/>
    <w:rsid w:val="006A19B7"/>
    <w:rsid w:val="006A2B5B"/>
    <w:rsid w:val="006B1891"/>
    <w:rsid w:val="006B2104"/>
    <w:rsid w:val="006B3FF4"/>
    <w:rsid w:val="006C143C"/>
    <w:rsid w:val="006C6BF1"/>
    <w:rsid w:val="006C6D4C"/>
    <w:rsid w:val="006D09B4"/>
    <w:rsid w:val="006D1DFD"/>
    <w:rsid w:val="006E6454"/>
    <w:rsid w:val="006E7C85"/>
    <w:rsid w:val="006F13DB"/>
    <w:rsid w:val="006F214C"/>
    <w:rsid w:val="006F2DF2"/>
    <w:rsid w:val="006F3415"/>
    <w:rsid w:val="006F6F82"/>
    <w:rsid w:val="007057F0"/>
    <w:rsid w:val="00706196"/>
    <w:rsid w:val="00707B3B"/>
    <w:rsid w:val="00715DD1"/>
    <w:rsid w:val="00716030"/>
    <w:rsid w:val="00721DCD"/>
    <w:rsid w:val="00724DB7"/>
    <w:rsid w:val="007338B2"/>
    <w:rsid w:val="007342E5"/>
    <w:rsid w:val="007353C0"/>
    <w:rsid w:val="00735538"/>
    <w:rsid w:val="00737F5D"/>
    <w:rsid w:val="0075286B"/>
    <w:rsid w:val="0075545E"/>
    <w:rsid w:val="00760A33"/>
    <w:rsid w:val="0076119A"/>
    <w:rsid w:val="007653FC"/>
    <w:rsid w:val="00765C2D"/>
    <w:rsid w:val="00766C6A"/>
    <w:rsid w:val="00767F79"/>
    <w:rsid w:val="00783908"/>
    <w:rsid w:val="0078645B"/>
    <w:rsid w:val="007928C6"/>
    <w:rsid w:val="00792E19"/>
    <w:rsid w:val="00793D3E"/>
    <w:rsid w:val="00794578"/>
    <w:rsid w:val="00794B34"/>
    <w:rsid w:val="007A16C2"/>
    <w:rsid w:val="007A1709"/>
    <w:rsid w:val="007A2C3D"/>
    <w:rsid w:val="007A749E"/>
    <w:rsid w:val="007B4107"/>
    <w:rsid w:val="007B41D0"/>
    <w:rsid w:val="007B6136"/>
    <w:rsid w:val="007C08BD"/>
    <w:rsid w:val="007C217E"/>
    <w:rsid w:val="007D452D"/>
    <w:rsid w:val="007D4D46"/>
    <w:rsid w:val="007E0C30"/>
    <w:rsid w:val="007F7583"/>
    <w:rsid w:val="00802055"/>
    <w:rsid w:val="008046EB"/>
    <w:rsid w:val="0080724D"/>
    <w:rsid w:val="0081390D"/>
    <w:rsid w:val="00816B4C"/>
    <w:rsid w:val="008173CF"/>
    <w:rsid w:val="0082080E"/>
    <w:rsid w:val="00822693"/>
    <w:rsid w:val="00823753"/>
    <w:rsid w:val="0082627C"/>
    <w:rsid w:val="008316DB"/>
    <w:rsid w:val="0083211C"/>
    <w:rsid w:val="00835A80"/>
    <w:rsid w:val="00837AE6"/>
    <w:rsid w:val="00840A0F"/>
    <w:rsid w:val="00841030"/>
    <w:rsid w:val="00841343"/>
    <w:rsid w:val="008433D3"/>
    <w:rsid w:val="00847C0D"/>
    <w:rsid w:val="00850096"/>
    <w:rsid w:val="00852343"/>
    <w:rsid w:val="0085307C"/>
    <w:rsid w:val="00854BAA"/>
    <w:rsid w:val="00865727"/>
    <w:rsid w:val="00865AF3"/>
    <w:rsid w:val="00866681"/>
    <w:rsid w:val="00875C21"/>
    <w:rsid w:val="0087691C"/>
    <w:rsid w:val="008814EF"/>
    <w:rsid w:val="00882219"/>
    <w:rsid w:val="00885711"/>
    <w:rsid w:val="00890E5D"/>
    <w:rsid w:val="0089334F"/>
    <w:rsid w:val="008935FC"/>
    <w:rsid w:val="0089782A"/>
    <w:rsid w:val="008A1A0C"/>
    <w:rsid w:val="008A1ED9"/>
    <w:rsid w:val="008A3586"/>
    <w:rsid w:val="008A4807"/>
    <w:rsid w:val="008B02FE"/>
    <w:rsid w:val="008B25A1"/>
    <w:rsid w:val="008B3EB4"/>
    <w:rsid w:val="008B667D"/>
    <w:rsid w:val="008B6A2C"/>
    <w:rsid w:val="008C09C4"/>
    <w:rsid w:val="008C1239"/>
    <w:rsid w:val="008C244A"/>
    <w:rsid w:val="008C66E0"/>
    <w:rsid w:val="008C6CCB"/>
    <w:rsid w:val="008C7470"/>
    <w:rsid w:val="008D3B01"/>
    <w:rsid w:val="008E10BC"/>
    <w:rsid w:val="008E1230"/>
    <w:rsid w:val="008E147D"/>
    <w:rsid w:val="008E5B11"/>
    <w:rsid w:val="008E6294"/>
    <w:rsid w:val="008F167D"/>
    <w:rsid w:val="008F4190"/>
    <w:rsid w:val="008F44B0"/>
    <w:rsid w:val="008F6471"/>
    <w:rsid w:val="00900C5B"/>
    <w:rsid w:val="00902134"/>
    <w:rsid w:val="00907DA4"/>
    <w:rsid w:val="009148E3"/>
    <w:rsid w:val="00914F53"/>
    <w:rsid w:val="0092760B"/>
    <w:rsid w:val="00930FD3"/>
    <w:rsid w:val="009333AA"/>
    <w:rsid w:val="00935095"/>
    <w:rsid w:val="00935ABA"/>
    <w:rsid w:val="009360FC"/>
    <w:rsid w:val="00937562"/>
    <w:rsid w:val="00941C9F"/>
    <w:rsid w:val="00951EE2"/>
    <w:rsid w:val="00954D73"/>
    <w:rsid w:val="0095571C"/>
    <w:rsid w:val="00961714"/>
    <w:rsid w:val="0096175D"/>
    <w:rsid w:val="0096359A"/>
    <w:rsid w:val="00963F94"/>
    <w:rsid w:val="009640CF"/>
    <w:rsid w:val="0096422B"/>
    <w:rsid w:val="009650D8"/>
    <w:rsid w:val="00967C98"/>
    <w:rsid w:val="009748FB"/>
    <w:rsid w:val="00976AA8"/>
    <w:rsid w:val="009773EC"/>
    <w:rsid w:val="00981E7A"/>
    <w:rsid w:val="009868A3"/>
    <w:rsid w:val="00990F55"/>
    <w:rsid w:val="009A1884"/>
    <w:rsid w:val="009A2890"/>
    <w:rsid w:val="009A31C9"/>
    <w:rsid w:val="009A34A1"/>
    <w:rsid w:val="009A542B"/>
    <w:rsid w:val="009A6D63"/>
    <w:rsid w:val="009A73F6"/>
    <w:rsid w:val="009A777C"/>
    <w:rsid w:val="009B1464"/>
    <w:rsid w:val="009B2815"/>
    <w:rsid w:val="009C20B2"/>
    <w:rsid w:val="009C4D62"/>
    <w:rsid w:val="009C6FD9"/>
    <w:rsid w:val="009D0B82"/>
    <w:rsid w:val="009D4162"/>
    <w:rsid w:val="009D4954"/>
    <w:rsid w:val="009D5078"/>
    <w:rsid w:val="009D5B70"/>
    <w:rsid w:val="009E0558"/>
    <w:rsid w:val="009E0DF7"/>
    <w:rsid w:val="009E1C08"/>
    <w:rsid w:val="009E202F"/>
    <w:rsid w:val="009E2D8C"/>
    <w:rsid w:val="009E40F3"/>
    <w:rsid w:val="009E6983"/>
    <w:rsid w:val="009F040C"/>
    <w:rsid w:val="009F3047"/>
    <w:rsid w:val="00A040CA"/>
    <w:rsid w:val="00A062AB"/>
    <w:rsid w:val="00A07D8A"/>
    <w:rsid w:val="00A11CE2"/>
    <w:rsid w:val="00A12500"/>
    <w:rsid w:val="00A16E07"/>
    <w:rsid w:val="00A17B07"/>
    <w:rsid w:val="00A20E8C"/>
    <w:rsid w:val="00A216CE"/>
    <w:rsid w:val="00A30A90"/>
    <w:rsid w:val="00A30C0B"/>
    <w:rsid w:val="00A40527"/>
    <w:rsid w:val="00A45D63"/>
    <w:rsid w:val="00A47406"/>
    <w:rsid w:val="00A53A1E"/>
    <w:rsid w:val="00A550FC"/>
    <w:rsid w:val="00A56038"/>
    <w:rsid w:val="00A63AEE"/>
    <w:rsid w:val="00A7018C"/>
    <w:rsid w:val="00A70B89"/>
    <w:rsid w:val="00A70E2F"/>
    <w:rsid w:val="00A72FEC"/>
    <w:rsid w:val="00A74FEA"/>
    <w:rsid w:val="00A754BD"/>
    <w:rsid w:val="00A75D15"/>
    <w:rsid w:val="00A76E5B"/>
    <w:rsid w:val="00A7756A"/>
    <w:rsid w:val="00A802B3"/>
    <w:rsid w:val="00A802DE"/>
    <w:rsid w:val="00A81716"/>
    <w:rsid w:val="00A81DB3"/>
    <w:rsid w:val="00A84EF0"/>
    <w:rsid w:val="00A86E97"/>
    <w:rsid w:val="00A90E38"/>
    <w:rsid w:val="00A955CF"/>
    <w:rsid w:val="00AA1090"/>
    <w:rsid w:val="00AA1241"/>
    <w:rsid w:val="00AA3D34"/>
    <w:rsid w:val="00AA432A"/>
    <w:rsid w:val="00AA607D"/>
    <w:rsid w:val="00AA6E2C"/>
    <w:rsid w:val="00AB07FC"/>
    <w:rsid w:val="00AB4420"/>
    <w:rsid w:val="00AB519E"/>
    <w:rsid w:val="00AB76CD"/>
    <w:rsid w:val="00AB7E2E"/>
    <w:rsid w:val="00AC517A"/>
    <w:rsid w:val="00AC548D"/>
    <w:rsid w:val="00AC630B"/>
    <w:rsid w:val="00AC6DEA"/>
    <w:rsid w:val="00AD02FB"/>
    <w:rsid w:val="00AD29BF"/>
    <w:rsid w:val="00AD3585"/>
    <w:rsid w:val="00AE075F"/>
    <w:rsid w:val="00AE1098"/>
    <w:rsid w:val="00AE1446"/>
    <w:rsid w:val="00AE6DE0"/>
    <w:rsid w:val="00B063EF"/>
    <w:rsid w:val="00B10666"/>
    <w:rsid w:val="00B12A97"/>
    <w:rsid w:val="00B13C3D"/>
    <w:rsid w:val="00B157E1"/>
    <w:rsid w:val="00B16A05"/>
    <w:rsid w:val="00B17BED"/>
    <w:rsid w:val="00B225A1"/>
    <w:rsid w:val="00B25ACB"/>
    <w:rsid w:val="00B25ECF"/>
    <w:rsid w:val="00B25FE0"/>
    <w:rsid w:val="00B268A7"/>
    <w:rsid w:val="00B30A93"/>
    <w:rsid w:val="00B35686"/>
    <w:rsid w:val="00B364DA"/>
    <w:rsid w:val="00B36ACB"/>
    <w:rsid w:val="00B42540"/>
    <w:rsid w:val="00B51EB2"/>
    <w:rsid w:val="00B51EBA"/>
    <w:rsid w:val="00B5261C"/>
    <w:rsid w:val="00B5585B"/>
    <w:rsid w:val="00B5628D"/>
    <w:rsid w:val="00B62606"/>
    <w:rsid w:val="00B6431E"/>
    <w:rsid w:val="00B67AB9"/>
    <w:rsid w:val="00B701AE"/>
    <w:rsid w:val="00B70285"/>
    <w:rsid w:val="00B702CE"/>
    <w:rsid w:val="00B721A7"/>
    <w:rsid w:val="00B73739"/>
    <w:rsid w:val="00B77B07"/>
    <w:rsid w:val="00B818DE"/>
    <w:rsid w:val="00B86E00"/>
    <w:rsid w:val="00B870EE"/>
    <w:rsid w:val="00B90CA5"/>
    <w:rsid w:val="00B92BA3"/>
    <w:rsid w:val="00BA21D7"/>
    <w:rsid w:val="00BA2773"/>
    <w:rsid w:val="00BA28A5"/>
    <w:rsid w:val="00BA452B"/>
    <w:rsid w:val="00BA5F87"/>
    <w:rsid w:val="00BA79F7"/>
    <w:rsid w:val="00BB1683"/>
    <w:rsid w:val="00BB6613"/>
    <w:rsid w:val="00BB66A5"/>
    <w:rsid w:val="00BB7C71"/>
    <w:rsid w:val="00BC0DCF"/>
    <w:rsid w:val="00BC52F5"/>
    <w:rsid w:val="00BC66D9"/>
    <w:rsid w:val="00BD2CE3"/>
    <w:rsid w:val="00BE0FA0"/>
    <w:rsid w:val="00BE7831"/>
    <w:rsid w:val="00BF0569"/>
    <w:rsid w:val="00BF1C45"/>
    <w:rsid w:val="00BF23CB"/>
    <w:rsid w:val="00BF3612"/>
    <w:rsid w:val="00BF497A"/>
    <w:rsid w:val="00BF50E6"/>
    <w:rsid w:val="00BF6CED"/>
    <w:rsid w:val="00BF7426"/>
    <w:rsid w:val="00C02B28"/>
    <w:rsid w:val="00C045CB"/>
    <w:rsid w:val="00C1171C"/>
    <w:rsid w:val="00C13B5F"/>
    <w:rsid w:val="00C17834"/>
    <w:rsid w:val="00C17AB3"/>
    <w:rsid w:val="00C20A51"/>
    <w:rsid w:val="00C2324D"/>
    <w:rsid w:val="00C2380B"/>
    <w:rsid w:val="00C300F2"/>
    <w:rsid w:val="00C319ED"/>
    <w:rsid w:val="00C31DCB"/>
    <w:rsid w:val="00C321C9"/>
    <w:rsid w:val="00C324BA"/>
    <w:rsid w:val="00C32EAB"/>
    <w:rsid w:val="00C409F2"/>
    <w:rsid w:val="00C40CD3"/>
    <w:rsid w:val="00C43E51"/>
    <w:rsid w:val="00C50E36"/>
    <w:rsid w:val="00C52E7B"/>
    <w:rsid w:val="00C5671C"/>
    <w:rsid w:val="00C67F37"/>
    <w:rsid w:val="00C801A0"/>
    <w:rsid w:val="00C838B9"/>
    <w:rsid w:val="00C840A9"/>
    <w:rsid w:val="00C854D1"/>
    <w:rsid w:val="00C90ED7"/>
    <w:rsid w:val="00C92977"/>
    <w:rsid w:val="00C940BC"/>
    <w:rsid w:val="00C94939"/>
    <w:rsid w:val="00C94CFC"/>
    <w:rsid w:val="00C95803"/>
    <w:rsid w:val="00CA3078"/>
    <w:rsid w:val="00CA30A7"/>
    <w:rsid w:val="00CA3E20"/>
    <w:rsid w:val="00CA6903"/>
    <w:rsid w:val="00CA6F89"/>
    <w:rsid w:val="00CB5CFF"/>
    <w:rsid w:val="00CC1E28"/>
    <w:rsid w:val="00CC269B"/>
    <w:rsid w:val="00CC29F3"/>
    <w:rsid w:val="00CC49D9"/>
    <w:rsid w:val="00CC5C59"/>
    <w:rsid w:val="00CC6F62"/>
    <w:rsid w:val="00CD0217"/>
    <w:rsid w:val="00CD235D"/>
    <w:rsid w:val="00CD5591"/>
    <w:rsid w:val="00CE10CC"/>
    <w:rsid w:val="00CF105C"/>
    <w:rsid w:val="00CF1C17"/>
    <w:rsid w:val="00CF1CAD"/>
    <w:rsid w:val="00CF2AB8"/>
    <w:rsid w:val="00CF3F96"/>
    <w:rsid w:val="00CF4C37"/>
    <w:rsid w:val="00CF55CF"/>
    <w:rsid w:val="00CF7E9D"/>
    <w:rsid w:val="00D008AB"/>
    <w:rsid w:val="00D01696"/>
    <w:rsid w:val="00D05CD2"/>
    <w:rsid w:val="00D06002"/>
    <w:rsid w:val="00D11638"/>
    <w:rsid w:val="00D14917"/>
    <w:rsid w:val="00D14F13"/>
    <w:rsid w:val="00D17CA8"/>
    <w:rsid w:val="00D21238"/>
    <w:rsid w:val="00D265BD"/>
    <w:rsid w:val="00D30F49"/>
    <w:rsid w:val="00D32294"/>
    <w:rsid w:val="00D35322"/>
    <w:rsid w:val="00D35B18"/>
    <w:rsid w:val="00D36525"/>
    <w:rsid w:val="00D37CEE"/>
    <w:rsid w:val="00D42D9F"/>
    <w:rsid w:val="00D44A7C"/>
    <w:rsid w:val="00D45411"/>
    <w:rsid w:val="00D50C1C"/>
    <w:rsid w:val="00D53BDA"/>
    <w:rsid w:val="00D60859"/>
    <w:rsid w:val="00D619E8"/>
    <w:rsid w:val="00D62FD8"/>
    <w:rsid w:val="00D64128"/>
    <w:rsid w:val="00D66856"/>
    <w:rsid w:val="00D67780"/>
    <w:rsid w:val="00D679B7"/>
    <w:rsid w:val="00D725BD"/>
    <w:rsid w:val="00D7408D"/>
    <w:rsid w:val="00D76186"/>
    <w:rsid w:val="00D76968"/>
    <w:rsid w:val="00D779A5"/>
    <w:rsid w:val="00D83C03"/>
    <w:rsid w:val="00D84899"/>
    <w:rsid w:val="00D84C0C"/>
    <w:rsid w:val="00D8571F"/>
    <w:rsid w:val="00D858B9"/>
    <w:rsid w:val="00D91064"/>
    <w:rsid w:val="00D9357D"/>
    <w:rsid w:val="00DA3393"/>
    <w:rsid w:val="00DB023D"/>
    <w:rsid w:val="00DB16DE"/>
    <w:rsid w:val="00DB1876"/>
    <w:rsid w:val="00DB45DF"/>
    <w:rsid w:val="00DB49FE"/>
    <w:rsid w:val="00DC1D26"/>
    <w:rsid w:val="00DD0AD4"/>
    <w:rsid w:val="00DD170A"/>
    <w:rsid w:val="00DD31C9"/>
    <w:rsid w:val="00DD35F5"/>
    <w:rsid w:val="00DD6665"/>
    <w:rsid w:val="00DE1B1C"/>
    <w:rsid w:val="00DE503F"/>
    <w:rsid w:val="00DE62BC"/>
    <w:rsid w:val="00DE7CFF"/>
    <w:rsid w:val="00DF4BA7"/>
    <w:rsid w:val="00DF5B4E"/>
    <w:rsid w:val="00DF75FB"/>
    <w:rsid w:val="00E01EC1"/>
    <w:rsid w:val="00E06FC3"/>
    <w:rsid w:val="00E11D71"/>
    <w:rsid w:val="00E12DE7"/>
    <w:rsid w:val="00E13EBF"/>
    <w:rsid w:val="00E140C0"/>
    <w:rsid w:val="00E15446"/>
    <w:rsid w:val="00E252B5"/>
    <w:rsid w:val="00E27841"/>
    <w:rsid w:val="00E31383"/>
    <w:rsid w:val="00E3420C"/>
    <w:rsid w:val="00E37D06"/>
    <w:rsid w:val="00E40778"/>
    <w:rsid w:val="00E40A29"/>
    <w:rsid w:val="00E4342D"/>
    <w:rsid w:val="00E45C87"/>
    <w:rsid w:val="00E473C1"/>
    <w:rsid w:val="00E5192C"/>
    <w:rsid w:val="00E52315"/>
    <w:rsid w:val="00E5336E"/>
    <w:rsid w:val="00E54213"/>
    <w:rsid w:val="00E555EE"/>
    <w:rsid w:val="00E60B36"/>
    <w:rsid w:val="00E63C80"/>
    <w:rsid w:val="00E65759"/>
    <w:rsid w:val="00E65A4D"/>
    <w:rsid w:val="00E73226"/>
    <w:rsid w:val="00E737ED"/>
    <w:rsid w:val="00E743D2"/>
    <w:rsid w:val="00E7625C"/>
    <w:rsid w:val="00E767F9"/>
    <w:rsid w:val="00E773BE"/>
    <w:rsid w:val="00E77E48"/>
    <w:rsid w:val="00E77E50"/>
    <w:rsid w:val="00E8675A"/>
    <w:rsid w:val="00E87249"/>
    <w:rsid w:val="00E8779D"/>
    <w:rsid w:val="00E87A9B"/>
    <w:rsid w:val="00E93296"/>
    <w:rsid w:val="00E97D24"/>
    <w:rsid w:val="00E97F04"/>
    <w:rsid w:val="00EA1C8A"/>
    <w:rsid w:val="00EA477D"/>
    <w:rsid w:val="00EA73B7"/>
    <w:rsid w:val="00EB3E73"/>
    <w:rsid w:val="00EC181A"/>
    <w:rsid w:val="00EC2949"/>
    <w:rsid w:val="00EC4C11"/>
    <w:rsid w:val="00ED48A4"/>
    <w:rsid w:val="00ED538F"/>
    <w:rsid w:val="00EE077E"/>
    <w:rsid w:val="00EE2397"/>
    <w:rsid w:val="00EE4399"/>
    <w:rsid w:val="00EE481F"/>
    <w:rsid w:val="00EE4BA3"/>
    <w:rsid w:val="00EE62E6"/>
    <w:rsid w:val="00EE6B5D"/>
    <w:rsid w:val="00EF4FA7"/>
    <w:rsid w:val="00EF6354"/>
    <w:rsid w:val="00EF6885"/>
    <w:rsid w:val="00EF7E45"/>
    <w:rsid w:val="00F00B1D"/>
    <w:rsid w:val="00F026AC"/>
    <w:rsid w:val="00F04473"/>
    <w:rsid w:val="00F04F53"/>
    <w:rsid w:val="00F053EE"/>
    <w:rsid w:val="00F05743"/>
    <w:rsid w:val="00F06881"/>
    <w:rsid w:val="00F13970"/>
    <w:rsid w:val="00F17928"/>
    <w:rsid w:val="00F206C1"/>
    <w:rsid w:val="00F20B8D"/>
    <w:rsid w:val="00F32022"/>
    <w:rsid w:val="00F376E5"/>
    <w:rsid w:val="00F403A9"/>
    <w:rsid w:val="00F404B1"/>
    <w:rsid w:val="00F408C2"/>
    <w:rsid w:val="00F41936"/>
    <w:rsid w:val="00F41939"/>
    <w:rsid w:val="00F44066"/>
    <w:rsid w:val="00F44557"/>
    <w:rsid w:val="00F46275"/>
    <w:rsid w:val="00F47168"/>
    <w:rsid w:val="00F501D0"/>
    <w:rsid w:val="00F524FD"/>
    <w:rsid w:val="00F548C9"/>
    <w:rsid w:val="00F54A91"/>
    <w:rsid w:val="00F629A2"/>
    <w:rsid w:val="00F62C56"/>
    <w:rsid w:val="00F66D79"/>
    <w:rsid w:val="00F679FA"/>
    <w:rsid w:val="00F67CDF"/>
    <w:rsid w:val="00F71AB8"/>
    <w:rsid w:val="00F7518C"/>
    <w:rsid w:val="00F76E36"/>
    <w:rsid w:val="00F801FB"/>
    <w:rsid w:val="00F82814"/>
    <w:rsid w:val="00F82F6D"/>
    <w:rsid w:val="00F90029"/>
    <w:rsid w:val="00F9597B"/>
    <w:rsid w:val="00F968E6"/>
    <w:rsid w:val="00F97DC0"/>
    <w:rsid w:val="00FA016B"/>
    <w:rsid w:val="00FA0E9C"/>
    <w:rsid w:val="00FA6295"/>
    <w:rsid w:val="00FA6813"/>
    <w:rsid w:val="00FA6A92"/>
    <w:rsid w:val="00FB1D9A"/>
    <w:rsid w:val="00FB333C"/>
    <w:rsid w:val="00FB5627"/>
    <w:rsid w:val="00FB5B7C"/>
    <w:rsid w:val="00FD10D9"/>
    <w:rsid w:val="00FD395A"/>
    <w:rsid w:val="00FD4182"/>
    <w:rsid w:val="00FD4E1D"/>
    <w:rsid w:val="00FE0399"/>
    <w:rsid w:val="00FE1435"/>
    <w:rsid w:val="00FE1AB5"/>
    <w:rsid w:val="00FE3045"/>
    <w:rsid w:val="00FE3524"/>
    <w:rsid w:val="00FE478E"/>
    <w:rsid w:val="00FE4D6A"/>
    <w:rsid w:val="00FF0ED1"/>
    <w:rsid w:val="00FF15A4"/>
    <w:rsid w:val="00FF6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B6BF433"/>
  <w15:docId w15:val="{74737573-C70A-4929-8A58-5C705E07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6D48"/>
    <w:rPr>
      <w:sz w:val="24"/>
      <w:szCs w:val="24"/>
      <w:lang w:val="en-US" w:eastAsia="en-US"/>
    </w:rPr>
  </w:style>
  <w:style w:type="paragraph" w:styleId="Heading1">
    <w:name w:val="heading 1"/>
    <w:basedOn w:val="Normal"/>
    <w:next w:val="Normal"/>
    <w:link w:val="Heading1Char"/>
    <w:uiPriority w:val="9"/>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uiPriority w:val="9"/>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046E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447901"/>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47901"/>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44790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7901"/>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4790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790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link w:val="BalloonTextChar"/>
    <w:uiPriority w:val="99"/>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uiPriority w:val="9"/>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0038DB"/>
    <w:pPr>
      <w:pBdr>
        <w:bottom w:val="single" w:sz="4" w:space="1" w:color="auto"/>
      </w:pBdr>
      <w:ind w:right="504"/>
    </w:pPr>
    <w:rPr>
      <w:b/>
    </w:rPr>
  </w:style>
  <w:style w:type="paragraph" w:styleId="ListParagraph">
    <w:name w:val="List Paragraph"/>
    <w:basedOn w:val="List"/>
    <w:link w:val="ListParagraphChar"/>
    <w:autoRedefine/>
    <w:uiPriority w:val="1"/>
    <w:qFormat/>
    <w:rsid w:val="00F968E6"/>
    <w:pPr>
      <w:ind w:left="0" w:firstLine="0"/>
      <w:contextualSpacing w:val="0"/>
      <w:jc w:val="both"/>
    </w:pPr>
    <w:rPr>
      <w:rFonts w:ascii="Arial" w:hAnsi="Arial"/>
      <w:b/>
      <w:bCs/>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link w:val="DecisionBodyChar"/>
    <w:rsid w:val="0048609C"/>
    <w:pPr>
      <w:widowControl w:val="0"/>
      <w:numPr>
        <w:numId w:val="34"/>
      </w:numPr>
      <w:spacing w:beforeLines="150" w:before="360" w:afterLines="150" w:after="36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uiPriority w:val="99"/>
    <w:semiHidden/>
    <w:rsid w:val="00F206C1"/>
    <w:rPr>
      <w:color w:val="808080"/>
    </w:rPr>
  </w:style>
  <w:style w:type="paragraph" w:customStyle="1" w:styleId="AttachmentTextaboveFooter">
    <w:name w:val="Attachment Text above Footer"/>
    <w:basedOn w:val="Footer"/>
    <w:qFormat/>
    <w:rsid w:val="004850D0"/>
  </w:style>
  <w:style w:type="paragraph" w:styleId="BodyText">
    <w:name w:val="Body Text"/>
    <w:basedOn w:val="Normal"/>
    <w:link w:val="BodyTextChar"/>
    <w:uiPriority w:val="1"/>
    <w:qFormat/>
    <w:rsid w:val="000F1CE9"/>
    <w:pPr>
      <w:spacing w:after="240"/>
      <w:jc w:val="both"/>
    </w:pPr>
    <w:rPr>
      <w:rFonts w:ascii="Arial" w:eastAsia="Arial" w:hAnsi="Arial"/>
      <w:sz w:val="22"/>
      <w:szCs w:val="22"/>
      <w:lang w:val="en-CA"/>
    </w:rPr>
  </w:style>
  <w:style w:type="character" w:customStyle="1" w:styleId="BodyTextChar">
    <w:name w:val="Body Text Char"/>
    <w:link w:val="BodyText"/>
    <w:uiPriority w:val="1"/>
    <w:rsid w:val="000F1CE9"/>
    <w:rPr>
      <w:rFonts w:ascii="Arial" w:eastAsia="Arial" w:hAnsi="Arial"/>
      <w:sz w:val="22"/>
      <w:szCs w:val="22"/>
      <w:lang w:eastAsia="en-US"/>
    </w:rPr>
  </w:style>
  <w:style w:type="character" w:styleId="UnresolvedMention">
    <w:name w:val="Unresolved Mention"/>
    <w:uiPriority w:val="99"/>
    <w:semiHidden/>
    <w:unhideWhenUsed/>
    <w:rsid w:val="00052084"/>
    <w:rPr>
      <w:color w:val="605E5C"/>
      <w:shd w:val="clear" w:color="auto" w:fill="E1DFDD"/>
    </w:rPr>
  </w:style>
  <w:style w:type="paragraph" w:styleId="Revision">
    <w:name w:val="Revision"/>
    <w:hidden/>
    <w:uiPriority w:val="99"/>
    <w:semiHidden/>
    <w:rsid w:val="00783908"/>
    <w:rPr>
      <w:sz w:val="24"/>
      <w:szCs w:val="24"/>
      <w:lang w:val="en-US" w:eastAsia="en-US"/>
    </w:rPr>
  </w:style>
  <w:style w:type="paragraph" w:customStyle="1" w:styleId="TableParagraph">
    <w:name w:val="Table Paragraph"/>
    <w:basedOn w:val="Normal"/>
    <w:uiPriority w:val="1"/>
    <w:qFormat/>
    <w:rsid w:val="00017A12"/>
    <w:pPr>
      <w:widowControl w:val="0"/>
      <w:autoSpaceDE w:val="0"/>
      <w:autoSpaceDN w:val="0"/>
      <w:adjustRightInd w:val="0"/>
      <w:spacing w:line="256" w:lineRule="exact"/>
      <w:ind w:left="50"/>
    </w:pPr>
    <w:rPr>
      <w:rFonts w:ascii="Arial" w:hAnsi="Arial" w:cs="Arial"/>
      <w:lang w:val="en-CA" w:eastAsia="en-CA"/>
    </w:rPr>
  </w:style>
  <w:style w:type="character" w:customStyle="1" w:styleId="normaltextrun">
    <w:name w:val="normaltextrun"/>
    <w:basedOn w:val="DefaultParagraphFont"/>
    <w:rsid w:val="00963F94"/>
  </w:style>
  <w:style w:type="character" w:customStyle="1" w:styleId="bcx0">
    <w:name w:val="bcx0"/>
    <w:basedOn w:val="DefaultParagraphFont"/>
    <w:rsid w:val="00963F94"/>
  </w:style>
  <w:style w:type="character" w:customStyle="1" w:styleId="ListParagraphChar">
    <w:name w:val="List Paragraph Char"/>
    <w:link w:val="ListParagraph"/>
    <w:uiPriority w:val="34"/>
    <w:rsid w:val="00F968E6"/>
    <w:rPr>
      <w:rFonts w:ascii="Arial" w:hAnsi="Arial"/>
      <w:b/>
      <w:bCs/>
      <w:sz w:val="24"/>
      <w:szCs w:val="24"/>
      <w:lang w:val="en-US" w:eastAsia="en-US"/>
    </w:rPr>
  </w:style>
  <w:style w:type="paragraph" w:customStyle="1" w:styleId="paragraph">
    <w:name w:val="paragraph"/>
    <w:basedOn w:val="Normal"/>
    <w:rsid w:val="00967C98"/>
    <w:pPr>
      <w:spacing w:before="100" w:beforeAutospacing="1" w:after="100" w:afterAutospacing="1"/>
    </w:pPr>
    <w:rPr>
      <w:lang w:val="en-CA" w:eastAsia="en-CA"/>
    </w:rPr>
  </w:style>
  <w:style w:type="character" w:customStyle="1" w:styleId="eop">
    <w:name w:val="eop"/>
    <w:basedOn w:val="DefaultParagraphFont"/>
    <w:rsid w:val="00967C98"/>
  </w:style>
  <w:style w:type="character" w:customStyle="1" w:styleId="reflex2-link">
    <w:name w:val="reflex2-link"/>
    <w:basedOn w:val="DefaultParagraphFont"/>
    <w:rsid w:val="00CB5CFF"/>
  </w:style>
  <w:style w:type="character" w:customStyle="1" w:styleId="DecisionBodyChar">
    <w:name w:val="DecisionBody Char"/>
    <w:link w:val="DecisionBody"/>
    <w:rsid w:val="00B86E00"/>
    <w:rPr>
      <w:rFonts w:ascii="Arial" w:hAnsi="Arial"/>
      <w:bCs/>
      <w:sz w:val="24"/>
      <w:szCs w:val="24"/>
      <w:lang w:eastAsia="en-US"/>
    </w:rPr>
  </w:style>
  <w:style w:type="character" w:customStyle="1" w:styleId="Heading4Char">
    <w:name w:val="Heading 4 Char"/>
    <w:basedOn w:val="DefaultParagraphFont"/>
    <w:link w:val="Heading4"/>
    <w:uiPriority w:val="9"/>
    <w:rsid w:val="00447901"/>
    <w:rPr>
      <w:rFonts w:asciiTheme="majorHAnsi" w:eastAsiaTheme="majorEastAsia" w:hAnsiTheme="majorHAnsi" w:cstheme="majorBidi"/>
      <w:b/>
      <w:bCs/>
      <w:iCs/>
      <w:sz w:val="26"/>
      <w:szCs w:val="24"/>
      <w:lang w:val="en-US" w:eastAsia="en-US"/>
    </w:rPr>
  </w:style>
  <w:style w:type="character" w:customStyle="1" w:styleId="Heading5Char">
    <w:name w:val="Heading 5 Char"/>
    <w:basedOn w:val="DefaultParagraphFont"/>
    <w:link w:val="Heading5"/>
    <w:uiPriority w:val="9"/>
    <w:rsid w:val="00447901"/>
    <w:rPr>
      <w:rFonts w:asciiTheme="majorHAnsi" w:eastAsiaTheme="majorEastAsia" w:hAnsiTheme="majorHAnsi" w:cstheme="majorBidi"/>
      <w:b/>
      <w:bCs/>
      <w:sz w:val="24"/>
      <w:szCs w:val="24"/>
      <w:lang w:val="en-US" w:eastAsia="en-US"/>
    </w:rPr>
  </w:style>
  <w:style w:type="character" w:customStyle="1" w:styleId="Heading6Char">
    <w:name w:val="Heading 6 Char"/>
    <w:basedOn w:val="DefaultParagraphFont"/>
    <w:link w:val="Heading6"/>
    <w:uiPriority w:val="9"/>
    <w:semiHidden/>
    <w:rsid w:val="00447901"/>
    <w:rPr>
      <w:rFonts w:asciiTheme="majorHAnsi" w:eastAsiaTheme="majorEastAsia" w:hAnsiTheme="majorHAnsi" w:cstheme="majorBidi"/>
      <w:b/>
      <w:bCs/>
      <w:i/>
      <w:iCs/>
      <w:color w:val="7F7F7F" w:themeColor="text1" w:themeTint="80"/>
      <w:sz w:val="24"/>
      <w:szCs w:val="24"/>
      <w:lang w:val="en-US" w:eastAsia="en-US"/>
    </w:rPr>
  </w:style>
  <w:style w:type="character" w:customStyle="1" w:styleId="Heading7Char">
    <w:name w:val="Heading 7 Char"/>
    <w:basedOn w:val="DefaultParagraphFont"/>
    <w:link w:val="Heading7"/>
    <w:uiPriority w:val="9"/>
    <w:semiHidden/>
    <w:rsid w:val="00447901"/>
    <w:rPr>
      <w:rFonts w:asciiTheme="majorHAnsi" w:eastAsiaTheme="majorEastAsia" w:hAnsiTheme="majorHAnsi" w:cstheme="majorBidi"/>
      <w:i/>
      <w:iCs/>
      <w:sz w:val="22"/>
      <w:szCs w:val="24"/>
      <w:lang w:val="en-US" w:eastAsia="en-US"/>
    </w:rPr>
  </w:style>
  <w:style w:type="character" w:customStyle="1" w:styleId="Heading8Char">
    <w:name w:val="Heading 8 Char"/>
    <w:basedOn w:val="DefaultParagraphFont"/>
    <w:link w:val="Heading8"/>
    <w:uiPriority w:val="9"/>
    <w:semiHidden/>
    <w:rsid w:val="00447901"/>
    <w:rPr>
      <w:rFonts w:asciiTheme="majorHAnsi" w:eastAsiaTheme="majorEastAsia" w:hAnsiTheme="majorHAnsi" w:cstheme="majorBidi"/>
      <w:lang w:val="en-US" w:eastAsia="en-US"/>
    </w:rPr>
  </w:style>
  <w:style w:type="character" w:customStyle="1" w:styleId="Heading9Char">
    <w:name w:val="Heading 9 Char"/>
    <w:basedOn w:val="DefaultParagraphFont"/>
    <w:link w:val="Heading9"/>
    <w:uiPriority w:val="9"/>
    <w:semiHidden/>
    <w:rsid w:val="00447901"/>
    <w:rPr>
      <w:rFonts w:asciiTheme="majorHAnsi" w:eastAsiaTheme="majorEastAsia" w:hAnsiTheme="majorHAnsi" w:cstheme="majorBidi"/>
      <w:i/>
      <w:iCs/>
      <w:spacing w:val="5"/>
      <w:lang w:val="en-US" w:eastAsia="en-US"/>
    </w:rPr>
  </w:style>
  <w:style w:type="character" w:customStyle="1" w:styleId="Heading1Char">
    <w:name w:val="Heading 1 Char"/>
    <w:basedOn w:val="DefaultParagraphFont"/>
    <w:link w:val="Heading1"/>
    <w:uiPriority w:val="9"/>
    <w:rsid w:val="00447901"/>
    <w:rPr>
      <w:rFonts w:ascii="Arial" w:hAnsi="Arial"/>
      <w:b/>
      <w:bCs/>
      <w:caps/>
      <w:sz w:val="24"/>
      <w:szCs w:val="24"/>
      <w:lang w:eastAsia="en-US"/>
    </w:rPr>
  </w:style>
  <w:style w:type="paragraph" w:styleId="Title">
    <w:name w:val="Title"/>
    <w:basedOn w:val="Normal"/>
    <w:next w:val="Normal"/>
    <w:link w:val="TitleChar"/>
    <w:uiPriority w:val="10"/>
    <w:qFormat/>
    <w:rsid w:val="00447901"/>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47901"/>
    <w:rPr>
      <w:rFonts w:asciiTheme="majorHAnsi" w:eastAsiaTheme="majorEastAsia" w:hAnsiTheme="majorHAnsi" w:cstheme="majorBidi"/>
      <w:b/>
      <w:spacing w:val="5"/>
      <w:sz w:val="36"/>
      <w:szCs w:val="52"/>
      <w:lang w:val="en-US" w:eastAsia="en-US"/>
    </w:rPr>
  </w:style>
  <w:style w:type="paragraph" w:styleId="Subtitle">
    <w:name w:val="Subtitle"/>
    <w:basedOn w:val="Normal"/>
    <w:next w:val="Normal"/>
    <w:link w:val="SubtitleChar"/>
    <w:uiPriority w:val="11"/>
    <w:qFormat/>
    <w:rsid w:val="00447901"/>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47901"/>
    <w:rPr>
      <w:rFonts w:asciiTheme="majorHAnsi" w:eastAsiaTheme="majorEastAsia" w:hAnsiTheme="majorHAnsi" w:cstheme="majorBidi"/>
      <w:b/>
      <w:i/>
      <w:iCs/>
      <w:spacing w:val="13"/>
      <w:sz w:val="32"/>
      <w:szCs w:val="24"/>
      <w:lang w:val="en-US" w:eastAsia="en-US"/>
    </w:rPr>
  </w:style>
  <w:style w:type="character" w:styleId="Strong">
    <w:name w:val="Strong"/>
    <w:uiPriority w:val="22"/>
    <w:rsid w:val="00447901"/>
    <w:rPr>
      <w:b/>
      <w:bCs/>
    </w:rPr>
  </w:style>
  <w:style w:type="character" w:styleId="Emphasis">
    <w:name w:val="Emphasis"/>
    <w:uiPriority w:val="20"/>
    <w:rsid w:val="00447901"/>
    <w:rPr>
      <w:b/>
      <w:bCs/>
      <w:i/>
      <w:iCs/>
      <w:spacing w:val="10"/>
      <w:bdr w:val="none" w:sz="0" w:space="0" w:color="auto"/>
      <w:shd w:val="clear" w:color="auto" w:fill="auto"/>
    </w:rPr>
  </w:style>
  <w:style w:type="paragraph" w:styleId="NoSpacing">
    <w:name w:val="No Spacing"/>
    <w:uiPriority w:val="1"/>
    <w:rsid w:val="00447901"/>
    <w:rPr>
      <w:rFonts w:asciiTheme="minorHAnsi" w:eastAsiaTheme="minorHAnsi" w:hAnsiTheme="minorHAnsi" w:cstheme="minorBidi"/>
      <w:sz w:val="24"/>
      <w:szCs w:val="22"/>
      <w:lang w:eastAsia="en-US"/>
    </w:rPr>
  </w:style>
  <w:style w:type="paragraph" w:styleId="Quote">
    <w:name w:val="Quote"/>
    <w:basedOn w:val="Normal"/>
    <w:next w:val="Normal"/>
    <w:link w:val="QuoteChar"/>
    <w:uiPriority w:val="29"/>
    <w:rsid w:val="00447901"/>
    <w:pPr>
      <w:spacing w:before="200"/>
      <w:ind w:left="360" w:right="360"/>
    </w:pPr>
    <w:rPr>
      <w:i/>
      <w:iCs/>
    </w:rPr>
  </w:style>
  <w:style w:type="character" w:customStyle="1" w:styleId="QuoteChar">
    <w:name w:val="Quote Char"/>
    <w:basedOn w:val="DefaultParagraphFont"/>
    <w:link w:val="Quote"/>
    <w:uiPriority w:val="29"/>
    <w:rsid w:val="00447901"/>
    <w:rPr>
      <w:i/>
      <w:iCs/>
      <w:sz w:val="24"/>
      <w:szCs w:val="24"/>
      <w:lang w:val="en-US" w:eastAsia="en-US"/>
    </w:rPr>
  </w:style>
  <w:style w:type="paragraph" w:styleId="IntenseQuote">
    <w:name w:val="Intense Quote"/>
    <w:basedOn w:val="Normal"/>
    <w:next w:val="Normal"/>
    <w:link w:val="IntenseQuoteChar"/>
    <w:uiPriority w:val="30"/>
    <w:rsid w:val="0044790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7901"/>
    <w:rPr>
      <w:b/>
      <w:bCs/>
      <w:i/>
      <w:iCs/>
      <w:sz w:val="24"/>
      <w:szCs w:val="24"/>
      <w:lang w:val="en-US" w:eastAsia="en-US"/>
    </w:rPr>
  </w:style>
  <w:style w:type="character" w:styleId="SubtleEmphasis">
    <w:name w:val="Subtle Emphasis"/>
    <w:uiPriority w:val="19"/>
    <w:rsid w:val="00447901"/>
    <w:rPr>
      <w:i/>
      <w:iCs/>
    </w:rPr>
  </w:style>
  <w:style w:type="character" w:styleId="IntenseEmphasis">
    <w:name w:val="Intense Emphasis"/>
    <w:uiPriority w:val="21"/>
    <w:rsid w:val="00447901"/>
    <w:rPr>
      <w:b/>
      <w:bCs/>
    </w:rPr>
  </w:style>
  <w:style w:type="character" w:styleId="SubtleReference">
    <w:name w:val="Subtle Reference"/>
    <w:uiPriority w:val="31"/>
    <w:rsid w:val="00447901"/>
    <w:rPr>
      <w:smallCaps/>
    </w:rPr>
  </w:style>
  <w:style w:type="character" w:styleId="IntenseReference">
    <w:name w:val="Intense Reference"/>
    <w:uiPriority w:val="32"/>
    <w:rsid w:val="00447901"/>
    <w:rPr>
      <w:smallCaps/>
      <w:spacing w:val="5"/>
      <w:u w:val="single"/>
    </w:rPr>
  </w:style>
  <w:style w:type="character" w:styleId="BookTitle">
    <w:name w:val="Book Title"/>
    <w:uiPriority w:val="33"/>
    <w:rsid w:val="00447901"/>
    <w:rPr>
      <w:i/>
      <w:iCs/>
      <w:smallCaps/>
      <w:spacing w:val="5"/>
    </w:rPr>
  </w:style>
  <w:style w:type="paragraph" w:styleId="TOCHeading">
    <w:name w:val="TOC Heading"/>
    <w:basedOn w:val="Heading1"/>
    <w:next w:val="Normal"/>
    <w:uiPriority w:val="39"/>
    <w:semiHidden/>
    <w:unhideWhenUsed/>
    <w:qFormat/>
    <w:rsid w:val="00447901"/>
    <w:pPr>
      <w:keepNext w:val="0"/>
      <w:spacing w:before="480" w:line="240" w:lineRule="auto"/>
      <w:contextualSpacing/>
      <w:outlineLvl w:val="9"/>
    </w:pPr>
    <w:rPr>
      <w:rFonts w:asciiTheme="majorHAnsi" w:eastAsiaTheme="majorEastAsia" w:hAnsiTheme="majorHAnsi" w:cstheme="majorBidi"/>
      <w:caps w:val="0"/>
      <w:sz w:val="36"/>
      <w:szCs w:val="28"/>
      <w:lang w:val="en-US" w:bidi="en-US"/>
    </w:rPr>
  </w:style>
  <w:style w:type="character" w:customStyle="1" w:styleId="BalloonTextChar">
    <w:name w:val="Balloon Text Char"/>
    <w:basedOn w:val="DefaultParagraphFont"/>
    <w:link w:val="BalloonText"/>
    <w:uiPriority w:val="99"/>
    <w:semiHidden/>
    <w:rsid w:val="00447901"/>
    <w:rPr>
      <w:rFonts w:ascii="Tahoma" w:hAnsi="Tahoma" w:cs="Tahoma"/>
      <w:sz w:val="16"/>
      <w:szCs w:val="16"/>
      <w:lang w:val="en-US" w:eastAsia="en-US"/>
    </w:rPr>
  </w:style>
  <w:style w:type="paragraph" w:customStyle="1" w:styleId="decisionbody0">
    <w:name w:val="decisionbody"/>
    <w:basedOn w:val="Normal"/>
    <w:rsid w:val="00447901"/>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157380859">
      <w:bodyDiv w:val="1"/>
      <w:marLeft w:val="0"/>
      <w:marRight w:val="0"/>
      <w:marTop w:val="0"/>
      <w:marBottom w:val="0"/>
      <w:divBdr>
        <w:top w:val="none" w:sz="0" w:space="0" w:color="auto"/>
        <w:left w:val="none" w:sz="0" w:space="0" w:color="auto"/>
        <w:bottom w:val="none" w:sz="0" w:space="0" w:color="auto"/>
        <w:right w:val="none" w:sz="0" w:space="0" w:color="auto"/>
      </w:divBdr>
    </w:div>
    <w:div w:id="285085629">
      <w:bodyDiv w:val="1"/>
      <w:marLeft w:val="0"/>
      <w:marRight w:val="0"/>
      <w:marTop w:val="0"/>
      <w:marBottom w:val="0"/>
      <w:divBdr>
        <w:top w:val="none" w:sz="0" w:space="0" w:color="auto"/>
        <w:left w:val="none" w:sz="0" w:space="0" w:color="auto"/>
        <w:bottom w:val="none" w:sz="0" w:space="0" w:color="auto"/>
        <w:right w:val="none" w:sz="0" w:space="0" w:color="auto"/>
      </w:divBdr>
      <w:divsChild>
        <w:div w:id="45566357">
          <w:marLeft w:val="0"/>
          <w:marRight w:val="0"/>
          <w:marTop w:val="0"/>
          <w:marBottom w:val="0"/>
          <w:divBdr>
            <w:top w:val="none" w:sz="0" w:space="0" w:color="auto"/>
            <w:left w:val="none" w:sz="0" w:space="0" w:color="auto"/>
            <w:bottom w:val="none" w:sz="0" w:space="0" w:color="auto"/>
            <w:right w:val="none" w:sz="0" w:space="0" w:color="auto"/>
          </w:divBdr>
        </w:div>
        <w:div w:id="1145122804">
          <w:marLeft w:val="0"/>
          <w:marRight w:val="0"/>
          <w:marTop w:val="0"/>
          <w:marBottom w:val="0"/>
          <w:divBdr>
            <w:top w:val="none" w:sz="0" w:space="0" w:color="auto"/>
            <w:left w:val="none" w:sz="0" w:space="0" w:color="auto"/>
            <w:bottom w:val="none" w:sz="0" w:space="0" w:color="auto"/>
            <w:right w:val="none" w:sz="0" w:space="0" w:color="auto"/>
          </w:divBdr>
        </w:div>
        <w:div w:id="1202665496">
          <w:marLeft w:val="0"/>
          <w:marRight w:val="0"/>
          <w:marTop w:val="0"/>
          <w:marBottom w:val="0"/>
          <w:divBdr>
            <w:top w:val="none" w:sz="0" w:space="0" w:color="auto"/>
            <w:left w:val="none" w:sz="0" w:space="0" w:color="auto"/>
            <w:bottom w:val="none" w:sz="0" w:space="0" w:color="auto"/>
            <w:right w:val="none" w:sz="0" w:space="0" w:color="auto"/>
          </w:divBdr>
        </w:div>
        <w:div w:id="2132432922">
          <w:marLeft w:val="0"/>
          <w:marRight w:val="0"/>
          <w:marTop w:val="0"/>
          <w:marBottom w:val="0"/>
          <w:divBdr>
            <w:top w:val="none" w:sz="0" w:space="0" w:color="auto"/>
            <w:left w:val="none" w:sz="0" w:space="0" w:color="auto"/>
            <w:bottom w:val="none" w:sz="0" w:space="0" w:color="auto"/>
            <w:right w:val="none" w:sz="0" w:space="0" w:color="auto"/>
          </w:divBdr>
        </w:div>
      </w:divsChild>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565527163">
      <w:bodyDiv w:val="1"/>
      <w:marLeft w:val="0"/>
      <w:marRight w:val="0"/>
      <w:marTop w:val="0"/>
      <w:marBottom w:val="0"/>
      <w:divBdr>
        <w:top w:val="none" w:sz="0" w:space="0" w:color="auto"/>
        <w:left w:val="none" w:sz="0" w:space="0" w:color="auto"/>
        <w:bottom w:val="none" w:sz="0" w:space="0" w:color="auto"/>
        <w:right w:val="none" w:sz="0" w:space="0" w:color="auto"/>
      </w:divBdr>
    </w:div>
    <w:div w:id="632491930">
      <w:bodyDiv w:val="1"/>
      <w:marLeft w:val="0"/>
      <w:marRight w:val="0"/>
      <w:marTop w:val="0"/>
      <w:marBottom w:val="0"/>
      <w:divBdr>
        <w:top w:val="none" w:sz="0" w:space="0" w:color="auto"/>
        <w:left w:val="none" w:sz="0" w:space="0" w:color="auto"/>
        <w:bottom w:val="none" w:sz="0" w:space="0" w:color="auto"/>
        <w:right w:val="none" w:sz="0" w:space="0" w:color="auto"/>
      </w:divBdr>
      <w:divsChild>
        <w:div w:id="155926340">
          <w:marLeft w:val="0"/>
          <w:marRight w:val="0"/>
          <w:marTop w:val="0"/>
          <w:marBottom w:val="0"/>
          <w:divBdr>
            <w:top w:val="none" w:sz="0" w:space="0" w:color="auto"/>
            <w:left w:val="none" w:sz="0" w:space="0" w:color="auto"/>
            <w:bottom w:val="none" w:sz="0" w:space="0" w:color="auto"/>
            <w:right w:val="none" w:sz="0" w:space="0" w:color="auto"/>
          </w:divBdr>
        </w:div>
        <w:div w:id="1355838976">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1451557665">
          <w:marLeft w:val="0"/>
          <w:marRight w:val="0"/>
          <w:marTop w:val="0"/>
          <w:marBottom w:val="0"/>
          <w:divBdr>
            <w:top w:val="none" w:sz="0" w:space="0" w:color="auto"/>
            <w:left w:val="none" w:sz="0" w:space="0" w:color="auto"/>
            <w:bottom w:val="none" w:sz="0" w:space="0" w:color="auto"/>
            <w:right w:val="none" w:sz="0" w:space="0" w:color="auto"/>
          </w:divBdr>
        </w:div>
      </w:divsChild>
    </w:div>
    <w:div w:id="803541169">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985628147">
      <w:bodyDiv w:val="1"/>
      <w:marLeft w:val="0"/>
      <w:marRight w:val="0"/>
      <w:marTop w:val="0"/>
      <w:marBottom w:val="0"/>
      <w:divBdr>
        <w:top w:val="none" w:sz="0" w:space="0" w:color="auto"/>
        <w:left w:val="none" w:sz="0" w:space="0" w:color="auto"/>
        <w:bottom w:val="none" w:sz="0" w:space="0" w:color="auto"/>
        <w:right w:val="none" w:sz="0" w:space="0" w:color="auto"/>
      </w:divBdr>
    </w:div>
    <w:div w:id="1005788353">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219322531">
      <w:bodyDiv w:val="1"/>
      <w:marLeft w:val="0"/>
      <w:marRight w:val="0"/>
      <w:marTop w:val="0"/>
      <w:marBottom w:val="0"/>
      <w:divBdr>
        <w:top w:val="none" w:sz="0" w:space="0" w:color="auto"/>
        <w:left w:val="none" w:sz="0" w:space="0" w:color="auto"/>
        <w:bottom w:val="none" w:sz="0" w:space="0" w:color="auto"/>
        <w:right w:val="none" w:sz="0" w:space="0" w:color="auto"/>
      </w:divBdr>
    </w:div>
    <w:div w:id="1240409059">
      <w:bodyDiv w:val="1"/>
      <w:marLeft w:val="0"/>
      <w:marRight w:val="0"/>
      <w:marTop w:val="0"/>
      <w:marBottom w:val="0"/>
      <w:divBdr>
        <w:top w:val="none" w:sz="0" w:space="0" w:color="auto"/>
        <w:left w:val="none" w:sz="0" w:space="0" w:color="auto"/>
        <w:bottom w:val="none" w:sz="0" w:space="0" w:color="auto"/>
        <w:right w:val="none" w:sz="0" w:space="0" w:color="auto"/>
      </w:divBdr>
    </w:div>
    <w:div w:id="1505821468">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614020917">
      <w:bodyDiv w:val="1"/>
      <w:marLeft w:val="0"/>
      <w:marRight w:val="0"/>
      <w:marTop w:val="0"/>
      <w:marBottom w:val="0"/>
      <w:divBdr>
        <w:top w:val="none" w:sz="0" w:space="0" w:color="auto"/>
        <w:left w:val="none" w:sz="0" w:space="0" w:color="auto"/>
        <w:bottom w:val="none" w:sz="0" w:space="0" w:color="auto"/>
        <w:right w:val="none" w:sz="0" w:space="0" w:color="auto"/>
      </w:divBdr>
    </w:div>
    <w:div w:id="1636713537">
      <w:bodyDiv w:val="1"/>
      <w:marLeft w:val="0"/>
      <w:marRight w:val="0"/>
      <w:marTop w:val="0"/>
      <w:marBottom w:val="0"/>
      <w:divBdr>
        <w:top w:val="none" w:sz="0" w:space="0" w:color="auto"/>
        <w:left w:val="none" w:sz="0" w:space="0" w:color="auto"/>
        <w:bottom w:val="none" w:sz="0" w:space="0" w:color="auto"/>
        <w:right w:val="none" w:sz="0" w:space="0" w:color="auto"/>
      </w:divBdr>
    </w:div>
    <w:div w:id="1739399863">
      <w:bodyDiv w:val="1"/>
      <w:marLeft w:val="0"/>
      <w:marRight w:val="0"/>
      <w:marTop w:val="0"/>
      <w:marBottom w:val="0"/>
      <w:divBdr>
        <w:top w:val="none" w:sz="0" w:space="0" w:color="auto"/>
        <w:left w:val="none" w:sz="0" w:space="0" w:color="auto"/>
        <w:bottom w:val="none" w:sz="0" w:space="0" w:color="auto"/>
        <w:right w:val="none" w:sz="0" w:space="0" w:color="auto"/>
      </w:divBdr>
      <w:divsChild>
        <w:div w:id="211696789">
          <w:marLeft w:val="0"/>
          <w:marRight w:val="0"/>
          <w:marTop w:val="0"/>
          <w:marBottom w:val="0"/>
          <w:divBdr>
            <w:top w:val="none" w:sz="0" w:space="0" w:color="auto"/>
            <w:left w:val="none" w:sz="0" w:space="0" w:color="auto"/>
            <w:bottom w:val="none" w:sz="0" w:space="0" w:color="auto"/>
            <w:right w:val="none" w:sz="0" w:space="0" w:color="auto"/>
          </w:divBdr>
          <w:divsChild>
            <w:div w:id="2103060136">
              <w:marLeft w:val="0"/>
              <w:marRight w:val="0"/>
              <w:marTop w:val="0"/>
              <w:marBottom w:val="0"/>
              <w:divBdr>
                <w:top w:val="none" w:sz="0" w:space="0" w:color="auto"/>
                <w:left w:val="none" w:sz="0" w:space="0" w:color="auto"/>
                <w:bottom w:val="none" w:sz="0" w:space="0" w:color="auto"/>
                <w:right w:val="none" w:sz="0" w:space="0" w:color="auto"/>
              </w:divBdr>
            </w:div>
          </w:divsChild>
        </w:div>
        <w:div w:id="734087450">
          <w:marLeft w:val="0"/>
          <w:marRight w:val="0"/>
          <w:marTop w:val="0"/>
          <w:marBottom w:val="0"/>
          <w:divBdr>
            <w:top w:val="none" w:sz="0" w:space="0" w:color="auto"/>
            <w:left w:val="none" w:sz="0" w:space="0" w:color="auto"/>
            <w:bottom w:val="none" w:sz="0" w:space="0" w:color="auto"/>
            <w:right w:val="none" w:sz="0" w:space="0" w:color="auto"/>
          </w:divBdr>
          <w:divsChild>
            <w:div w:id="563222260">
              <w:marLeft w:val="0"/>
              <w:marRight w:val="0"/>
              <w:marTop w:val="0"/>
              <w:marBottom w:val="0"/>
              <w:divBdr>
                <w:top w:val="none" w:sz="0" w:space="0" w:color="auto"/>
                <w:left w:val="none" w:sz="0" w:space="0" w:color="auto"/>
                <w:bottom w:val="none" w:sz="0" w:space="0" w:color="auto"/>
                <w:right w:val="none" w:sz="0" w:space="0" w:color="auto"/>
              </w:divBdr>
            </w:div>
          </w:divsChild>
        </w:div>
        <w:div w:id="758256800">
          <w:marLeft w:val="0"/>
          <w:marRight w:val="0"/>
          <w:marTop w:val="0"/>
          <w:marBottom w:val="0"/>
          <w:divBdr>
            <w:top w:val="none" w:sz="0" w:space="0" w:color="auto"/>
            <w:left w:val="none" w:sz="0" w:space="0" w:color="auto"/>
            <w:bottom w:val="none" w:sz="0" w:space="0" w:color="auto"/>
            <w:right w:val="none" w:sz="0" w:space="0" w:color="auto"/>
          </w:divBdr>
          <w:divsChild>
            <w:div w:id="391736892">
              <w:marLeft w:val="0"/>
              <w:marRight w:val="0"/>
              <w:marTop w:val="0"/>
              <w:marBottom w:val="0"/>
              <w:divBdr>
                <w:top w:val="none" w:sz="0" w:space="0" w:color="auto"/>
                <w:left w:val="none" w:sz="0" w:space="0" w:color="auto"/>
                <w:bottom w:val="none" w:sz="0" w:space="0" w:color="auto"/>
                <w:right w:val="none" w:sz="0" w:space="0" w:color="auto"/>
              </w:divBdr>
            </w:div>
          </w:divsChild>
        </w:div>
        <w:div w:id="1002125889">
          <w:marLeft w:val="0"/>
          <w:marRight w:val="0"/>
          <w:marTop w:val="0"/>
          <w:marBottom w:val="0"/>
          <w:divBdr>
            <w:top w:val="none" w:sz="0" w:space="0" w:color="auto"/>
            <w:left w:val="none" w:sz="0" w:space="0" w:color="auto"/>
            <w:bottom w:val="none" w:sz="0" w:space="0" w:color="auto"/>
            <w:right w:val="none" w:sz="0" w:space="0" w:color="auto"/>
          </w:divBdr>
          <w:divsChild>
            <w:div w:id="1553076704">
              <w:marLeft w:val="0"/>
              <w:marRight w:val="0"/>
              <w:marTop w:val="0"/>
              <w:marBottom w:val="0"/>
              <w:divBdr>
                <w:top w:val="none" w:sz="0" w:space="0" w:color="auto"/>
                <w:left w:val="none" w:sz="0" w:space="0" w:color="auto"/>
                <w:bottom w:val="none" w:sz="0" w:space="0" w:color="auto"/>
                <w:right w:val="none" w:sz="0" w:space="0" w:color="auto"/>
              </w:divBdr>
            </w:div>
            <w:div w:id="1888763627">
              <w:marLeft w:val="0"/>
              <w:marRight w:val="0"/>
              <w:marTop w:val="0"/>
              <w:marBottom w:val="0"/>
              <w:divBdr>
                <w:top w:val="none" w:sz="0" w:space="0" w:color="auto"/>
                <w:left w:val="none" w:sz="0" w:space="0" w:color="auto"/>
                <w:bottom w:val="none" w:sz="0" w:space="0" w:color="auto"/>
                <w:right w:val="none" w:sz="0" w:space="0" w:color="auto"/>
              </w:divBdr>
            </w:div>
          </w:divsChild>
        </w:div>
        <w:div w:id="1143501118">
          <w:marLeft w:val="0"/>
          <w:marRight w:val="0"/>
          <w:marTop w:val="0"/>
          <w:marBottom w:val="0"/>
          <w:divBdr>
            <w:top w:val="none" w:sz="0" w:space="0" w:color="auto"/>
            <w:left w:val="none" w:sz="0" w:space="0" w:color="auto"/>
            <w:bottom w:val="none" w:sz="0" w:space="0" w:color="auto"/>
            <w:right w:val="none" w:sz="0" w:space="0" w:color="auto"/>
          </w:divBdr>
          <w:divsChild>
            <w:div w:id="1223248025">
              <w:marLeft w:val="0"/>
              <w:marRight w:val="0"/>
              <w:marTop w:val="0"/>
              <w:marBottom w:val="0"/>
              <w:divBdr>
                <w:top w:val="none" w:sz="0" w:space="0" w:color="auto"/>
                <w:left w:val="none" w:sz="0" w:space="0" w:color="auto"/>
                <w:bottom w:val="none" w:sz="0" w:space="0" w:color="auto"/>
                <w:right w:val="none" w:sz="0" w:space="0" w:color="auto"/>
              </w:divBdr>
            </w:div>
          </w:divsChild>
        </w:div>
        <w:div w:id="1567300777">
          <w:marLeft w:val="0"/>
          <w:marRight w:val="0"/>
          <w:marTop w:val="0"/>
          <w:marBottom w:val="0"/>
          <w:divBdr>
            <w:top w:val="none" w:sz="0" w:space="0" w:color="auto"/>
            <w:left w:val="none" w:sz="0" w:space="0" w:color="auto"/>
            <w:bottom w:val="none" w:sz="0" w:space="0" w:color="auto"/>
            <w:right w:val="none" w:sz="0" w:space="0" w:color="auto"/>
          </w:divBdr>
          <w:divsChild>
            <w:div w:id="453527199">
              <w:marLeft w:val="0"/>
              <w:marRight w:val="0"/>
              <w:marTop w:val="0"/>
              <w:marBottom w:val="0"/>
              <w:divBdr>
                <w:top w:val="none" w:sz="0" w:space="0" w:color="auto"/>
                <w:left w:val="none" w:sz="0" w:space="0" w:color="auto"/>
                <w:bottom w:val="none" w:sz="0" w:space="0" w:color="auto"/>
                <w:right w:val="none" w:sz="0" w:space="0" w:color="auto"/>
              </w:divBdr>
            </w:div>
          </w:divsChild>
        </w:div>
        <w:div w:id="1685669435">
          <w:marLeft w:val="0"/>
          <w:marRight w:val="0"/>
          <w:marTop w:val="0"/>
          <w:marBottom w:val="0"/>
          <w:divBdr>
            <w:top w:val="none" w:sz="0" w:space="0" w:color="auto"/>
            <w:left w:val="none" w:sz="0" w:space="0" w:color="auto"/>
            <w:bottom w:val="none" w:sz="0" w:space="0" w:color="auto"/>
            <w:right w:val="none" w:sz="0" w:space="0" w:color="auto"/>
          </w:divBdr>
          <w:divsChild>
            <w:div w:id="1066033071">
              <w:marLeft w:val="0"/>
              <w:marRight w:val="0"/>
              <w:marTop w:val="0"/>
              <w:marBottom w:val="0"/>
              <w:divBdr>
                <w:top w:val="none" w:sz="0" w:space="0" w:color="auto"/>
                <w:left w:val="none" w:sz="0" w:space="0" w:color="auto"/>
                <w:bottom w:val="none" w:sz="0" w:space="0" w:color="auto"/>
                <w:right w:val="none" w:sz="0" w:space="0" w:color="auto"/>
              </w:divBdr>
            </w:div>
          </w:divsChild>
        </w:div>
        <w:div w:id="1924146285">
          <w:marLeft w:val="0"/>
          <w:marRight w:val="0"/>
          <w:marTop w:val="0"/>
          <w:marBottom w:val="0"/>
          <w:divBdr>
            <w:top w:val="none" w:sz="0" w:space="0" w:color="auto"/>
            <w:left w:val="none" w:sz="0" w:space="0" w:color="auto"/>
            <w:bottom w:val="none" w:sz="0" w:space="0" w:color="auto"/>
            <w:right w:val="none" w:sz="0" w:space="0" w:color="auto"/>
          </w:divBdr>
          <w:divsChild>
            <w:div w:id="1772777593">
              <w:marLeft w:val="0"/>
              <w:marRight w:val="0"/>
              <w:marTop w:val="0"/>
              <w:marBottom w:val="0"/>
              <w:divBdr>
                <w:top w:val="none" w:sz="0" w:space="0" w:color="auto"/>
                <w:left w:val="none" w:sz="0" w:space="0" w:color="auto"/>
                <w:bottom w:val="none" w:sz="0" w:space="0" w:color="auto"/>
                <w:right w:val="none" w:sz="0" w:space="0" w:color="auto"/>
              </w:divBdr>
            </w:div>
          </w:divsChild>
        </w:div>
        <w:div w:id="1933666285">
          <w:marLeft w:val="0"/>
          <w:marRight w:val="0"/>
          <w:marTop w:val="0"/>
          <w:marBottom w:val="0"/>
          <w:divBdr>
            <w:top w:val="none" w:sz="0" w:space="0" w:color="auto"/>
            <w:left w:val="none" w:sz="0" w:space="0" w:color="auto"/>
            <w:bottom w:val="none" w:sz="0" w:space="0" w:color="auto"/>
            <w:right w:val="none" w:sz="0" w:space="0" w:color="auto"/>
          </w:divBdr>
          <w:divsChild>
            <w:div w:id="247005611">
              <w:marLeft w:val="0"/>
              <w:marRight w:val="0"/>
              <w:marTop w:val="0"/>
              <w:marBottom w:val="0"/>
              <w:divBdr>
                <w:top w:val="none" w:sz="0" w:space="0" w:color="auto"/>
                <w:left w:val="none" w:sz="0" w:space="0" w:color="auto"/>
                <w:bottom w:val="none" w:sz="0" w:space="0" w:color="auto"/>
                <w:right w:val="none" w:sz="0" w:space="0" w:color="auto"/>
              </w:divBdr>
            </w:div>
          </w:divsChild>
        </w:div>
        <w:div w:id="1946109364">
          <w:marLeft w:val="0"/>
          <w:marRight w:val="0"/>
          <w:marTop w:val="0"/>
          <w:marBottom w:val="0"/>
          <w:divBdr>
            <w:top w:val="none" w:sz="0" w:space="0" w:color="auto"/>
            <w:left w:val="none" w:sz="0" w:space="0" w:color="auto"/>
            <w:bottom w:val="none" w:sz="0" w:space="0" w:color="auto"/>
            <w:right w:val="none" w:sz="0" w:space="0" w:color="auto"/>
          </w:divBdr>
          <w:divsChild>
            <w:div w:id="182134863">
              <w:marLeft w:val="0"/>
              <w:marRight w:val="0"/>
              <w:marTop w:val="0"/>
              <w:marBottom w:val="0"/>
              <w:divBdr>
                <w:top w:val="none" w:sz="0" w:space="0" w:color="auto"/>
                <w:left w:val="none" w:sz="0" w:space="0" w:color="auto"/>
                <w:bottom w:val="none" w:sz="0" w:space="0" w:color="auto"/>
                <w:right w:val="none" w:sz="0" w:space="0" w:color="auto"/>
              </w:divBdr>
            </w:div>
          </w:divsChild>
        </w:div>
        <w:div w:id="2135633355">
          <w:marLeft w:val="0"/>
          <w:marRight w:val="0"/>
          <w:marTop w:val="0"/>
          <w:marBottom w:val="0"/>
          <w:divBdr>
            <w:top w:val="none" w:sz="0" w:space="0" w:color="auto"/>
            <w:left w:val="none" w:sz="0" w:space="0" w:color="auto"/>
            <w:bottom w:val="none" w:sz="0" w:space="0" w:color="auto"/>
            <w:right w:val="none" w:sz="0" w:space="0" w:color="auto"/>
          </w:divBdr>
          <w:divsChild>
            <w:div w:id="1086029262">
              <w:marLeft w:val="0"/>
              <w:marRight w:val="0"/>
              <w:marTop w:val="0"/>
              <w:marBottom w:val="0"/>
              <w:divBdr>
                <w:top w:val="none" w:sz="0" w:space="0" w:color="auto"/>
                <w:left w:val="none" w:sz="0" w:space="0" w:color="auto"/>
                <w:bottom w:val="none" w:sz="0" w:space="0" w:color="auto"/>
                <w:right w:val="none" w:sz="0" w:space="0" w:color="auto"/>
              </w:divBdr>
            </w:div>
            <w:div w:id="1774980329">
              <w:marLeft w:val="0"/>
              <w:marRight w:val="0"/>
              <w:marTop w:val="0"/>
              <w:marBottom w:val="0"/>
              <w:divBdr>
                <w:top w:val="none" w:sz="0" w:space="0" w:color="auto"/>
                <w:left w:val="none" w:sz="0" w:space="0" w:color="auto"/>
                <w:bottom w:val="none" w:sz="0" w:space="0" w:color="auto"/>
                <w:right w:val="none" w:sz="0" w:space="0" w:color="auto"/>
              </w:divBdr>
            </w:div>
          </w:divsChild>
        </w:div>
        <w:div w:id="2136753907">
          <w:marLeft w:val="0"/>
          <w:marRight w:val="0"/>
          <w:marTop w:val="0"/>
          <w:marBottom w:val="0"/>
          <w:divBdr>
            <w:top w:val="none" w:sz="0" w:space="0" w:color="auto"/>
            <w:left w:val="none" w:sz="0" w:space="0" w:color="auto"/>
            <w:bottom w:val="none" w:sz="0" w:space="0" w:color="auto"/>
            <w:right w:val="none" w:sz="0" w:space="0" w:color="auto"/>
          </w:divBdr>
          <w:divsChild>
            <w:div w:id="1228421463">
              <w:marLeft w:val="0"/>
              <w:marRight w:val="0"/>
              <w:marTop w:val="0"/>
              <w:marBottom w:val="0"/>
              <w:divBdr>
                <w:top w:val="none" w:sz="0" w:space="0" w:color="auto"/>
                <w:left w:val="none" w:sz="0" w:space="0" w:color="auto"/>
                <w:bottom w:val="none" w:sz="0" w:space="0" w:color="auto"/>
                <w:right w:val="none" w:sz="0" w:space="0" w:color="auto"/>
              </w:divBdr>
            </w:div>
            <w:div w:id="1777558388">
              <w:marLeft w:val="0"/>
              <w:marRight w:val="0"/>
              <w:marTop w:val="0"/>
              <w:marBottom w:val="0"/>
              <w:divBdr>
                <w:top w:val="none" w:sz="0" w:space="0" w:color="auto"/>
                <w:left w:val="none" w:sz="0" w:space="0" w:color="auto"/>
                <w:bottom w:val="none" w:sz="0" w:space="0" w:color="auto"/>
                <w:right w:val="none" w:sz="0" w:space="0" w:color="auto"/>
              </w:divBdr>
            </w:div>
          </w:divsChild>
        </w:div>
        <w:div w:id="2136826513">
          <w:marLeft w:val="0"/>
          <w:marRight w:val="0"/>
          <w:marTop w:val="0"/>
          <w:marBottom w:val="0"/>
          <w:divBdr>
            <w:top w:val="none" w:sz="0" w:space="0" w:color="auto"/>
            <w:left w:val="none" w:sz="0" w:space="0" w:color="auto"/>
            <w:bottom w:val="none" w:sz="0" w:space="0" w:color="auto"/>
            <w:right w:val="none" w:sz="0" w:space="0" w:color="auto"/>
          </w:divBdr>
          <w:divsChild>
            <w:div w:id="85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 w:id="1940402991">
      <w:bodyDiv w:val="1"/>
      <w:marLeft w:val="0"/>
      <w:marRight w:val="0"/>
      <w:marTop w:val="0"/>
      <w:marBottom w:val="0"/>
      <w:divBdr>
        <w:top w:val="none" w:sz="0" w:space="0" w:color="auto"/>
        <w:left w:val="none" w:sz="0" w:space="0" w:color="auto"/>
        <w:bottom w:val="none" w:sz="0" w:space="0" w:color="auto"/>
        <w:right w:val="none" w:sz="0" w:space="0" w:color="auto"/>
      </w:divBdr>
    </w:div>
    <w:div w:id="2113209341">
      <w:bodyDiv w:val="1"/>
      <w:marLeft w:val="0"/>
      <w:marRight w:val="0"/>
      <w:marTop w:val="0"/>
      <w:marBottom w:val="0"/>
      <w:divBdr>
        <w:top w:val="none" w:sz="0" w:space="0" w:color="auto"/>
        <w:left w:val="none" w:sz="0" w:space="0" w:color="auto"/>
        <w:bottom w:val="none" w:sz="0" w:space="0" w:color="auto"/>
        <w:right w:val="none" w:sz="0" w:space="0" w:color="auto"/>
      </w:divBdr>
    </w:div>
    <w:div w:id="2128238748">
      <w:bodyDiv w:val="1"/>
      <w:marLeft w:val="0"/>
      <w:marRight w:val="0"/>
      <w:marTop w:val="0"/>
      <w:marBottom w:val="0"/>
      <w:divBdr>
        <w:top w:val="none" w:sz="0" w:space="0" w:color="auto"/>
        <w:left w:val="none" w:sz="0" w:space="0" w:color="auto"/>
        <w:bottom w:val="none" w:sz="0" w:space="0" w:color="auto"/>
        <w:right w:val="none" w:sz="0" w:space="0" w:color="auto"/>
      </w:divBdr>
    </w:div>
    <w:div w:id="2142335422">
      <w:bodyDiv w:val="1"/>
      <w:marLeft w:val="0"/>
      <w:marRight w:val="0"/>
      <w:marTop w:val="0"/>
      <w:marBottom w:val="0"/>
      <w:divBdr>
        <w:top w:val="none" w:sz="0" w:space="0" w:color="auto"/>
        <w:left w:val="none" w:sz="0" w:space="0" w:color="auto"/>
        <w:bottom w:val="none" w:sz="0" w:space="0" w:color="auto"/>
        <w:right w:val="none" w:sz="0" w:space="0" w:color="auto"/>
      </w:divBdr>
      <w:divsChild>
        <w:div w:id="171844718">
          <w:marLeft w:val="0"/>
          <w:marRight w:val="0"/>
          <w:marTop w:val="0"/>
          <w:marBottom w:val="0"/>
          <w:divBdr>
            <w:top w:val="none" w:sz="0" w:space="0" w:color="auto"/>
            <w:left w:val="none" w:sz="0" w:space="0" w:color="auto"/>
            <w:bottom w:val="none" w:sz="0" w:space="0" w:color="auto"/>
            <w:right w:val="none" w:sz="0" w:space="0" w:color="auto"/>
          </w:divBdr>
        </w:div>
        <w:div w:id="736975618">
          <w:marLeft w:val="0"/>
          <w:marRight w:val="0"/>
          <w:marTop w:val="0"/>
          <w:marBottom w:val="0"/>
          <w:divBdr>
            <w:top w:val="none" w:sz="0" w:space="0" w:color="auto"/>
            <w:left w:val="none" w:sz="0" w:space="0" w:color="auto"/>
            <w:bottom w:val="none" w:sz="0" w:space="0" w:color="auto"/>
            <w:right w:val="none" w:sz="0" w:space="0" w:color="auto"/>
          </w:divBdr>
        </w:div>
        <w:div w:id="2042313420">
          <w:marLeft w:val="0"/>
          <w:marRight w:val="0"/>
          <w:marTop w:val="0"/>
          <w:marBottom w:val="0"/>
          <w:divBdr>
            <w:top w:val="none" w:sz="0" w:space="0" w:color="auto"/>
            <w:left w:val="none" w:sz="0" w:space="0" w:color="auto"/>
            <w:bottom w:val="none" w:sz="0" w:space="0" w:color="auto"/>
            <w:right w:val="none" w:sz="0" w:space="0" w:color="auto"/>
          </w:divBdr>
        </w:div>
        <w:div w:id="213177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lt.gov.on.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28B21723D9C1419A0BF669C332209A" ma:contentTypeVersion="13" ma:contentTypeDescription="Create a new document." ma:contentTypeScope="" ma:versionID="96de8d73b41a831958afee17619e6786">
  <xsd:schema xmlns:xsd="http://www.w3.org/2001/XMLSchema" xmlns:xs="http://www.w3.org/2001/XMLSchema" xmlns:p="http://schemas.microsoft.com/office/2006/metadata/properties" xmlns:ns3="f386fd7a-8638-4ae6-8ccd-568e2bc2aded" xmlns:ns4="7bf905f1-1c78-47ae-8201-ef7d2ceea735" targetNamespace="http://schemas.microsoft.com/office/2006/metadata/properties" ma:root="true" ma:fieldsID="35ed8bb9ccb3c9adb0f674022a15b859" ns3:_="" ns4:_="">
    <xsd:import namespace="f386fd7a-8638-4ae6-8ccd-568e2bc2aded"/>
    <xsd:import namespace="7bf905f1-1c78-47ae-8201-ef7d2ceea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6fd7a-8638-4ae6-8ccd-568e2bc2ad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f905f1-1c78-47ae-8201-ef7d2ceea7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BB0B5-6DBD-4EF0-8196-06D82955078A}">
  <ds:schemaRefs>
    <ds:schemaRef ds:uri="http://schemas.openxmlformats.org/officeDocument/2006/bibliography"/>
  </ds:schemaRefs>
</ds:datastoreItem>
</file>

<file path=customXml/itemProps2.xml><?xml version="1.0" encoding="utf-8"?>
<ds:datastoreItem xmlns:ds="http://schemas.openxmlformats.org/officeDocument/2006/customXml" ds:itemID="{FBD6DFC7-CC07-4965-8599-3FFBD9EA924E}">
  <ds:schemaRefs>
    <ds:schemaRef ds:uri="http://schemas.microsoft.com/sharepoint/v3/contenttype/forms"/>
  </ds:schemaRefs>
</ds:datastoreItem>
</file>

<file path=customXml/itemProps3.xml><?xml version="1.0" encoding="utf-8"?>
<ds:datastoreItem xmlns:ds="http://schemas.openxmlformats.org/officeDocument/2006/customXml" ds:itemID="{E994A5D5-BC1A-4949-9D62-68C1ACBDD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6fd7a-8638-4ae6-8ccd-568e2bc2aded"/>
    <ds:schemaRef ds:uri="7bf905f1-1c78-47ae-8201-ef7d2ceea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CF64E5-8650-49C9-8760-34D727C931E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bf905f1-1c78-47ae-8201-ef7d2ceea735"/>
    <ds:schemaRef ds:uri="f386fd7a-8638-4ae6-8ccd-568e2bc2ad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10219</Words>
  <Characters>54034</Characters>
  <Application>Microsoft Office Word</Application>
  <DocSecurity>0</DocSecurity>
  <Lines>450</Lines>
  <Paragraphs>128</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64125</CharactersWithSpaces>
  <SharedDoc>false</SharedDoc>
  <HLinks>
    <vt:vector size="6" baseType="variant">
      <vt:variant>
        <vt:i4>65630</vt:i4>
      </vt:variant>
      <vt:variant>
        <vt:i4>2</vt:i4>
      </vt:variant>
      <vt:variant>
        <vt:i4>0</vt:i4>
      </vt:variant>
      <vt:variant>
        <vt:i4>5</vt:i4>
      </vt:variant>
      <vt:variant>
        <vt:lpwstr>http://www.olt.gov.on.ca/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subject/>
  <dc:creator>Authorized User</dc:creator>
  <cp:keywords/>
  <dc:description/>
  <cp:lastModifiedBy>Cosentino, Yazzie (MAG)</cp:lastModifiedBy>
  <cp:revision>4</cp:revision>
  <cp:lastPrinted>2022-02-25T21:22:00Z</cp:lastPrinted>
  <dcterms:created xsi:type="dcterms:W3CDTF">2022-02-25T21:11:00Z</dcterms:created>
  <dcterms:modified xsi:type="dcterms:W3CDTF">2022-02-25T21:24:00Z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0x010100EA28B21723D9C1419A0BF669C332209A</vt:lpwstr>
  </property>
  <property fmtid="{D5CDD505-2E9C-101B-9397-08002B2CF9AE}" pid="3" name="MSIP_Label_034a106e-6316-442c-ad35-738afd673d2b_Enabled">
    <vt:lpwstr>true</vt:lpwstr>
  </property>
  <property fmtid="{D5CDD505-2E9C-101B-9397-08002B2CF9AE}" pid="4" name="MSIP_Label_034a106e-6316-442c-ad35-738afd673d2b_SetDate">
    <vt:lpwstr>2021-10-04T21:35:47Z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ies>
</file>