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1"/>
        <w:tblW w:w="9714" w:type="dxa"/>
        <w:tblLayout w:type="fixed"/>
        <w:tblLook w:val="0000" w:firstRow="0" w:lastRow="0" w:firstColumn="0" w:lastColumn="0" w:noHBand="0" w:noVBand="0"/>
      </w:tblPr>
      <w:tblGrid>
        <w:gridCol w:w="108"/>
        <w:gridCol w:w="5670"/>
        <w:gridCol w:w="108"/>
        <w:gridCol w:w="3720"/>
        <w:gridCol w:w="108"/>
      </w:tblGrid>
      <w:tr w:rsidR="007A5D53" w14:paraId="6CA864B3" w14:textId="77777777" w:rsidTr="002F2862">
        <w:trPr>
          <w:gridBefore w:val="1"/>
          <w:wBefore w:w="108" w:type="dxa"/>
        </w:trPr>
        <w:tc>
          <w:tcPr>
            <w:tcW w:w="5778" w:type="dxa"/>
            <w:gridSpan w:val="2"/>
          </w:tcPr>
          <w:p w14:paraId="6CA864B1" w14:textId="2293CAEE" w:rsidR="007A5D53" w:rsidRPr="001E764F" w:rsidRDefault="007A5D53" w:rsidP="00EF4765">
            <w:pPr>
              <w:rPr>
                <w:rFonts w:ascii="Arial" w:hAnsi="Arial" w:cs="Arial"/>
                <w:b/>
                <w:sz w:val="32"/>
                <w:szCs w:val="32"/>
              </w:rPr>
            </w:pPr>
          </w:p>
        </w:tc>
        <w:tc>
          <w:tcPr>
            <w:tcW w:w="3828" w:type="dxa"/>
            <w:gridSpan w:val="2"/>
            <w:vMerge/>
          </w:tcPr>
          <w:p w14:paraId="6CA864B2" w14:textId="77777777" w:rsidR="007A5D53" w:rsidRPr="001E764F" w:rsidRDefault="007A5D53" w:rsidP="00EF4765">
            <w:pPr>
              <w:rPr>
                <w:rFonts w:ascii="Arial" w:hAnsi="Arial" w:cs="Arial"/>
                <w:b/>
                <w:sz w:val="32"/>
                <w:szCs w:val="32"/>
              </w:rPr>
            </w:pPr>
          </w:p>
        </w:tc>
      </w:tr>
      <w:tr w:rsidR="002F2862" w:rsidRPr="001E764F" w14:paraId="3D3ADEB8" w14:textId="77777777" w:rsidTr="002F2862">
        <w:trPr>
          <w:gridAfter w:val="1"/>
          <w:wAfter w:w="108" w:type="dxa"/>
          <w:trHeight w:val="281"/>
        </w:trPr>
        <w:tc>
          <w:tcPr>
            <w:tcW w:w="5778" w:type="dxa"/>
            <w:gridSpan w:val="2"/>
          </w:tcPr>
          <w:p w14:paraId="3F5C8610" w14:textId="77777777" w:rsidR="002F2862" w:rsidRPr="001E764F" w:rsidRDefault="002F2862" w:rsidP="002F2862">
            <w:pPr>
              <w:rPr>
                <w:rFonts w:ascii="Arial" w:hAnsi="Arial" w:cs="Arial"/>
                <w:b/>
                <w:sz w:val="16"/>
                <w:szCs w:val="16"/>
              </w:rPr>
            </w:pPr>
          </w:p>
        </w:tc>
        <w:tc>
          <w:tcPr>
            <w:tcW w:w="3828" w:type="dxa"/>
            <w:gridSpan w:val="2"/>
            <w:vMerge w:val="restart"/>
          </w:tcPr>
          <w:p w14:paraId="5B8FF871" w14:textId="77777777" w:rsidR="002F2862" w:rsidRPr="001E764F" w:rsidRDefault="002F2862" w:rsidP="002F2862">
            <w:pPr>
              <w:rPr>
                <w:rFonts w:ascii="Arial" w:hAnsi="Arial" w:cs="Arial"/>
                <w:b/>
                <w:noProof/>
                <w:sz w:val="32"/>
                <w:szCs w:val="32"/>
                <w:lang w:val="en-CA" w:eastAsia="en-CA"/>
              </w:rPr>
            </w:pPr>
            <w:r>
              <w:rPr>
                <w:noProof/>
                <w:lang w:val="en-CA" w:eastAsia="en-CA"/>
              </w:rPr>
              <w:drawing>
                <wp:anchor distT="0" distB="0" distL="114300" distR="114300" simplePos="0" relativeHeight="251659264" behindDoc="0" locked="0" layoutInCell="1" allowOverlap="1" wp14:anchorId="1597AA6D" wp14:editId="7671C4E8">
                  <wp:simplePos x="0" y="0"/>
                  <wp:positionH relativeFrom="column">
                    <wp:align>center</wp:align>
                  </wp:positionH>
                  <wp:positionV relativeFrom="paragraph">
                    <wp:posOffset>80010</wp:posOffset>
                  </wp:positionV>
                  <wp:extent cx="1188720" cy="11887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F2862" w:rsidRPr="001E764F" w14:paraId="344CAA2D" w14:textId="77777777" w:rsidTr="002F2862">
        <w:trPr>
          <w:gridAfter w:val="1"/>
          <w:wAfter w:w="108" w:type="dxa"/>
        </w:trPr>
        <w:tc>
          <w:tcPr>
            <w:tcW w:w="5778" w:type="dxa"/>
            <w:gridSpan w:val="2"/>
          </w:tcPr>
          <w:p w14:paraId="167F0041" w14:textId="77777777" w:rsidR="002F2862" w:rsidRPr="001E764F" w:rsidRDefault="002F2862" w:rsidP="002F2862">
            <w:pPr>
              <w:spacing w:line="240" w:lineRule="auto"/>
              <w:rPr>
                <w:rFonts w:ascii="Arial" w:hAnsi="Arial" w:cs="Arial"/>
                <w:b/>
                <w:sz w:val="32"/>
                <w:szCs w:val="32"/>
              </w:rPr>
            </w:pPr>
            <w:r w:rsidRPr="00A7018C">
              <w:rPr>
                <w:rFonts w:ascii="Arial" w:hAnsi="Arial" w:cs="Arial"/>
                <w:b/>
                <w:sz w:val="32"/>
                <w:szCs w:val="32"/>
              </w:rPr>
              <w:t>Local Planning Appeal Tribunal</w:t>
            </w:r>
          </w:p>
        </w:tc>
        <w:tc>
          <w:tcPr>
            <w:tcW w:w="3828" w:type="dxa"/>
            <w:gridSpan w:val="2"/>
            <w:vMerge/>
          </w:tcPr>
          <w:p w14:paraId="21397510" w14:textId="77777777" w:rsidR="002F2862" w:rsidRPr="001E764F" w:rsidRDefault="002F2862" w:rsidP="002F2862">
            <w:pPr>
              <w:rPr>
                <w:rFonts w:ascii="Arial" w:hAnsi="Arial" w:cs="Arial"/>
                <w:b/>
                <w:sz w:val="32"/>
                <w:szCs w:val="32"/>
              </w:rPr>
            </w:pPr>
          </w:p>
        </w:tc>
      </w:tr>
      <w:tr w:rsidR="002F2862" w:rsidRPr="001E764F" w14:paraId="14D6F592" w14:textId="77777777" w:rsidTr="002F2862">
        <w:trPr>
          <w:gridAfter w:val="1"/>
          <w:wAfter w:w="108" w:type="dxa"/>
        </w:trPr>
        <w:tc>
          <w:tcPr>
            <w:tcW w:w="5778" w:type="dxa"/>
            <w:gridSpan w:val="2"/>
          </w:tcPr>
          <w:p w14:paraId="7C293F22" w14:textId="77777777" w:rsidR="002F2862" w:rsidRPr="001E764F" w:rsidRDefault="002F2862" w:rsidP="002F2862">
            <w:pPr>
              <w:spacing w:line="240" w:lineRule="auto"/>
              <w:rPr>
                <w:rFonts w:ascii="Arial" w:hAnsi="Arial" w:cs="Arial"/>
                <w:sz w:val="32"/>
                <w:szCs w:val="32"/>
                <w:lang w:val="fr-CA"/>
              </w:rPr>
            </w:pPr>
            <w:r>
              <w:rPr>
                <w:rFonts w:ascii="Arial" w:hAnsi="Arial" w:cs="Arial"/>
                <w:sz w:val="32"/>
                <w:szCs w:val="32"/>
                <w:lang w:val="fr-CA"/>
              </w:rPr>
              <w:t>Tribunal d’appel de l’aménagement local</w:t>
            </w:r>
          </w:p>
          <w:p w14:paraId="556803CC" w14:textId="77777777" w:rsidR="002F2862" w:rsidRPr="001E764F" w:rsidRDefault="002F2862" w:rsidP="002F2862">
            <w:pPr>
              <w:spacing w:line="240" w:lineRule="auto"/>
              <w:rPr>
                <w:rFonts w:ascii="Arial" w:hAnsi="Arial" w:cs="Arial"/>
                <w:sz w:val="32"/>
                <w:szCs w:val="32"/>
                <w:lang w:val="fr-CA"/>
              </w:rPr>
            </w:pPr>
          </w:p>
          <w:p w14:paraId="12667A1C" w14:textId="77777777" w:rsidR="002F2862" w:rsidRPr="001E764F" w:rsidRDefault="002F2862" w:rsidP="002F2862">
            <w:pPr>
              <w:spacing w:line="240" w:lineRule="auto"/>
              <w:rPr>
                <w:rFonts w:ascii="Arial" w:hAnsi="Arial" w:cs="Arial"/>
                <w:sz w:val="32"/>
                <w:szCs w:val="32"/>
                <w:lang w:val="fr-CA"/>
              </w:rPr>
            </w:pPr>
          </w:p>
        </w:tc>
        <w:tc>
          <w:tcPr>
            <w:tcW w:w="3828" w:type="dxa"/>
            <w:gridSpan w:val="2"/>
            <w:vMerge/>
          </w:tcPr>
          <w:p w14:paraId="00674537" w14:textId="77777777" w:rsidR="002F2862" w:rsidRPr="001E764F" w:rsidRDefault="002F2862" w:rsidP="002F2862">
            <w:pPr>
              <w:rPr>
                <w:rFonts w:ascii="Arial" w:hAnsi="Arial" w:cs="Arial"/>
                <w:sz w:val="32"/>
                <w:szCs w:val="32"/>
                <w:lang w:val="fr-CA"/>
              </w:rPr>
            </w:pPr>
          </w:p>
        </w:tc>
      </w:tr>
      <w:tr w:rsidR="007A5D53" w14:paraId="6CA864B8" w14:textId="77777777" w:rsidTr="002F2862">
        <w:trPr>
          <w:gridBefore w:val="1"/>
          <w:wBefore w:w="108" w:type="dxa"/>
        </w:trPr>
        <w:tc>
          <w:tcPr>
            <w:tcW w:w="5778" w:type="dxa"/>
            <w:gridSpan w:val="2"/>
          </w:tcPr>
          <w:p w14:paraId="6CA864B6" w14:textId="77777777" w:rsidR="007A5D53" w:rsidRPr="001E764F" w:rsidRDefault="007A5D53" w:rsidP="00EF4765">
            <w:pPr>
              <w:rPr>
                <w:rFonts w:ascii="Arial" w:hAnsi="Arial" w:cs="Arial"/>
                <w:sz w:val="32"/>
                <w:szCs w:val="32"/>
                <w:lang w:val="fr-CA"/>
              </w:rPr>
            </w:pPr>
          </w:p>
        </w:tc>
        <w:tc>
          <w:tcPr>
            <w:tcW w:w="3828" w:type="dxa"/>
            <w:gridSpan w:val="2"/>
          </w:tcPr>
          <w:p w14:paraId="6CA864B7" w14:textId="77777777" w:rsidR="007A5D53" w:rsidRPr="001E764F" w:rsidRDefault="007A5D53" w:rsidP="00EF4765">
            <w:pPr>
              <w:rPr>
                <w:rFonts w:ascii="Arial" w:hAnsi="Arial" w:cs="Arial"/>
                <w:sz w:val="32"/>
                <w:szCs w:val="32"/>
                <w:lang w:val="fr-CA"/>
              </w:rPr>
            </w:pPr>
          </w:p>
        </w:tc>
      </w:tr>
    </w:tbl>
    <w:p w14:paraId="6CA864B9" w14:textId="77777777" w:rsidR="007A5D53" w:rsidRPr="0006526A" w:rsidRDefault="007A5D53" w:rsidP="007A5D53">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7A5D53" w14:paraId="6CA864BE" w14:textId="77777777" w:rsidTr="00EF4765">
        <w:tc>
          <w:tcPr>
            <w:tcW w:w="1818" w:type="dxa"/>
            <w:shd w:val="clear" w:color="auto" w:fill="auto"/>
            <w:vAlign w:val="center"/>
          </w:tcPr>
          <w:p w14:paraId="6CA864BA" w14:textId="77777777" w:rsidR="007A5D53" w:rsidRPr="001D67CE" w:rsidRDefault="007A5D53" w:rsidP="00C0607A">
            <w:pPr>
              <w:spacing w:line="240" w:lineRule="auto"/>
              <w:rPr>
                <w:rFonts w:ascii="Arial" w:hAnsi="Arial" w:cs="Arial"/>
              </w:rPr>
            </w:pPr>
            <w:r w:rsidRPr="001E764F">
              <w:rPr>
                <w:rFonts w:ascii="Arial" w:hAnsi="Arial" w:cs="Arial"/>
                <w:b/>
              </w:rPr>
              <w:t>ISSUE DATE:</w:t>
            </w:r>
          </w:p>
        </w:tc>
        <w:tc>
          <w:tcPr>
            <w:tcW w:w="3960" w:type="dxa"/>
            <w:shd w:val="clear" w:color="auto" w:fill="auto"/>
            <w:vAlign w:val="center"/>
          </w:tcPr>
          <w:p w14:paraId="6CA864BB" w14:textId="44DA96CC" w:rsidR="007A5D53" w:rsidRPr="001D67CE" w:rsidRDefault="0040727E" w:rsidP="00C0607A">
            <w:pPr>
              <w:spacing w:line="240" w:lineRule="auto"/>
              <w:rPr>
                <w:rFonts w:ascii="Arial" w:hAnsi="Arial" w:cs="Arial"/>
              </w:rPr>
            </w:pPr>
            <w:r>
              <w:rPr>
                <w:rFonts w:ascii="Arial" w:hAnsi="Arial" w:cs="Arial"/>
              </w:rPr>
              <w:t>September 19, 2019</w:t>
            </w:r>
          </w:p>
        </w:tc>
        <w:tc>
          <w:tcPr>
            <w:tcW w:w="1890" w:type="dxa"/>
            <w:shd w:val="clear" w:color="auto" w:fill="auto"/>
            <w:vAlign w:val="center"/>
          </w:tcPr>
          <w:p w14:paraId="6CA864BC" w14:textId="2CF7ECCF" w:rsidR="007A5D53" w:rsidRPr="001D67CE" w:rsidRDefault="007A5D53" w:rsidP="00C0607A">
            <w:pPr>
              <w:spacing w:line="240" w:lineRule="auto"/>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
        </w:tc>
        <w:tc>
          <w:tcPr>
            <w:tcW w:w="1938" w:type="dxa"/>
            <w:shd w:val="clear" w:color="auto" w:fill="auto"/>
            <w:vAlign w:val="center"/>
          </w:tcPr>
          <w:p w14:paraId="6CA864BD" w14:textId="77777777" w:rsidR="007A5D53" w:rsidRPr="001E764F" w:rsidRDefault="007A5D53" w:rsidP="00C0607A">
            <w:pPr>
              <w:spacing w:line="240" w:lineRule="auto"/>
              <w:jc w:val="right"/>
              <w:rPr>
                <w:rFonts w:ascii="Arial" w:hAnsi="Arial" w:cs="Arial"/>
              </w:rPr>
            </w:pPr>
            <w:r>
              <w:rPr>
                <w:rFonts w:ascii="Arial" w:hAnsi="Arial" w:cs="Arial"/>
              </w:rPr>
              <w:t>PL160641</w:t>
            </w:r>
          </w:p>
        </w:tc>
      </w:tr>
      <w:tr w:rsidR="007A5D53" w14:paraId="6CA864C3" w14:textId="77777777" w:rsidTr="00EF4765">
        <w:tc>
          <w:tcPr>
            <w:tcW w:w="1818" w:type="dxa"/>
            <w:shd w:val="clear" w:color="auto" w:fill="auto"/>
            <w:vAlign w:val="center"/>
          </w:tcPr>
          <w:p w14:paraId="6CA864BF" w14:textId="77777777" w:rsidR="007A5D53" w:rsidRPr="001E764F" w:rsidRDefault="007A5D53" w:rsidP="00C0607A">
            <w:pPr>
              <w:spacing w:line="240" w:lineRule="auto"/>
              <w:rPr>
                <w:rFonts w:ascii="Arial" w:hAnsi="Arial" w:cs="Arial"/>
                <w:b/>
              </w:rPr>
            </w:pPr>
          </w:p>
        </w:tc>
        <w:tc>
          <w:tcPr>
            <w:tcW w:w="3960" w:type="dxa"/>
            <w:shd w:val="clear" w:color="auto" w:fill="auto"/>
            <w:vAlign w:val="center"/>
          </w:tcPr>
          <w:p w14:paraId="6CA864C0" w14:textId="77777777" w:rsidR="007A5D53" w:rsidRPr="001D67CE" w:rsidRDefault="007A5D53" w:rsidP="00C0607A">
            <w:pPr>
              <w:spacing w:line="240" w:lineRule="auto"/>
              <w:rPr>
                <w:rFonts w:ascii="Arial" w:hAnsi="Arial" w:cs="Arial"/>
              </w:rPr>
            </w:pPr>
          </w:p>
        </w:tc>
        <w:tc>
          <w:tcPr>
            <w:tcW w:w="1890" w:type="dxa"/>
            <w:shd w:val="clear" w:color="auto" w:fill="auto"/>
            <w:vAlign w:val="center"/>
          </w:tcPr>
          <w:p w14:paraId="6CA864C1" w14:textId="77777777" w:rsidR="007A5D53" w:rsidRPr="001E764F" w:rsidRDefault="007A5D53" w:rsidP="00C0607A">
            <w:pPr>
              <w:spacing w:line="240" w:lineRule="auto"/>
              <w:rPr>
                <w:rFonts w:ascii="Arial" w:hAnsi="Arial" w:cs="Arial"/>
                <w:b/>
              </w:rPr>
            </w:pPr>
          </w:p>
        </w:tc>
        <w:tc>
          <w:tcPr>
            <w:tcW w:w="1938" w:type="dxa"/>
            <w:shd w:val="clear" w:color="auto" w:fill="auto"/>
            <w:vAlign w:val="center"/>
          </w:tcPr>
          <w:p w14:paraId="6CA864C2" w14:textId="77777777" w:rsidR="007A5D53" w:rsidRDefault="007A5D53" w:rsidP="00C0607A">
            <w:pPr>
              <w:spacing w:line="240" w:lineRule="auto"/>
              <w:jc w:val="right"/>
              <w:rPr>
                <w:rFonts w:ascii="Arial" w:hAnsi="Arial" w:cs="Arial"/>
              </w:rPr>
            </w:pPr>
            <w:r>
              <w:rPr>
                <w:rFonts w:ascii="Arial" w:hAnsi="Arial" w:cs="Arial"/>
              </w:rPr>
              <w:t>PL161164</w:t>
            </w:r>
          </w:p>
        </w:tc>
      </w:tr>
    </w:tbl>
    <w:p w14:paraId="6CA864C4" w14:textId="77777777" w:rsidR="007A5D53" w:rsidRDefault="007A5D53" w:rsidP="007A5D53">
      <w:pPr>
        <w:rPr>
          <w:rFonts w:ascii="Arial" w:hAnsi="Arial" w:cs="Arial"/>
        </w:rPr>
      </w:pPr>
    </w:p>
    <w:tbl>
      <w:tblPr>
        <w:tblW w:w="9606" w:type="dxa"/>
        <w:tblLook w:val="0000" w:firstRow="0" w:lastRow="0" w:firstColumn="0" w:lastColumn="0" w:noHBand="0" w:noVBand="0"/>
      </w:tblPr>
      <w:tblGrid>
        <w:gridCol w:w="9606"/>
      </w:tblGrid>
      <w:tr w:rsidR="007A5D53" w14:paraId="6CA864C7" w14:textId="77777777" w:rsidTr="00EF4765">
        <w:tc>
          <w:tcPr>
            <w:tcW w:w="9606" w:type="dxa"/>
          </w:tcPr>
          <w:p w14:paraId="6CA864C6" w14:textId="77777777" w:rsidR="007A5D53" w:rsidRPr="00250221" w:rsidRDefault="007A5D53" w:rsidP="00C0607A">
            <w:pPr>
              <w:spacing w:line="240" w:lineRule="auto"/>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14:paraId="6CA864C8" w14:textId="77777777" w:rsidR="007A5D53" w:rsidRDefault="007A5D53" w:rsidP="007A5D53">
      <w:pPr>
        <w:rPr>
          <w:rFonts w:ascii="Arial" w:hAnsi="Arial" w:cs="Arial"/>
          <w:highlight w:val="yellow"/>
        </w:rPr>
      </w:pPr>
    </w:p>
    <w:tbl>
      <w:tblPr>
        <w:tblW w:w="0" w:type="auto"/>
        <w:tblLook w:val="04A0" w:firstRow="1" w:lastRow="0" w:firstColumn="1" w:lastColumn="0" w:noHBand="0" w:noVBand="1"/>
      </w:tblPr>
      <w:tblGrid>
        <w:gridCol w:w="4266"/>
        <w:gridCol w:w="5094"/>
      </w:tblGrid>
      <w:tr w:rsidR="007A5D53" w14:paraId="6CA864CB" w14:textId="77777777" w:rsidTr="00C0607A">
        <w:trPr>
          <w:cantSplit/>
          <w:trHeight w:val="732"/>
        </w:trPr>
        <w:tc>
          <w:tcPr>
            <w:tcW w:w="9360" w:type="dxa"/>
            <w:gridSpan w:val="2"/>
            <w:hideMark/>
          </w:tcPr>
          <w:p w14:paraId="6CA864CA" w14:textId="77777777" w:rsidR="007A5D53" w:rsidRPr="00223D9A" w:rsidRDefault="007A5D53" w:rsidP="00C0607A">
            <w:pPr>
              <w:spacing w:line="240" w:lineRule="auto"/>
              <w:rPr>
                <w:rFonts w:ascii="Arial" w:hAnsi="Arial" w:cs="Arial"/>
              </w:rPr>
            </w:pPr>
            <w:r w:rsidRPr="00223D9A">
              <w:rPr>
                <w:rFonts w:ascii="Arial" w:hAnsi="Arial" w:cs="Arial"/>
                <w:b/>
              </w:rPr>
              <w:t xml:space="preserve">PROCEEDING COMMENCED UNDER </w:t>
            </w:r>
            <w:r w:rsidRPr="00223D9A">
              <w:rPr>
                <w:rFonts w:ascii="Arial" w:hAnsi="Arial" w:cs="Arial"/>
              </w:rPr>
              <w:t xml:space="preserve">subsection 34(19) of the </w:t>
            </w:r>
            <w:r w:rsidRPr="00223D9A">
              <w:rPr>
                <w:rFonts w:ascii="Arial" w:hAnsi="Arial" w:cs="Arial"/>
                <w:i/>
              </w:rPr>
              <w:t>Planning Act</w:t>
            </w:r>
            <w:r w:rsidRPr="00223D9A">
              <w:rPr>
                <w:rFonts w:ascii="Arial" w:hAnsi="Arial" w:cs="Arial"/>
              </w:rPr>
              <w:t>, R.S.O. 1990, c. P.13, as amended</w:t>
            </w:r>
          </w:p>
        </w:tc>
      </w:tr>
      <w:tr w:rsidR="007A5D53" w14:paraId="6CA864CE" w14:textId="77777777" w:rsidTr="00C0607A">
        <w:tc>
          <w:tcPr>
            <w:tcW w:w="4266" w:type="dxa"/>
            <w:hideMark/>
          </w:tcPr>
          <w:p w14:paraId="6CA864CC" w14:textId="77777777" w:rsidR="007A5D53" w:rsidRPr="00223D9A" w:rsidRDefault="007A5D53" w:rsidP="00C0607A">
            <w:pPr>
              <w:spacing w:line="240" w:lineRule="auto"/>
              <w:rPr>
                <w:rFonts w:ascii="Arial" w:hAnsi="Arial" w:cs="Arial"/>
              </w:rPr>
            </w:pPr>
            <w:r w:rsidRPr="00223D9A">
              <w:rPr>
                <w:rFonts w:ascii="Arial" w:hAnsi="Arial" w:cs="Arial"/>
              </w:rPr>
              <w:t>Appellant:</w:t>
            </w:r>
          </w:p>
        </w:tc>
        <w:tc>
          <w:tcPr>
            <w:tcW w:w="5094" w:type="dxa"/>
            <w:hideMark/>
          </w:tcPr>
          <w:p w14:paraId="6CA864CD" w14:textId="77777777" w:rsidR="007A5D53" w:rsidRPr="00223D9A" w:rsidRDefault="007A5D53" w:rsidP="00C0607A">
            <w:pPr>
              <w:spacing w:line="240" w:lineRule="auto"/>
              <w:rPr>
                <w:rFonts w:ascii="Arial" w:hAnsi="Arial" w:cs="Arial"/>
              </w:rPr>
            </w:pPr>
            <w:r w:rsidRPr="00223D9A">
              <w:rPr>
                <w:rFonts w:ascii="Arial" w:hAnsi="Arial" w:cs="Arial"/>
              </w:rPr>
              <w:t>1486563 Ontario Inc.</w:t>
            </w:r>
          </w:p>
        </w:tc>
      </w:tr>
      <w:tr w:rsidR="007A5D53" w14:paraId="6CA864D1" w14:textId="77777777" w:rsidTr="00C0607A">
        <w:tc>
          <w:tcPr>
            <w:tcW w:w="4266" w:type="dxa"/>
            <w:hideMark/>
          </w:tcPr>
          <w:p w14:paraId="6CA864CF" w14:textId="77777777" w:rsidR="007A5D53" w:rsidRPr="00223D9A" w:rsidRDefault="007A5D53" w:rsidP="00C0607A">
            <w:pPr>
              <w:spacing w:line="240" w:lineRule="auto"/>
              <w:rPr>
                <w:rFonts w:ascii="Arial" w:hAnsi="Arial" w:cs="Arial"/>
              </w:rPr>
            </w:pPr>
            <w:r w:rsidRPr="00223D9A">
              <w:rPr>
                <w:rFonts w:ascii="Arial" w:hAnsi="Arial" w:cs="Arial"/>
              </w:rPr>
              <w:t>Appellant:</w:t>
            </w:r>
          </w:p>
        </w:tc>
        <w:tc>
          <w:tcPr>
            <w:tcW w:w="5094" w:type="dxa"/>
            <w:hideMark/>
          </w:tcPr>
          <w:p w14:paraId="6CA864D0" w14:textId="77777777" w:rsidR="007A5D53" w:rsidRPr="00223D9A" w:rsidRDefault="007A5D53" w:rsidP="00C0607A">
            <w:pPr>
              <w:spacing w:line="240" w:lineRule="auto"/>
              <w:rPr>
                <w:rFonts w:ascii="Arial" w:hAnsi="Arial" w:cs="Arial"/>
              </w:rPr>
            </w:pPr>
            <w:r w:rsidRPr="00223D9A">
              <w:rPr>
                <w:rFonts w:ascii="Arial" w:hAnsi="Arial" w:cs="Arial"/>
              </w:rPr>
              <w:t>Empire Communities (St. George) Ltd.</w:t>
            </w:r>
          </w:p>
        </w:tc>
      </w:tr>
      <w:tr w:rsidR="007A5D53" w14:paraId="6CA864D4" w14:textId="77777777" w:rsidTr="00C0607A">
        <w:tc>
          <w:tcPr>
            <w:tcW w:w="4266" w:type="dxa"/>
            <w:hideMark/>
          </w:tcPr>
          <w:p w14:paraId="6CA864D2" w14:textId="77777777" w:rsidR="007A5D53" w:rsidRPr="00223D9A" w:rsidRDefault="007A5D53" w:rsidP="00C0607A">
            <w:pPr>
              <w:spacing w:line="240" w:lineRule="auto"/>
              <w:rPr>
                <w:rFonts w:ascii="Arial" w:hAnsi="Arial" w:cs="Arial"/>
              </w:rPr>
            </w:pPr>
            <w:r w:rsidRPr="00223D9A">
              <w:rPr>
                <w:rFonts w:ascii="Arial" w:hAnsi="Arial" w:cs="Arial"/>
              </w:rPr>
              <w:t>Appellant:</w:t>
            </w:r>
          </w:p>
        </w:tc>
        <w:tc>
          <w:tcPr>
            <w:tcW w:w="5094" w:type="dxa"/>
            <w:hideMark/>
          </w:tcPr>
          <w:p w14:paraId="6CA864D3" w14:textId="77777777" w:rsidR="007A5D53" w:rsidRPr="00223D9A" w:rsidRDefault="007A5D53" w:rsidP="00C0607A">
            <w:pPr>
              <w:spacing w:line="240" w:lineRule="auto"/>
              <w:rPr>
                <w:rFonts w:ascii="Arial" w:hAnsi="Arial" w:cs="Arial"/>
              </w:rPr>
            </w:pPr>
            <w:r w:rsidRPr="00223D9A">
              <w:rPr>
                <w:rFonts w:ascii="Arial" w:hAnsi="Arial" w:cs="Arial"/>
              </w:rPr>
              <w:t>Walton Development and Management LP</w:t>
            </w:r>
          </w:p>
        </w:tc>
      </w:tr>
      <w:tr w:rsidR="007A5D53" w14:paraId="6CA864D7" w14:textId="77777777" w:rsidTr="00C0607A">
        <w:tc>
          <w:tcPr>
            <w:tcW w:w="4266" w:type="dxa"/>
            <w:hideMark/>
          </w:tcPr>
          <w:p w14:paraId="6CA864D5" w14:textId="77777777" w:rsidR="007A5D53" w:rsidRPr="00223D9A" w:rsidRDefault="007A5D53" w:rsidP="00C0607A">
            <w:pPr>
              <w:spacing w:line="240" w:lineRule="auto"/>
              <w:rPr>
                <w:rFonts w:ascii="Arial" w:hAnsi="Arial" w:cs="Arial"/>
              </w:rPr>
            </w:pPr>
            <w:r w:rsidRPr="00223D9A">
              <w:rPr>
                <w:rFonts w:ascii="Arial" w:hAnsi="Arial" w:cs="Arial"/>
              </w:rPr>
              <w:t xml:space="preserve">Subject: </w:t>
            </w:r>
          </w:p>
        </w:tc>
        <w:tc>
          <w:tcPr>
            <w:tcW w:w="5094" w:type="dxa"/>
            <w:hideMark/>
          </w:tcPr>
          <w:p w14:paraId="6CA864D6" w14:textId="77777777" w:rsidR="007A5D53" w:rsidRPr="00223D9A" w:rsidRDefault="007A5D53" w:rsidP="00C0607A">
            <w:pPr>
              <w:spacing w:line="240" w:lineRule="auto"/>
              <w:rPr>
                <w:rFonts w:ascii="Arial" w:hAnsi="Arial" w:cs="Arial"/>
              </w:rPr>
            </w:pPr>
            <w:r w:rsidRPr="00223D9A">
              <w:rPr>
                <w:rFonts w:ascii="Arial" w:hAnsi="Arial" w:cs="Arial"/>
              </w:rPr>
              <w:t>By-law No. 61-16</w:t>
            </w:r>
          </w:p>
        </w:tc>
      </w:tr>
      <w:tr w:rsidR="007A5D53" w14:paraId="6CA864DA" w14:textId="77777777" w:rsidTr="00C0607A">
        <w:tc>
          <w:tcPr>
            <w:tcW w:w="4266" w:type="dxa"/>
            <w:hideMark/>
          </w:tcPr>
          <w:p w14:paraId="6CA864D8" w14:textId="77777777" w:rsidR="007A5D53" w:rsidRPr="00223D9A" w:rsidRDefault="007A5D53" w:rsidP="00C0607A">
            <w:pPr>
              <w:spacing w:line="240" w:lineRule="auto"/>
              <w:rPr>
                <w:rFonts w:ascii="Arial" w:hAnsi="Arial" w:cs="Arial"/>
              </w:rPr>
            </w:pPr>
            <w:r w:rsidRPr="00223D9A">
              <w:rPr>
                <w:rFonts w:ascii="Arial" w:hAnsi="Arial" w:cs="Arial"/>
              </w:rPr>
              <w:t xml:space="preserve">Municipality: </w:t>
            </w:r>
          </w:p>
        </w:tc>
        <w:tc>
          <w:tcPr>
            <w:tcW w:w="5094" w:type="dxa"/>
            <w:hideMark/>
          </w:tcPr>
          <w:p w14:paraId="6CA864D9" w14:textId="77777777" w:rsidR="007A5D53" w:rsidRPr="00223D9A" w:rsidRDefault="007A5D53" w:rsidP="00C0607A">
            <w:pPr>
              <w:spacing w:line="240" w:lineRule="auto"/>
              <w:rPr>
                <w:rFonts w:ascii="Arial" w:hAnsi="Arial" w:cs="Arial"/>
              </w:rPr>
            </w:pPr>
            <w:r w:rsidRPr="00223D9A">
              <w:rPr>
                <w:rFonts w:ascii="Arial" w:hAnsi="Arial" w:cs="Arial"/>
              </w:rPr>
              <w:t>County of Brant</w:t>
            </w:r>
          </w:p>
        </w:tc>
      </w:tr>
      <w:tr w:rsidR="007A5D53" w14:paraId="6CA864DD" w14:textId="77777777" w:rsidTr="00C0607A">
        <w:tc>
          <w:tcPr>
            <w:tcW w:w="4266" w:type="dxa"/>
            <w:hideMark/>
          </w:tcPr>
          <w:p w14:paraId="6CA864DB" w14:textId="77777777" w:rsidR="007A5D53" w:rsidRPr="00223D9A" w:rsidRDefault="007A5D53" w:rsidP="00C0607A">
            <w:pPr>
              <w:spacing w:line="240" w:lineRule="auto"/>
              <w:rPr>
                <w:rFonts w:ascii="Arial" w:hAnsi="Arial" w:cs="Arial"/>
              </w:rPr>
            </w:pPr>
            <w:r w:rsidRPr="00223D9A">
              <w:rPr>
                <w:rFonts w:ascii="Arial" w:hAnsi="Arial" w:cs="Arial"/>
              </w:rPr>
              <w:t xml:space="preserve">OMB Case No.: </w:t>
            </w:r>
          </w:p>
        </w:tc>
        <w:tc>
          <w:tcPr>
            <w:tcW w:w="5094" w:type="dxa"/>
            <w:hideMark/>
          </w:tcPr>
          <w:p w14:paraId="6CA864DC" w14:textId="77777777" w:rsidR="007A5D53" w:rsidRPr="00223D9A" w:rsidRDefault="007A5D53" w:rsidP="00C0607A">
            <w:pPr>
              <w:spacing w:line="240" w:lineRule="auto"/>
              <w:rPr>
                <w:rFonts w:ascii="Arial" w:hAnsi="Arial" w:cs="Arial"/>
              </w:rPr>
            </w:pPr>
            <w:r w:rsidRPr="00223D9A">
              <w:rPr>
                <w:rFonts w:ascii="Arial" w:hAnsi="Arial" w:cs="Arial"/>
              </w:rPr>
              <w:t>PL160641</w:t>
            </w:r>
          </w:p>
        </w:tc>
      </w:tr>
      <w:tr w:rsidR="007A5D53" w14:paraId="6CA864E0" w14:textId="77777777" w:rsidTr="00C0607A">
        <w:tc>
          <w:tcPr>
            <w:tcW w:w="4266" w:type="dxa"/>
            <w:hideMark/>
          </w:tcPr>
          <w:p w14:paraId="6CA864DE" w14:textId="77777777" w:rsidR="007A5D53" w:rsidRPr="00223D9A" w:rsidRDefault="007A5D53" w:rsidP="00C0607A">
            <w:pPr>
              <w:spacing w:line="240" w:lineRule="auto"/>
              <w:rPr>
                <w:rFonts w:ascii="Arial" w:hAnsi="Arial" w:cs="Arial"/>
              </w:rPr>
            </w:pPr>
            <w:r w:rsidRPr="00223D9A">
              <w:rPr>
                <w:rFonts w:ascii="Arial" w:hAnsi="Arial" w:cs="Arial"/>
              </w:rPr>
              <w:t xml:space="preserve">OMB File No.: </w:t>
            </w:r>
          </w:p>
        </w:tc>
        <w:tc>
          <w:tcPr>
            <w:tcW w:w="5094" w:type="dxa"/>
            <w:hideMark/>
          </w:tcPr>
          <w:p w14:paraId="6CA864DF" w14:textId="77777777" w:rsidR="007A5D53" w:rsidRPr="00223D9A" w:rsidRDefault="007A5D53" w:rsidP="00C0607A">
            <w:pPr>
              <w:spacing w:line="240" w:lineRule="auto"/>
              <w:rPr>
                <w:rFonts w:ascii="Arial" w:hAnsi="Arial" w:cs="Arial"/>
              </w:rPr>
            </w:pPr>
            <w:r w:rsidRPr="00223D9A">
              <w:rPr>
                <w:rFonts w:ascii="Arial" w:hAnsi="Arial" w:cs="Arial"/>
              </w:rPr>
              <w:t>PL160641</w:t>
            </w:r>
          </w:p>
        </w:tc>
      </w:tr>
      <w:tr w:rsidR="007A5D53" w14:paraId="6CA864E3" w14:textId="77777777" w:rsidTr="00C0607A">
        <w:tc>
          <w:tcPr>
            <w:tcW w:w="4266" w:type="dxa"/>
            <w:hideMark/>
          </w:tcPr>
          <w:p w14:paraId="6CA864E1" w14:textId="77777777" w:rsidR="007A5D53" w:rsidRPr="00223D9A" w:rsidRDefault="007A5D53" w:rsidP="00C0607A">
            <w:pPr>
              <w:spacing w:line="240" w:lineRule="auto"/>
              <w:rPr>
                <w:rFonts w:ascii="Arial" w:hAnsi="Arial" w:cs="Arial"/>
              </w:rPr>
            </w:pPr>
            <w:r w:rsidRPr="00223D9A">
              <w:rPr>
                <w:rFonts w:ascii="Arial" w:hAnsi="Arial" w:cs="Arial"/>
              </w:rPr>
              <w:t xml:space="preserve">OMB Case Name: </w:t>
            </w:r>
          </w:p>
        </w:tc>
        <w:tc>
          <w:tcPr>
            <w:tcW w:w="5094" w:type="dxa"/>
            <w:hideMark/>
          </w:tcPr>
          <w:p w14:paraId="6CA864E2" w14:textId="77777777" w:rsidR="007A5D53" w:rsidRPr="00223D9A" w:rsidRDefault="007A5D53" w:rsidP="00C0607A">
            <w:pPr>
              <w:spacing w:line="240" w:lineRule="auto"/>
              <w:rPr>
                <w:rFonts w:ascii="Arial" w:hAnsi="Arial" w:cs="Arial"/>
              </w:rPr>
            </w:pPr>
            <w:r w:rsidRPr="00223D9A">
              <w:rPr>
                <w:rFonts w:ascii="Arial" w:hAnsi="Arial" w:cs="Arial"/>
              </w:rPr>
              <w:t>Empire Communities (St. George) Ltd. v. Brant (County)</w:t>
            </w:r>
          </w:p>
        </w:tc>
      </w:tr>
    </w:tbl>
    <w:p w14:paraId="6CA864E4" w14:textId="77777777" w:rsidR="007A5D53" w:rsidRPr="00223D9A" w:rsidRDefault="007A5D53" w:rsidP="00C0607A">
      <w:pPr>
        <w:spacing w:line="240" w:lineRule="auto"/>
        <w:rPr>
          <w:rFonts w:ascii="Arial" w:hAnsi="Arial" w:cs="Arial"/>
          <w:lang w:val="en-CA"/>
        </w:rPr>
      </w:pPr>
    </w:p>
    <w:p w14:paraId="6CA864E5" w14:textId="77777777" w:rsidR="007A5D53" w:rsidRPr="00223D9A" w:rsidRDefault="007A5D53" w:rsidP="00C0607A">
      <w:pPr>
        <w:spacing w:line="240" w:lineRule="auto"/>
        <w:rPr>
          <w:rFonts w:ascii="Arial" w:hAnsi="Arial" w:cs="Arial"/>
        </w:rPr>
      </w:pPr>
    </w:p>
    <w:tbl>
      <w:tblPr>
        <w:tblW w:w="9606" w:type="dxa"/>
        <w:tblLook w:val="04A0" w:firstRow="1" w:lastRow="0" w:firstColumn="1" w:lastColumn="0" w:noHBand="0" w:noVBand="1"/>
      </w:tblPr>
      <w:tblGrid>
        <w:gridCol w:w="4361"/>
        <w:gridCol w:w="5245"/>
      </w:tblGrid>
      <w:tr w:rsidR="007A5D53" w14:paraId="6CA864E7" w14:textId="77777777" w:rsidTr="00EF4765">
        <w:trPr>
          <w:cantSplit/>
          <w:trHeight w:val="732"/>
        </w:trPr>
        <w:tc>
          <w:tcPr>
            <w:tcW w:w="9606" w:type="dxa"/>
            <w:gridSpan w:val="2"/>
            <w:hideMark/>
          </w:tcPr>
          <w:p w14:paraId="6CA864E6" w14:textId="77777777" w:rsidR="007A5D53" w:rsidRPr="00223D9A" w:rsidRDefault="007A5D53" w:rsidP="00C0607A">
            <w:pPr>
              <w:spacing w:line="240" w:lineRule="auto"/>
              <w:rPr>
                <w:rFonts w:ascii="Arial" w:hAnsi="Arial" w:cs="Arial"/>
              </w:rPr>
            </w:pPr>
            <w:r w:rsidRPr="00223D9A">
              <w:rPr>
                <w:rFonts w:ascii="Arial" w:hAnsi="Arial" w:cs="Arial"/>
                <w:b/>
              </w:rPr>
              <w:t xml:space="preserve">PROCEEDING COMMENCED UNDER </w:t>
            </w:r>
            <w:r w:rsidRPr="00223D9A">
              <w:rPr>
                <w:rFonts w:ascii="Arial" w:hAnsi="Arial" w:cs="Arial"/>
              </w:rPr>
              <w:t xml:space="preserve">subsection 22(7) of the </w:t>
            </w:r>
            <w:r w:rsidRPr="00223D9A">
              <w:rPr>
                <w:rFonts w:ascii="Arial" w:hAnsi="Arial" w:cs="Arial"/>
                <w:i/>
              </w:rPr>
              <w:t>Planning Act</w:t>
            </w:r>
            <w:r w:rsidRPr="00223D9A">
              <w:rPr>
                <w:rFonts w:ascii="Arial" w:hAnsi="Arial" w:cs="Arial"/>
              </w:rPr>
              <w:t>, R.S.O. 1990, c. P.13, as amended</w:t>
            </w:r>
          </w:p>
        </w:tc>
      </w:tr>
      <w:tr w:rsidR="007A5D53" w14:paraId="6CA864EA" w14:textId="77777777" w:rsidTr="00EF4765">
        <w:tc>
          <w:tcPr>
            <w:tcW w:w="4361" w:type="dxa"/>
            <w:hideMark/>
          </w:tcPr>
          <w:p w14:paraId="6CA864E8" w14:textId="77777777" w:rsidR="007A5D53" w:rsidRPr="00223D9A" w:rsidRDefault="007A5D53" w:rsidP="00C0607A">
            <w:pPr>
              <w:spacing w:line="240" w:lineRule="auto"/>
              <w:rPr>
                <w:rFonts w:ascii="Arial" w:hAnsi="Arial" w:cs="Arial"/>
              </w:rPr>
            </w:pPr>
            <w:r w:rsidRPr="00223D9A">
              <w:rPr>
                <w:rFonts w:ascii="Arial" w:hAnsi="Arial" w:cs="Arial"/>
              </w:rPr>
              <w:t>Applicant and Appellant:</w:t>
            </w:r>
          </w:p>
        </w:tc>
        <w:tc>
          <w:tcPr>
            <w:tcW w:w="5245" w:type="dxa"/>
            <w:hideMark/>
          </w:tcPr>
          <w:p w14:paraId="6CA864E9" w14:textId="77777777" w:rsidR="007A5D53" w:rsidRPr="00223D9A" w:rsidRDefault="007A5D53" w:rsidP="00C0607A">
            <w:pPr>
              <w:spacing w:line="240" w:lineRule="auto"/>
              <w:rPr>
                <w:rFonts w:ascii="Arial" w:hAnsi="Arial" w:cs="Arial"/>
              </w:rPr>
            </w:pPr>
            <w:r w:rsidRPr="00223D9A">
              <w:rPr>
                <w:rFonts w:ascii="Arial" w:hAnsi="Arial" w:cs="Arial"/>
              </w:rPr>
              <w:t>Empire Communities (St. George) Ltd.</w:t>
            </w:r>
          </w:p>
        </w:tc>
      </w:tr>
      <w:tr w:rsidR="007A5D53" w14:paraId="6CA864ED" w14:textId="77777777" w:rsidTr="00EF4765">
        <w:tc>
          <w:tcPr>
            <w:tcW w:w="4361" w:type="dxa"/>
            <w:hideMark/>
          </w:tcPr>
          <w:p w14:paraId="6CA864EB" w14:textId="77777777" w:rsidR="007A5D53" w:rsidRPr="00223D9A" w:rsidRDefault="007A5D53" w:rsidP="00C0607A">
            <w:pPr>
              <w:spacing w:line="240" w:lineRule="auto"/>
              <w:rPr>
                <w:rFonts w:ascii="Arial" w:hAnsi="Arial" w:cs="Arial"/>
              </w:rPr>
            </w:pPr>
            <w:r w:rsidRPr="00223D9A">
              <w:rPr>
                <w:rFonts w:ascii="Arial" w:hAnsi="Arial" w:cs="Arial"/>
              </w:rPr>
              <w:t>Subject:</w:t>
            </w:r>
          </w:p>
        </w:tc>
        <w:tc>
          <w:tcPr>
            <w:tcW w:w="5245" w:type="dxa"/>
            <w:hideMark/>
          </w:tcPr>
          <w:p w14:paraId="6CA864EC" w14:textId="77777777" w:rsidR="007A5D53" w:rsidRPr="00223D9A" w:rsidRDefault="007A5D53" w:rsidP="00C0607A">
            <w:pPr>
              <w:spacing w:line="240" w:lineRule="auto"/>
              <w:rPr>
                <w:rFonts w:ascii="Arial" w:hAnsi="Arial" w:cs="Arial"/>
              </w:rPr>
            </w:pPr>
            <w:r w:rsidRPr="00223D9A">
              <w:rPr>
                <w:rFonts w:ascii="Arial" w:hAnsi="Arial" w:cs="Arial"/>
              </w:rPr>
              <w:t>Request to amend the Official Plan - Failure of the County of Brant to adopt the requested amendment</w:t>
            </w:r>
          </w:p>
        </w:tc>
      </w:tr>
      <w:tr w:rsidR="007A5D53" w14:paraId="6CA864F0" w14:textId="77777777" w:rsidTr="00EF4765">
        <w:tc>
          <w:tcPr>
            <w:tcW w:w="4361" w:type="dxa"/>
            <w:hideMark/>
          </w:tcPr>
          <w:p w14:paraId="6CA864EE" w14:textId="77777777" w:rsidR="007A5D53" w:rsidRPr="00223D9A" w:rsidRDefault="007A5D53" w:rsidP="00C0607A">
            <w:pPr>
              <w:spacing w:line="240" w:lineRule="auto"/>
              <w:rPr>
                <w:rFonts w:ascii="Arial" w:hAnsi="Arial" w:cs="Arial"/>
              </w:rPr>
            </w:pPr>
            <w:r w:rsidRPr="00223D9A">
              <w:rPr>
                <w:rFonts w:ascii="Arial" w:hAnsi="Arial" w:cs="Arial"/>
              </w:rPr>
              <w:t>Existing Designation:</w:t>
            </w:r>
          </w:p>
        </w:tc>
        <w:tc>
          <w:tcPr>
            <w:tcW w:w="5245" w:type="dxa"/>
            <w:hideMark/>
          </w:tcPr>
          <w:p w14:paraId="6CA864EF" w14:textId="77777777" w:rsidR="007A5D53" w:rsidRPr="00223D9A" w:rsidRDefault="007A5D53" w:rsidP="00C0607A">
            <w:pPr>
              <w:spacing w:line="240" w:lineRule="auto"/>
              <w:rPr>
                <w:rFonts w:ascii="Arial" w:hAnsi="Arial" w:cs="Arial"/>
              </w:rPr>
            </w:pPr>
            <w:r w:rsidRPr="00223D9A">
              <w:rPr>
                <w:rFonts w:ascii="Arial" w:hAnsi="Arial" w:cs="Arial"/>
              </w:rPr>
              <w:t>Agricultural (Future Growth Area)</w:t>
            </w:r>
          </w:p>
        </w:tc>
      </w:tr>
      <w:tr w:rsidR="007A5D53" w14:paraId="6CA864F3" w14:textId="77777777" w:rsidTr="00EF4765">
        <w:tc>
          <w:tcPr>
            <w:tcW w:w="4361" w:type="dxa"/>
            <w:hideMark/>
          </w:tcPr>
          <w:p w14:paraId="6CA864F1" w14:textId="77777777" w:rsidR="007A5D53" w:rsidRPr="00223D9A" w:rsidRDefault="007A5D53" w:rsidP="00C0607A">
            <w:pPr>
              <w:spacing w:line="240" w:lineRule="auto"/>
              <w:rPr>
                <w:rFonts w:ascii="Arial" w:hAnsi="Arial" w:cs="Arial"/>
              </w:rPr>
            </w:pPr>
            <w:r w:rsidRPr="00223D9A">
              <w:rPr>
                <w:rFonts w:ascii="Arial" w:hAnsi="Arial" w:cs="Arial"/>
              </w:rPr>
              <w:t xml:space="preserve">Proposed Designated: </w:t>
            </w:r>
          </w:p>
        </w:tc>
        <w:tc>
          <w:tcPr>
            <w:tcW w:w="5245" w:type="dxa"/>
            <w:hideMark/>
          </w:tcPr>
          <w:p w14:paraId="6CA864F2" w14:textId="13CFF9AE" w:rsidR="00C0607A" w:rsidRDefault="007A5D53" w:rsidP="00C0607A">
            <w:pPr>
              <w:spacing w:line="240" w:lineRule="auto"/>
              <w:rPr>
                <w:rFonts w:ascii="Arial" w:hAnsi="Arial" w:cs="Arial"/>
              </w:rPr>
            </w:pPr>
            <w:r w:rsidRPr="00223D9A">
              <w:rPr>
                <w:rFonts w:ascii="Arial" w:hAnsi="Arial" w:cs="Arial"/>
              </w:rPr>
              <w:t>General Commercial and Medium Density Residential</w:t>
            </w:r>
          </w:p>
          <w:p w14:paraId="2CAA559D" w14:textId="1DA333DD" w:rsidR="00C0607A" w:rsidRDefault="00C0607A" w:rsidP="00C0607A">
            <w:pPr>
              <w:rPr>
                <w:rFonts w:ascii="Arial" w:hAnsi="Arial" w:cs="Arial"/>
              </w:rPr>
            </w:pPr>
          </w:p>
          <w:p w14:paraId="1909783C" w14:textId="77777777" w:rsidR="007A5D53" w:rsidRPr="00C0607A" w:rsidRDefault="007A5D53" w:rsidP="00C0607A">
            <w:pPr>
              <w:rPr>
                <w:rFonts w:ascii="Arial" w:hAnsi="Arial" w:cs="Arial"/>
              </w:rPr>
            </w:pPr>
          </w:p>
        </w:tc>
      </w:tr>
      <w:tr w:rsidR="007A5D53" w14:paraId="6CA864F6" w14:textId="77777777" w:rsidTr="00EF4765">
        <w:tc>
          <w:tcPr>
            <w:tcW w:w="4361" w:type="dxa"/>
            <w:hideMark/>
          </w:tcPr>
          <w:p w14:paraId="6CA864F4" w14:textId="77777777" w:rsidR="007A5D53" w:rsidRPr="00223D9A" w:rsidRDefault="007A5D53" w:rsidP="00C0607A">
            <w:pPr>
              <w:spacing w:line="240" w:lineRule="auto"/>
              <w:rPr>
                <w:rFonts w:ascii="Arial" w:hAnsi="Arial" w:cs="Arial"/>
              </w:rPr>
            </w:pPr>
            <w:r w:rsidRPr="00223D9A">
              <w:rPr>
                <w:rFonts w:ascii="Arial" w:hAnsi="Arial" w:cs="Arial"/>
              </w:rPr>
              <w:lastRenderedPageBreak/>
              <w:t xml:space="preserve">Purpose: </w:t>
            </w:r>
          </w:p>
        </w:tc>
        <w:tc>
          <w:tcPr>
            <w:tcW w:w="5245" w:type="dxa"/>
            <w:hideMark/>
          </w:tcPr>
          <w:p w14:paraId="6CA864F5" w14:textId="77777777" w:rsidR="007A5D53" w:rsidRPr="00223D9A" w:rsidRDefault="007A5D53" w:rsidP="00C0607A">
            <w:pPr>
              <w:spacing w:line="240" w:lineRule="auto"/>
              <w:rPr>
                <w:rFonts w:ascii="Arial" w:hAnsi="Arial" w:cs="Arial"/>
              </w:rPr>
            </w:pPr>
            <w:r w:rsidRPr="00223D9A">
              <w:rPr>
                <w:rFonts w:ascii="Arial" w:hAnsi="Arial" w:cs="Arial"/>
              </w:rPr>
              <w:t>To permit the development of 900 residential units in a variety of housing forms</w:t>
            </w:r>
          </w:p>
        </w:tc>
      </w:tr>
      <w:tr w:rsidR="007A5D53" w14:paraId="6CA864F9" w14:textId="77777777" w:rsidTr="00EF4765">
        <w:tc>
          <w:tcPr>
            <w:tcW w:w="4361" w:type="dxa"/>
            <w:hideMark/>
          </w:tcPr>
          <w:p w14:paraId="6CA864F7" w14:textId="77777777" w:rsidR="007A5D53" w:rsidRPr="00223D9A" w:rsidRDefault="007A5D53" w:rsidP="00C0607A">
            <w:pPr>
              <w:spacing w:line="240" w:lineRule="auto"/>
              <w:rPr>
                <w:rFonts w:ascii="Arial" w:hAnsi="Arial" w:cs="Arial"/>
              </w:rPr>
            </w:pPr>
            <w:r w:rsidRPr="00223D9A">
              <w:rPr>
                <w:rFonts w:ascii="Arial" w:hAnsi="Arial" w:cs="Arial"/>
              </w:rPr>
              <w:t xml:space="preserve">Property Address/Description: </w:t>
            </w:r>
          </w:p>
        </w:tc>
        <w:tc>
          <w:tcPr>
            <w:tcW w:w="5245" w:type="dxa"/>
            <w:hideMark/>
          </w:tcPr>
          <w:p w14:paraId="6CA864F8" w14:textId="542B202E" w:rsidR="007A5D53" w:rsidRPr="00223D9A" w:rsidRDefault="007A5D53" w:rsidP="00C0607A">
            <w:pPr>
              <w:spacing w:line="240" w:lineRule="auto"/>
              <w:rPr>
                <w:rFonts w:ascii="Arial" w:hAnsi="Arial" w:cs="Arial"/>
              </w:rPr>
            </w:pPr>
            <w:r w:rsidRPr="00223D9A">
              <w:rPr>
                <w:rFonts w:ascii="Arial" w:hAnsi="Arial" w:cs="Arial"/>
              </w:rPr>
              <w:t xml:space="preserve">205 </w:t>
            </w:r>
            <w:r w:rsidR="00C0607A">
              <w:rPr>
                <w:rFonts w:ascii="Arial" w:hAnsi="Arial" w:cs="Arial"/>
              </w:rPr>
              <w:t>and</w:t>
            </w:r>
            <w:r w:rsidRPr="00223D9A">
              <w:rPr>
                <w:rFonts w:ascii="Arial" w:hAnsi="Arial" w:cs="Arial"/>
              </w:rPr>
              <w:t xml:space="preserve"> 209 Beverly St</w:t>
            </w:r>
            <w:r w:rsidR="00C0607A">
              <w:rPr>
                <w:rFonts w:ascii="Arial" w:hAnsi="Arial" w:cs="Arial"/>
              </w:rPr>
              <w:t>reet</w:t>
            </w:r>
            <w:r w:rsidRPr="00223D9A">
              <w:rPr>
                <w:rFonts w:ascii="Arial" w:hAnsi="Arial" w:cs="Arial"/>
              </w:rPr>
              <w:t xml:space="preserve"> W</w:t>
            </w:r>
            <w:r w:rsidR="00C0607A">
              <w:rPr>
                <w:rFonts w:ascii="Arial" w:hAnsi="Arial" w:cs="Arial"/>
              </w:rPr>
              <w:t>est</w:t>
            </w:r>
            <w:r w:rsidRPr="00223D9A">
              <w:rPr>
                <w:rFonts w:ascii="Arial" w:hAnsi="Arial" w:cs="Arial"/>
              </w:rPr>
              <w:t xml:space="preserve"> </w:t>
            </w:r>
            <w:r w:rsidR="00C0607A">
              <w:rPr>
                <w:rFonts w:ascii="Arial" w:hAnsi="Arial" w:cs="Arial"/>
              </w:rPr>
              <w:t>and</w:t>
            </w:r>
            <w:r w:rsidRPr="00223D9A">
              <w:rPr>
                <w:rFonts w:ascii="Arial" w:hAnsi="Arial" w:cs="Arial"/>
              </w:rPr>
              <w:t xml:space="preserve"> 239 </w:t>
            </w:r>
            <w:r w:rsidR="00C0607A">
              <w:rPr>
                <w:rFonts w:ascii="Arial" w:hAnsi="Arial" w:cs="Arial"/>
              </w:rPr>
              <w:t>and</w:t>
            </w:r>
            <w:r w:rsidRPr="00223D9A">
              <w:rPr>
                <w:rFonts w:ascii="Arial" w:hAnsi="Arial" w:cs="Arial"/>
              </w:rPr>
              <w:t xml:space="preserve"> 241 Highway 5</w:t>
            </w:r>
          </w:p>
        </w:tc>
      </w:tr>
      <w:tr w:rsidR="007A5D53" w14:paraId="6CA864FC" w14:textId="77777777" w:rsidTr="00EF4765">
        <w:tc>
          <w:tcPr>
            <w:tcW w:w="4361" w:type="dxa"/>
            <w:hideMark/>
          </w:tcPr>
          <w:p w14:paraId="6CA864FA" w14:textId="77777777" w:rsidR="007A5D53" w:rsidRPr="00223D9A" w:rsidRDefault="007A5D53" w:rsidP="00C0607A">
            <w:pPr>
              <w:spacing w:line="240" w:lineRule="auto"/>
              <w:rPr>
                <w:rFonts w:ascii="Arial" w:hAnsi="Arial" w:cs="Arial"/>
              </w:rPr>
            </w:pPr>
            <w:r w:rsidRPr="00223D9A">
              <w:rPr>
                <w:rFonts w:ascii="Arial" w:hAnsi="Arial" w:cs="Arial"/>
              </w:rPr>
              <w:t xml:space="preserve">Municipality: </w:t>
            </w:r>
          </w:p>
        </w:tc>
        <w:tc>
          <w:tcPr>
            <w:tcW w:w="5245" w:type="dxa"/>
            <w:hideMark/>
          </w:tcPr>
          <w:p w14:paraId="6CA864FB" w14:textId="77777777" w:rsidR="007A5D53" w:rsidRPr="00223D9A" w:rsidRDefault="007A5D53" w:rsidP="00C0607A">
            <w:pPr>
              <w:spacing w:line="240" w:lineRule="auto"/>
              <w:rPr>
                <w:rFonts w:ascii="Arial" w:hAnsi="Arial" w:cs="Arial"/>
              </w:rPr>
            </w:pPr>
            <w:r w:rsidRPr="00223D9A">
              <w:rPr>
                <w:rFonts w:ascii="Arial" w:hAnsi="Arial" w:cs="Arial"/>
              </w:rPr>
              <w:t>County of Brant</w:t>
            </w:r>
          </w:p>
        </w:tc>
      </w:tr>
      <w:tr w:rsidR="007A5D53" w14:paraId="6CA864FF" w14:textId="77777777" w:rsidTr="00EF4765">
        <w:tc>
          <w:tcPr>
            <w:tcW w:w="4361" w:type="dxa"/>
            <w:hideMark/>
          </w:tcPr>
          <w:p w14:paraId="6CA864FD" w14:textId="77777777" w:rsidR="007A5D53" w:rsidRPr="00223D9A" w:rsidRDefault="007A5D53" w:rsidP="00C0607A">
            <w:pPr>
              <w:spacing w:line="240" w:lineRule="auto"/>
              <w:rPr>
                <w:rFonts w:ascii="Arial" w:hAnsi="Arial" w:cs="Arial"/>
              </w:rPr>
            </w:pPr>
            <w:r w:rsidRPr="00223D9A">
              <w:rPr>
                <w:rFonts w:ascii="Arial" w:hAnsi="Arial" w:cs="Arial"/>
              </w:rPr>
              <w:t xml:space="preserve">Approval Authority File No.: </w:t>
            </w:r>
          </w:p>
        </w:tc>
        <w:tc>
          <w:tcPr>
            <w:tcW w:w="5245" w:type="dxa"/>
            <w:hideMark/>
          </w:tcPr>
          <w:p w14:paraId="6CA864FE" w14:textId="77777777" w:rsidR="007A5D53" w:rsidRPr="00223D9A" w:rsidRDefault="007A5D53" w:rsidP="00C0607A">
            <w:pPr>
              <w:spacing w:line="240" w:lineRule="auto"/>
              <w:rPr>
                <w:rFonts w:ascii="Arial" w:hAnsi="Arial" w:cs="Arial"/>
              </w:rPr>
            </w:pPr>
            <w:r w:rsidRPr="00223D9A">
              <w:rPr>
                <w:rFonts w:ascii="Arial" w:hAnsi="Arial" w:cs="Arial"/>
              </w:rPr>
              <w:t>OPA-B08</w:t>
            </w:r>
          </w:p>
        </w:tc>
      </w:tr>
      <w:tr w:rsidR="007A5D53" w14:paraId="6CA86502" w14:textId="77777777" w:rsidTr="00EF4765">
        <w:tc>
          <w:tcPr>
            <w:tcW w:w="4361" w:type="dxa"/>
            <w:hideMark/>
          </w:tcPr>
          <w:p w14:paraId="6CA86500" w14:textId="77777777" w:rsidR="007A5D53" w:rsidRPr="00223D9A" w:rsidRDefault="007A5D53" w:rsidP="00C0607A">
            <w:pPr>
              <w:spacing w:line="240" w:lineRule="auto"/>
              <w:rPr>
                <w:rFonts w:ascii="Arial" w:hAnsi="Arial" w:cs="Arial"/>
              </w:rPr>
            </w:pPr>
            <w:r w:rsidRPr="00223D9A">
              <w:rPr>
                <w:rFonts w:ascii="Arial" w:hAnsi="Arial" w:cs="Arial"/>
              </w:rPr>
              <w:t xml:space="preserve">OMB Case No.: </w:t>
            </w:r>
          </w:p>
        </w:tc>
        <w:tc>
          <w:tcPr>
            <w:tcW w:w="5245" w:type="dxa"/>
            <w:hideMark/>
          </w:tcPr>
          <w:p w14:paraId="6CA86501" w14:textId="77777777" w:rsidR="007A5D53" w:rsidRPr="00223D9A" w:rsidRDefault="007A5D53" w:rsidP="00C0607A">
            <w:pPr>
              <w:spacing w:line="240" w:lineRule="auto"/>
              <w:rPr>
                <w:rFonts w:ascii="Arial" w:hAnsi="Arial" w:cs="Arial"/>
              </w:rPr>
            </w:pPr>
            <w:r w:rsidRPr="00223D9A">
              <w:rPr>
                <w:rFonts w:ascii="Arial" w:hAnsi="Arial" w:cs="Arial"/>
              </w:rPr>
              <w:t>PL161164</w:t>
            </w:r>
            <w:bookmarkStart w:id="1" w:name="_GoBack"/>
            <w:bookmarkEnd w:id="1"/>
          </w:p>
        </w:tc>
      </w:tr>
      <w:tr w:rsidR="007A5D53" w14:paraId="6CA86505" w14:textId="77777777" w:rsidTr="00EF4765">
        <w:tc>
          <w:tcPr>
            <w:tcW w:w="4361" w:type="dxa"/>
            <w:hideMark/>
          </w:tcPr>
          <w:p w14:paraId="6CA86503" w14:textId="77777777" w:rsidR="007A5D53" w:rsidRPr="00223D9A" w:rsidRDefault="007A5D53" w:rsidP="00C0607A">
            <w:pPr>
              <w:spacing w:line="240" w:lineRule="auto"/>
              <w:rPr>
                <w:rFonts w:ascii="Arial" w:hAnsi="Arial" w:cs="Arial"/>
              </w:rPr>
            </w:pPr>
            <w:r w:rsidRPr="00223D9A">
              <w:rPr>
                <w:rFonts w:ascii="Arial" w:hAnsi="Arial" w:cs="Arial"/>
              </w:rPr>
              <w:t xml:space="preserve">OMB File No.: </w:t>
            </w:r>
          </w:p>
        </w:tc>
        <w:tc>
          <w:tcPr>
            <w:tcW w:w="5245" w:type="dxa"/>
            <w:hideMark/>
          </w:tcPr>
          <w:p w14:paraId="6CA86504" w14:textId="77777777" w:rsidR="007A5D53" w:rsidRPr="00223D9A" w:rsidRDefault="007A5D53" w:rsidP="00C0607A">
            <w:pPr>
              <w:spacing w:line="240" w:lineRule="auto"/>
              <w:rPr>
                <w:rFonts w:ascii="Arial" w:hAnsi="Arial" w:cs="Arial"/>
              </w:rPr>
            </w:pPr>
            <w:r w:rsidRPr="00223D9A">
              <w:rPr>
                <w:rFonts w:ascii="Arial" w:hAnsi="Arial" w:cs="Arial"/>
              </w:rPr>
              <w:t>PL161164</w:t>
            </w:r>
          </w:p>
        </w:tc>
      </w:tr>
      <w:tr w:rsidR="007A5D53" w14:paraId="6CA86508" w14:textId="77777777" w:rsidTr="00EF4765">
        <w:tc>
          <w:tcPr>
            <w:tcW w:w="4361" w:type="dxa"/>
            <w:hideMark/>
          </w:tcPr>
          <w:p w14:paraId="6CA86506" w14:textId="77777777" w:rsidR="007A5D53" w:rsidRPr="00223D9A" w:rsidRDefault="007A5D53" w:rsidP="00C0607A">
            <w:pPr>
              <w:spacing w:line="240" w:lineRule="auto"/>
              <w:rPr>
                <w:rFonts w:ascii="Arial" w:hAnsi="Arial" w:cs="Arial"/>
              </w:rPr>
            </w:pPr>
            <w:r w:rsidRPr="00223D9A">
              <w:rPr>
                <w:rFonts w:ascii="Arial" w:hAnsi="Arial" w:cs="Arial"/>
              </w:rPr>
              <w:t xml:space="preserve">OMB Case Name: </w:t>
            </w:r>
          </w:p>
        </w:tc>
        <w:tc>
          <w:tcPr>
            <w:tcW w:w="5245" w:type="dxa"/>
            <w:hideMark/>
          </w:tcPr>
          <w:p w14:paraId="6CA86507" w14:textId="77777777" w:rsidR="007A5D53" w:rsidRPr="00223D9A" w:rsidRDefault="007A5D53" w:rsidP="00C0607A">
            <w:pPr>
              <w:spacing w:line="240" w:lineRule="auto"/>
              <w:rPr>
                <w:rFonts w:ascii="Arial" w:hAnsi="Arial" w:cs="Arial"/>
              </w:rPr>
            </w:pPr>
            <w:r w:rsidRPr="00223D9A">
              <w:rPr>
                <w:rFonts w:ascii="Arial" w:hAnsi="Arial" w:cs="Arial"/>
              </w:rPr>
              <w:t>Empire Communities (St. George) Ltd. v. Brant (County)</w:t>
            </w:r>
          </w:p>
        </w:tc>
      </w:tr>
    </w:tbl>
    <w:p w14:paraId="6CA86509" w14:textId="77777777" w:rsidR="007A5D53" w:rsidRPr="00223D9A" w:rsidRDefault="007A5D53" w:rsidP="00C0607A">
      <w:pPr>
        <w:spacing w:line="240" w:lineRule="auto"/>
        <w:rPr>
          <w:rFonts w:ascii="Arial" w:hAnsi="Arial" w:cs="Arial"/>
        </w:rPr>
      </w:pPr>
    </w:p>
    <w:p w14:paraId="6CA8650A" w14:textId="77777777" w:rsidR="007A5D53" w:rsidRPr="00223D9A" w:rsidRDefault="007A5D53" w:rsidP="00C0607A">
      <w:pPr>
        <w:spacing w:line="240" w:lineRule="auto"/>
        <w:rPr>
          <w:rFonts w:ascii="Arial" w:hAnsi="Arial" w:cs="Arial"/>
        </w:rPr>
      </w:pPr>
    </w:p>
    <w:tbl>
      <w:tblPr>
        <w:tblW w:w="9606" w:type="dxa"/>
        <w:tblLook w:val="04A0" w:firstRow="1" w:lastRow="0" w:firstColumn="1" w:lastColumn="0" w:noHBand="0" w:noVBand="1"/>
      </w:tblPr>
      <w:tblGrid>
        <w:gridCol w:w="4361"/>
        <w:gridCol w:w="5245"/>
      </w:tblGrid>
      <w:tr w:rsidR="007A5D53" w14:paraId="6CA8650C" w14:textId="77777777" w:rsidTr="00EF4765">
        <w:trPr>
          <w:cantSplit/>
          <w:trHeight w:val="732"/>
        </w:trPr>
        <w:tc>
          <w:tcPr>
            <w:tcW w:w="9606" w:type="dxa"/>
            <w:gridSpan w:val="2"/>
            <w:hideMark/>
          </w:tcPr>
          <w:p w14:paraId="6CA8650B" w14:textId="77777777" w:rsidR="007A5D53" w:rsidRPr="00223D9A" w:rsidRDefault="007A5D53" w:rsidP="00C0607A">
            <w:pPr>
              <w:spacing w:line="240" w:lineRule="auto"/>
              <w:rPr>
                <w:rFonts w:ascii="Arial" w:hAnsi="Arial" w:cs="Arial"/>
              </w:rPr>
            </w:pPr>
            <w:r w:rsidRPr="00223D9A">
              <w:rPr>
                <w:rFonts w:ascii="Arial" w:hAnsi="Arial" w:cs="Arial"/>
                <w:b/>
              </w:rPr>
              <w:t xml:space="preserve">PROCEEDING COMMENCED UNDER </w:t>
            </w:r>
            <w:r w:rsidRPr="00223D9A">
              <w:rPr>
                <w:rFonts w:ascii="Arial" w:hAnsi="Arial" w:cs="Arial"/>
              </w:rPr>
              <w:t xml:space="preserve">subsection 34(11) of the </w:t>
            </w:r>
            <w:r w:rsidRPr="00223D9A">
              <w:rPr>
                <w:rFonts w:ascii="Arial" w:hAnsi="Arial" w:cs="Arial"/>
                <w:i/>
              </w:rPr>
              <w:t>Planning Act</w:t>
            </w:r>
            <w:r w:rsidRPr="00223D9A">
              <w:rPr>
                <w:rFonts w:ascii="Arial" w:hAnsi="Arial" w:cs="Arial"/>
              </w:rPr>
              <w:t>, R.S.O. 1990, c. P.13, as amended</w:t>
            </w:r>
          </w:p>
        </w:tc>
      </w:tr>
      <w:tr w:rsidR="007A5D53" w14:paraId="6CA8650F" w14:textId="77777777" w:rsidTr="00EF4765">
        <w:tc>
          <w:tcPr>
            <w:tcW w:w="4361" w:type="dxa"/>
            <w:hideMark/>
          </w:tcPr>
          <w:p w14:paraId="6CA8650D" w14:textId="77777777" w:rsidR="007A5D53" w:rsidRPr="00223D9A" w:rsidRDefault="007A5D53" w:rsidP="00C0607A">
            <w:pPr>
              <w:spacing w:line="240" w:lineRule="auto"/>
              <w:rPr>
                <w:rFonts w:ascii="Arial" w:hAnsi="Arial" w:cs="Arial"/>
              </w:rPr>
            </w:pPr>
            <w:r w:rsidRPr="00223D9A">
              <w:rPr>
                <w:rFonts w:ascii="Arial" w:hAnsi="Arial" w:cs="Arial"/>
              </w:rPr>
              <w:t>Applicant and Appellant:</w:t>
            </w:r>
          </w:p>
        </w:tc>
        <w:tc>
          <w:tcPr>
            <w:tcW w:w="5245" w:type="dxa"/>
            <w:hideMark/>
          </w:tcPr>
          <w:p w14:paraId="6CA8650E" w14:textId="77777777" w:rsidR="007A5D53" w:rsidRPr="00223D9A" w:rsidRDefault="007A5D53" w:rsidP="00C0607A">
            <w:pPr>
              <w:spacing w:line="240" w:lineRule="auto"/>
              <w:rPr>
                <w:rFonts w:ascii="Arial" w:hAnsi="Arial" w:cs="Arial"/>
              </w:rPr>
            </w:pPr>
            <w:r w:rsidRPr="00223D9A">
              <w:rPr>
                <w:rFonts w:ascii="Arial" w:hAnsi="Arial" w:cs="Arial"/>
              </w:rPr>
              <w:t>Empire Communities (St. George) Ltd.</w:t>
            </w:r>
          </w:p>
        </w:tc>
      </w:tr>
      <w:tr w:rsidR="007A5D53" w14:paraId="6CA86512" w14:textId="77777777" w:rsidTr="00EF4765">
        <w:tc>
          <w:tcPr>
            <w:tcW w:w="4361" w:type="dxa"/>
            <w:hideMark/>
          </w:tcPr>
          <w:p w14:paraId="6CA86510" w14:textId="77777777" w:rsidR="007A5D53" w:rsidRPr="00223D9A" w:rsidRDefault="007A5D53" w:rsidP="00C0607A">
            <w:pPr>
              <w:spacing w:line="240" w:lineRule="auto"/>
              <w:rPr>
                <w:rFonts w:ascii="Arial" w:hAnsi="Arial" w:cs="Arial"/>
              </w:rPr>
            </w:pPr>
            <w:r w:rsidRPr="00223D9A">
              <w:rPr>
                <w:rFonts w:ascii="Arial" w:hAnsi="Arial" w:cs="Arial"/>
              </w:rPr>
              <w:t>Subject:</w:t>
            </w:r>
          </w:p>
        </w:tc>
        <w:tc>
          <w:tcPr>
            <w:tcW w:w="5245" w:type="dxa"/>
            <w:hideMark/>
          </w:tcPr>
          <w:p w14:paraId="6CA86511" w14:textId="77777777" w:rsidR="007A5D53" w:rsidRPr="00223D9A" w:rsidRDefault="007A5D53" w:rsidP="00C0607A">
            <w:pPr>
              <w:spacing w:line="240" w:lineRule="auto"/>
              <w:rPr>
                <w:rFonts w:ascii="Arial" w:hAnsi="Arial" w:cs="Arial"/>
              </w:rPr>
            </w:pPr>
            <w:r w:rsidRPr="00223D9A">
              <w:rPr>
                <w:rFonts w:ascii="Arial" w:hAnsi="Arial" w:cs="Arial"/>
              </w:rPr>
              <w:t>Application to amend Zoning By-law No. 110-01 - Neglect of the County of Brant to make a decision</w:t>
            </w:r>
          </w:p>
        </w:tc>
      </w:tr>
      <w:tr w:rsidR="007A5D53" w14:paraId="6CA86515" w14:textId="77777777" w:rsidTr="00EF4765">
        <w:tc>
          <w:tcPr>
            <w:tcW w:w="4361" w:type="dxa"/>
            <w:hideMark/>
          </w:tcPr>
          <w:p w14:paraId="6CA86513" w14:textId="77777777" w:rsidR="007A5D53" w:rsidRPr="00223D9A" w:rsidRDefault="007A5D53" w:rsidP="00C0607A">
            <w:pPr>
              <w:spacing w:line="240" w:lineRule="auto"/>
              <w:rPr>
                <w:rFonts w:ascii="Arial" w:hAnsi="Arial" w:cs="Arial"/>
              </w:rPr>
            </w:pPr>
            <w:r w:rsidRPr="00223D9A">
              <w:rPr>
                <w:rFonts w:ascii="Arial" w:hAnsi="Arial" w:cs="Arial"/>
              </w:rPr>
              <w:t>Existing Zoning:</w:t>
            </w:r>
          </w:p>
        </w:tc>
        <w:tc>
          <w:tcPr>
            <w:tcW w:w="5245" w:type="dxa"/>
            <w:hideMark/>
          </w:tcPr>
          <w:p w14:paraId="6CA86514" w14:textId="77777777" w:rsidR="007A5D53" w:rsidRPr="00223D9A" w:rsidRDefault="007A5D53" w:rsidP="00C0607A">
            <w:pPr>
              <w:spacing w:line="240" w:lineRule="auto"/>
              <w:rPr>
                <w:rFonts w:ascii="Arial" w:hAnsi="Arial" w:cs="Arial"/>
              </w:rPr>
            </w:pPr>
            <w:r w:rsidRPr="00223D9A">
              <w:rPr>
                <w:rFonts w:ascii="Arial" w:hAnsi="Arial" w:cs="Arial"/>
              </w:rPr>
              <w:t>Agricultural Restrictive</w:t>
            </w:r>
          </w:p>
        </w:tc>
      </w:tr>
      <w:tr w:rsidR="007A5D53" w14:paraId="6CA86518" w14:textId="77777777" w:rsidTr="00EF4765">
        <w:tc>
          <w:tcPr>
            <w:tcW w:w="4361" w:type="dxa"/>
            <w:hideMark/>
          </w:tcPr>
          <w:p w14:paraId="6CA86516" w14:textId="77777777" w:rsidR="007A5D53" w:rsidRPr="00223D9A" w:rsidRDefault="007A5D53" w:rsidP="00C0607A">
            <w:pPr>
              <w:spacing w:line="240" w:lineRule="auto"/>
              <w:rPr>
                <w:rFonts w:ascii="Arial" w:hAnsi="Arial" w:cs="Arial"/>
              </w:rPr>
            </w:pPr>
            <w:r w:rsidRPr="00223D9A">
              <w:rPr>
                <w:rFonts w:ascii="Arial" w:hAnsi="Arial" w:cs="Arial"/>
              </w:rPr>
              <w:t xml:space="preserve">Proposed Zoning: </w:t>
            </w:r>
          </w:p>
        </w:tc>
        <w:tc>
          <w:tcPr>
            <w:tcW w:w="5245" w:type="dxa"/>
            <w:hideMark/>
          </w:tcPr>
          <w:p w14:paraId="6CA86517" w14:textId="77777777" w:rsidR="007A5D53" w:rsidRPr="00223D9A" w:rsidRDefault="007A5D53" w:rsidP="00C0607A">
            <w:pPr>
              <w:spacing w:line="240" w:lineRule="auto"/>
              <w:rPr>
                <w:rFonts w:ascii="Arial" w:hAnsi="Arial" w:cs="Arial"/>
              </w:rPr>
            </w:pPr>
            <w:r w:rsidRPr="00223D9A">
              <w:rPr>
                <w:rFonts w:ascii="Arial" w:hAnsi="Arial" w:cs="Arial"/>
              </w:rPr>
              <w:t>Site specific to permit proposed development</w:t>
            </w:r>
          </w:p>
        </w:tc>
      </w:tr>
      <w:tr w:rsidR="007A5D53" w14:paraId="6CA8651B" w14:textId="77777777" w:rsidTr="00EF4765">
        <w:tc>
          <w:tcPr>
            <w:tcW w:w="4361" w:type="dxa"/>
            <w:hideMark/>
          </w:tcPr>
          <w:p w14:paraId="6CA86519" w14:textId="77777777" w:rsidR="007A5D53" w:rsidRPr="00223D9A" w:rsidRDefault="007A5D53" w:rsidP="00C0607A">
            <w:pPr>
              <w:spacing w:line="240" w:lineRule="auto"/>
              <w:rPr>
                <w:rFonts w:ascii="Arial" w:hAnsi="Arial" w:cs="Arial"/>
              </w:rPr>
            </w:pPr>
            <w:r w:rsidRPr="00223D9A">
              <w:rPr>
                <w:rFonts w:ascii="Arial" w:hAnsi="Arial" w:cs="Arial"/>
              </w:rPr>
              <w:t xml:space="preserve">Purpose: </w:t>
            </w:r>
          </w:p>
        </w:tc>
        <w:tc>
          <w:tcPr>
            <w:tcW w:w="5245" w:type="dxa"/>
            <w:hideMark/>
          </w:tcPr>
          <w:p w14:paraId="6CA8651A" w14:textId="77777777" w:rsidR="007A5D53" w:rsidRPr="00223D9A" w:rsidRDefault="007A5D53" w:rsidP="00C0607A">
            <w:pPr>
              <w:spacing w:line="240" w:lineRule="auto"/>
              <w:rPr>
                <w:rFonts w:ascii="Arial" w:hAnsi="Arial" w:cs="Arial"/>
              </w:rPr>
            </w:pPr>
            <w:r w:rsidRPr="00223D9A">
              <w:rPr>
                <w:rFonts w:ascii="Arial" w:hAnsi="Arial" w:cs="Arial"/>
              </w:rPr>
              <w:t>To permit the development of 900 residential units in a variety of housing forms</w:t>
            </w:r>
          </w:p>
        </w:tc>
      </w:tr>
      <w:tr w:rsidR="007A5D53" w14:paraId="6CA8651E" w14:textId="77777777" w:rsidTr="00EF4765">
        <w:tc>
          <w:tcPr>
            <w:tcW w:w="4361" w:type="dxa"/>
            <w:hideMark/>
          </w:tcPr>
          <w:p w14:paraId="6CA8651C" w14:textId="77777777" w:rsidR="007A5D53" w:rsidRPr="00223D9A" w:rsidRDefault="007A5D53" w:rsidP="00C0607A">
            <w:pPr>
              <w:spacing w:line="240" w:lineRule="auto"/>
              <w:rPr>
                <w:rFonts w:ascii="Arial" w:hAnsi="Arial" w:cs="Arial"/>
              </w:rPr>
            </w:pPr>
            <w:r w:rsidRPr="00223D9A">
              <w:rPr>
                <w:rFonts w:ascii="Arial" w:hAnsi="Arial" w:cs="Arial"/>
              </w:rPr>
              <w:t xml:space="preserve">Property Address/Description: </w:t>
            </w:r>
          </w:p>
        </w:tc>
        <w:tc>
          <w:tcPr>
            <w:tcW w:w="5245" w:type="dxa"/>
            <w:hideMark/>
          </w:tcPr>
          <w:p w14:paraId="6CA8651D" w14:textId="48362045" w:rsidR="007A5D53" w:rsidRPr="00223D9A" w:rsidRDefault="007A5D53" w:rsidP="00C0607A">
            <w:pPr>
              <w:spacing w:line="240" w:lineRule="auto"/>
              <w:rPr>
                <w:rFonts w:ascii="Arial" w:hAnsi="Arial" w:cs="Arial"/>
              </w:rPr>
            </w:pPr>
            <w:r w:rsidRPr="00223D9A">
              <w:rPr>
                <w:rFonts w:ascii="Arial" w:hAnsi="Arial" w:cs="Arial"/>
              </w:rPr>
              <w:t xml:space="preserve">205 </w:t>
            </w:r>
            <w:r w:rsidR="00C0607A">
              <w:rPr>
                <w:rFonts w:ascii="Arial" w:hAnsi="Arial" w:cs="Arial"/>
              </w:rPr>
              <w:t>and</w:t>
            </w:r>
            <w:r w:rsidRPr="00223D9A">
              <w:rPr>
                <w:rFonts w:ascii="Arial" w:hAnsi="Arial" w:cs="Arial"/>
              </w:rPr>
              <w:t xml:space="preserve"> 209 Beverly St</w:t>
            </w:r>
            <w:r w:rsidR="00C0607A">
              <w:rPr>
                <w:rFonts w:ascii="Arial" w:hAnsi="Arial" w:cs="Arial"/>
              </w:rPr>
              <w:t>reet</w:t>
            </w:r>
            <w:r w:rsidRPr="00223D9A">
              <w:rPr>
                <w:rFonts w:ascii="Arial" w:hAnsi="Arial" w:cs="Arial"/>
              </w:rPr>
              <w:t xml:space="preserve"> W</w:t>
            </w:r>
            <w:r w:rsidR="00C0607A">
              <w:rPr>
                <w:rFonts w:ascii="Arial" w:hAnsi="Arial" w:cs="Arial"/>
              </w:rPr>
              <w:t>est</w:t>
            </w:r>
            <w:r w:rsidRPr="00223D9A">
              <w:rPr>
                <w:rFonts w:ascii="Arial" w:hAnsi="Arial" w:cs="Arial"/>
              </w:rPr>
              <w:t xml:space="preserve"> </w:t>
            </w:r>
            <w:r w:rsidR="00C0607A">
              <w:rPr>
                <w:rFonts w:ascii="Arial" w:hAnsi="Arial" w:cs="Arial"/>
              </w:rPr>
              <w:t>and</w:t>
            </w:r>
            <w:r w:rsidRPr="00223D9A">
              <w:rPr>
                <w:rFonts w:ascii="Arial" w:hAnsi="Arial" w:cs="Arial"/>
              </w:rPr>
              <w:t xml:space="preserve"> 239 </w:t>
            </w:r>
            <w:r w:rsidR="00C0607A">
              <w:rPr>
                <w:rFonts w:ascii="Arial" w:hAnsi="Arial" w:cs="Arial"/>
              </w:rPr>
              <w:t>and</w:t>
            </w:r>
            <w:r w:rsidRPr="00223D9A">
              <w:rPr>
                <w:rFonts w:ascii="Arial" w:hAnsi="Arial" w:cs="Arial"/>
              </w:rPr>
              <w:t xml:space="preserve"> 241 Highway 5</w:t>
            </w:r>
          </w:p>
        </w:tc>
      </w:tr>
      <w:tr w:rsidR="007A5D53" w14:paraId="6CA86521" w14:textId="77777777" w:rsidTr="00EF4765">
        <w:tc>
          <w:tcPr>
            <w:tcW w:w="4361" w:type="dxa"/>
            <w:hideMark/>
          </w:tcPr>
          <w:p w14:paraId="6CA8651F" w14:textId="77777777" w:rsidR="007A5D53" w:rsidRPr="00223D9A" w:rsidRDefault="007A5D53" w:rsidP="00C0607A">
            <w:pPr>
              <w:spacing w:line="240" w:lineRule="auto"/>
              <w:rPr>
                <w:rFonts w:ascii="Arial" w:hAnsi="Arial" w:cs="Arial"/>
              </w:rPr>
            </w:pPr>
            <w:r w:rsidRPr="00223D9A">
              <w:rPr>
                <w:rFonts w:ascii="Arial" w:hAnsi="Arial" w:cs="Arial"/>
              </w:rPr>
              <w:t xml:space="preserve">Municipality: </w:t>
            </w:r>
          </w:p>
        </w:tc>
        <w:tc>
          <w:tcPr>
            <w:tcW w:w="5245" w:type="dxa"/>
            <w:hideMark/>
          </w:tcPr>
          <w:p w14:paraId="6CA86520" w14:textId="77777777" w:rsidR="007A5D53" w:rsidRPr="00223D9A" w:rsidRDefault="007A5D53" w:rsidP="00C0607A">
            <w:pPr>
              <w:spacing w:line="240" w:lineRule="auto"/>
              <w:rPr>
                <w:rFonts w:ascii="Arial" w:hAnsi="Arial" w:cs="Arial"/>
              </w:rPr>
            </w:pPr>
            <w:r w:rsidRPr="00223D9A">
              <w:rPr>
                <w:rFonts w:ascii="Arial" w:hAnsi="Arial" w:cs="Arial"/>
              </w:rPr>
              <w:t>County of Brant</w:t>
            </w:r>
          </w:p>
        </w:tc>
      </w:tr>
      <w:tr w:rsidR="007A5D53" w14:paraId="6CA86524" w14:textId="77777777" w:rsidTr="00EF4765">
        <w:tc>
          <w:tcPr>
            <w:tcW w:w="4361" w:type="dxa"/>
            <w:hideMark/>
          </w:tcPr>
          <w:p w14:paraId="6CA86522" w14:textId="77777777" w:rsidR="007A5D53" w:rsidRPr="00223D9A" w:rsidRDefault="007A5D53" w:rsidP="00C0607A">
            <w:pPr>
              <w:spacing w:line="240" w:lineRule="auto"/>
              <w:rPr>
                <w:rFonts w:ascii="Arial" w:hAnsi="Arial" w:cs="Arial"/>
              </w:rPr>
            </w:pPr>
            <w:r w:rsidRPr="00223D9A">
              <w:rPr>
                <w:rFonts w:ascii="Arial" w:hAnsi="Arial" w:cs="Arial"/>
              </w:rPr>
              <w:t xml:space="preserve">Municipality File No.: </w:t>
            </w:r>
          </w:p>
        </w:tc>
        <w:tc>
          <w:tcPr>
            <w:tcW w:w="5245" w:type="dxa"/>
            <w:hideMark/>
          </w:tcPr>
          <w:p w14:paraId="6CA86523" w14:textId="77777777" w:rsidR="007A5D53" w:rsidRPr="00223D9A" w:rsidRDefault="007A5D53" w:rsidP="00C0607A">
            <w:pPr>
              <w:spacing w:line="240" w:lineRule="auto"/>
              <w:rPr>
                <w:rFonts w:ascii="Arial" w:hAnsi="Arial" w:cs="Arial"/>
              </w:rPr>
            </w:pPr>
            <w:r w:rsidRPr="00223D9A">
              <w:rPr>
                <w:rFonts w:ascii="Arial" w:hAnsi="Arial" w:cs="Arial"/>
              </w:rPr>
              <w:t>ZBA10/08/RA</w:t>
            </w:r>
          </w:p>
        </w:tc>
      </w:tr>
      <w:tr w:rsidR="007A5D53" w14:paraId="6CA86527" w14:textId="77777777" w:rsidTr="00EF4765">
        <w:tc>
          <w:tcPr>
            <w:tcW w:w="4361" w:type="dxa"/>
            <w:hideMark/>
          </w:tcPr>
          <w:p w14:paraId="6CA86525" w14:textId="77777777" w:rsidR="007A5D53" w:rsidRPr="00223D9A" w:rsidRDefault="007A5D53" w:rsidP="00C0607A">
            <w:pPr>
              <w:spacing w:line="240" w:lineRule="auto"/>
              <w:rPr>
                <w:rFonts w:ascii="Arial" w:hAnsi="Arial" w:cs="Arial"/>
              </w:rPr>
            </w:pPr>
            <w:r w:rsidRPr="00223D9A">
              <w:rPr>
                <w:rFonts w:ascii="Arial" w:hAnsi="Arial" w:cs="Arial"/>
              </w:rPr>
              <w:t xml:space="preserve">OMB Case No.: </w:t>
            </w:r>
          </w:p>
        </w:tc>
        <w:tc>
          <w:tcPr>
            <w:tcW w:w="5245" w:type="dxa"/>
            <w:hideMark/>
          </w:tcPr>
          <w:p w14:paraId="6CA86526" w14:textId="77777777" w:rsidR="007A5D53" w:rsidRPr="00223D9A" w:rsidRDefault="007A5D53" w:rsidP="00C0607A">
            <w:pPr>
              <w:spacing w:line="240" w:lineRule="auto"/>
              <w:rPr>
                <w:rFonts w:ascii="Arial" w:hAnsi="Arial" w:cs="Arial"/>
              </w:rPr>
            </w:pPr>
            <w:r w:rsidRPr="00223D9A">
              <w:rPr>
                <w:rFonts w:ascii="Arial" w:hAnsi="Arial" w:cs="Arial"/>
              </w:rPr>
              <w:t>PL161164</w:t>
            </w:r>
          </w:p>
        </w:tc>
      </w:tr>
      <w:tr w:rsidR="007A5D53" w14:paraId="6CA8652A" w14:textId="77777777" w:rsidTr="00EF4765">
        <w:tc>
          <w:tcPr>
            <w:tcW w:w="4361" w:type="dxa"/>
            <w:hideMark/>
          </w:tcPr>
          <w:p w14:paraId="6CA86528" w14:textId="77777777" w:rsidR="007A5D53" w:rsidRPr="00223D9A" w:rsidRDefault="007A5D53" w:rsidP="00C0607A">
            <w:pPr>
              <w:spacing w:line="240" w:lineRule="auto"/>
              <w:rPr>
                <w:rFonts w:ascii="Arial" w:hAnsi="Arial" w:cs="Arial"/>
              </w:rPr>
            </w:pPr>
            <w:r w:rsidRPr="00223D9A">
              <w:rPr>
                <w:rFonts w:ascii="Arial" w:hAnsi="Arial" w:cs="Arial"/>
              </w:rPr>
              <w:t xml:space="preserve">OMB File No.: </w:t>
            </w:r>
          </w:p>
        </w:tc>
        <w:tc>
          <w:tcPr>
            <w:tcW w:w="5245" w:type="dxa"/>
            <w:hideMark/>
          </w:tcPr>
          <w:p w14:paraId="6CA86529" w14:textId="77777777" w:rsidR="007A5D53" w:rsidRPr="00223D9A" w:rsidRDefault="007A5D53" w:rsidP="00C0607A">
            <w:pPr>
              <w:spacing w:line="240" w:lineRule="auto"/>
              <w:rPr>
                <w:rFonts w:ascii="Arial" w:hAnsi="Arial" w:cs="Arial"/>
              </w:rPr>
            </w:pPr>
            <w:r w:rsidRPr="00223D9A">
              <w:rPr>
                <w:rFonts w:ascii="Arial" w:hAnsi="Arial" w:cs="Arial"/>
              </w:rPr>
              <w:t>PL161165</w:t>
            </w:r>
          </w:p>
        </w:tc>
      </w:tr>
    </w:tbl>
    <w:p w14:paraId="6CA8652B" w14:textId="77777777" w:rsidR="007A5D53" w:rsidRPr="00223D9A" w:rsidRDefault="007A5D53" w:rsidP="00C0607A">
      <w:pPr>
        <w:spacing w:line="240" w:lineRule="auto"/>
        <w:rPr>
          <w:rFonts w:ascii="Arial" w:hAnsi="Arial" w:cs="Arial"/>
        </w:rPr>
      </w:pPr>
    </w:p>
    <w:p w14:paraId="6CA8652C" w14:textId="77777777" w:rsidR="007A5D53" w:rsidRPr="00223D9A" w:rsidRDefault="007A5D53" w:rsidP="00C0607A">
      <w:pPr>
        <w:spacing w:line="240" w:lineRule="auto"/>
        <w:rPr>
          <w:rFonts w:ascii="Arial" w:hAnsi="Arial" w:cs="Arial"/>
        </w:rPr>
      </w:pPr>
    </w:p>
    <w:tbl>
      <w:tblPr>
        <w:tblW w:w="9606" w:type="dxa"/>
        <w:tblLook w:val="04A0" w:firstRow="1" w:lastRow="0" w:firstColumn="1" w:lastColumn="0" w:noHBand="0" w:noVBand="1"/>
      </w:tblPr>
      <w:tblGrid>
        <w:gridCol w:w="4361"/>
        <w:gridCol w:w="5245"/>
      </w:tblGrid>
      <w:tr w:rsidR="007A5D53" w14:paraId="6CA8652E" w14:textId="77777777" w:rsidTr="00EF4765">
        <w:trPr>
          <w:cantSplit/>
          <w:trHeight w:val="732"/>
        </w:trPr>
        <w:tc>
          <w:tcPr>
            <w:tcW w:w="9606" w:type="dxa"/>
            <w:gridSpan w:val="2"/>
            <w:hideMark/>
          </w:tcPr>
          <w:p w14:paraId="6CA8652D" w14:textId="77777777" w:rsidR="007A5D53" w:rsidRPr="00223D9A" w:rsidRDefault="007A5D53" w:rsidP="00C0607A">
            <w:pPr>
              <w:spacing w:line="240" w:lineRule="auto"/>
              <w:rPr>
                <w:rFonts w:ascii="Arial" w:hAnsi="Arial" w:cs="Arial"/>
              </w:rPr>
            </w:pPr>
            <w:r w:rsidRPr="00223D9A">
              <w:rPr>
                <w:rFonts w:ascii="Arial" w:hAnsi="Arial" w:cs="Arial"/>
                <w:b/>
              </w:rPr>
              <w:t xml:space="preserve">PROCEEDING COMMENCED UNDER </w:t>
            </w:r>
            <w:r w:rsidRPr="00223D9A">
              <w:rPr>
                <w:rFonts w:ascii="Arial" w:hAnsi="Arial" w:cs="Arial"/>
              </w:rPr>
              <w:t xml:space="preserve">subsection 51(34) of the </w:t>
            </w:r>
            <w:r w:rsidRPr="00223D9A">
              <w:rPr>
                <w:rFonts w:ascii="Arial" w:hAnsi="Arial" w:cs="Arial"/>
                <w:i/>
              </w:rPr>
              <w:t>Planning Act</w:t>
            </w:r>
            <w:r w:rsidRPr="00223D9A">
              <w:rPr>
                <w:rFonts w:ascii="Arial" w:hAnsi="Arial" w:cs="Arial"/>
              </w:rPr>
              <w:t>, R.S.O. 1990, c. P.13, as amended</w:t>
            </w:r>
          </w:p>
        </w:tc>
      </w:tr>
      <w:tr w:rsidR="007A5D53" w14:paraId="6CA86531" w14:textId="77777777" w:rsidTr="00EF4765">
        <w:tc>
          <w:tcPr>
            <w:tcW w:w="4361" w:type="dxa"/>
            <w:hideMark/>
          </w:tcPr>
          <w:p w14:paraId="6CA8652F" w14:textId="77777777" w:rsidR="007A5D53" w:rsidRPr="00223D9A" w:rsidRDefault="007A5D53" w:rsidP="00C0607A">
            <w:pPr>
              <w:spacing w:line="240" w:lineRule="auto"/>
              <w:rPr>
                <w:rFonts w:ascii="Arial" w:hAnsi="Arial" w:cs="Arial"/>
              </w:rPr>
            </w:pPr>
            <w:r w:rsidRPr="00223D9A">
              <w:rPr>
                <w:rFonts w:ascii="Arial" w:hAnsi="Arial" w:cs="Arial"/>
              </w:rPr>
              <w:t>Applicant and Appellant:</w:t>
            </w:r>
          </w:p>
        </w:tc>
        <w:tc>
          <w:tcPr>
            <w:tcW w:w="5245" w:type="dxa"/>
            <w:hideMark/>
          </w:tcPr>
          <w:p w14:paraId="6CA86530" w14:textId="77777777" w:rsidR="007A5D53" w:rsidRPr="00223D9A" w:rsidRDefault="007A5D53" w:rsidP="00C0607A">
            <w:pPr>
              <w:spacing w:line="240" w:lineRule="auto"/>
              <w:rPr>
                <w:rFonts w:ascii="Arial" w:hAnsi="Arial" w:cs="Arial"/>
              </w:rPr>
            </w:pPr>
            <w:r w:rsidRPr="00223D9A">
              <w:rPr>
                <w:rFonts w:ascii="Arial" w:hAnsi="Arial" w:cs="Arial"/>
              </w:rPr>
              <w:t>Empire Communities (St. George) Ltd.</w:t>
            </w:r>
          </w:p>
        </w:tc>
      </w:tr>
      <w:tr w:rsidR="007A5D53" w14:paraId="6CA86534" w14:textId="77777777" w:rsidTr="00EF4765">
        <w:tc>
          <w:tcPr>
            <w:tcW w:w="4361" w:type="dxa"/>
            <w:hideMark/>
          </w:tcPr>
          <w:p w14:paraId="6CA86532" w14:textId="77777777" w:rsidR="007A5D53" w:rsidRPr="00223D9A" w:rsidRDefault="007A5D53" w:rsidP="00C0607A">
            <w:pPr>
              <w:spacing w:line="240" w:lineRule="auto"/>
              <w:rPr>
                <w:rFonts w:ascii="Arial" w:hAnsi="Arial" w:cs="Arial"/>
              </w:rPr>
            </w:pPr>
            <w:r w:rsidRPr="00223D9A">
              <w:rPr>
                <w:rFonts w:ascii="Arial" w:hAnsi="Arial" w:cs="Arial"/>
              </w:rPr>
              <w:t>Subject:</w:t>
            </w:r>
          </w:p>
        </w:tc>
        <w:tc>
          <w:tcPr>
            <w:tcW w:w="5245" w:type="dxa"/>
            <w:hideMark/>
          </w:tcPr>
          <w:p w14:paraId="6CA86533" w14:textId="77777777" w:rsidR="007A5D53" w:rsidRPr="00223D9A" w:rsidRDefault="007A5D53" w:rsidP="00C0607A">
            <w:pPr>
              <w:spacing w:line="240" w:lineRule="auto"/>
              <w:rPr>
                <w:rFonts w:ascii="Arial" w:hAnsi="Arial" w:cs="Arial"/>
              </w:rPr>
            </w:pPr>
            <w:r w:rsidRPr="00223D9A">
              <w:rPr>
                <w:rFonts w:ascii="Arial" w:hAnsi="Arial" w:cs="Arial"/>
              </w:rPr>
              <w:t>Proposed Plan of Subdivision - Failure of the County of Brant to make a decision</w:t>
            </w:r>
          </w:p>
        </w:tc>
      </w:tr>
      <w:tr w:rsidR="007A5D53" w14:paraId="6CA86537" w14:textId="77777777" w:rsidTr="00EF4765">
        <w:tc>
          <w:tcPr>
            <w:tcW w:w="4361" w:type="dxa"/>
            <w:hideMark/>
          </w:tcPr>
          <w:p w14:paraId="6CA86535" w14:textId="77777777" w:rsidR="007A5D53" w:rsidRPr="00223D9A" w:rsidRDefault="007A5D53" w:rsidP="00C0607A">
            <w:pPr>
              <w:spacing w:line="240" w:lineRule="auto"/>
              <w:rPr>
                <w:rFonts w:ascii="Arial" w:hAnsi="Arial" w:cs="Arial"/>
              </w:rPr>
            </w:pPr>
            <w:r w:rsidRPr="00223D9A">
              <w:rPr>
                <w:rFonts w:ascii="Arial" w:hAnsi="Arial" w:cs="Arial"/>
              </w:rPr>
              <w:t>Purpose:</w:t>
            </w:r>
          </w:p>
        </w:tc>
        <w:tc>
          <w:tcPr>
            <w:tcW w:w="5245" w:type="dxa"/>
            <w:hideMark/>
          </w:tcPr>
          <w:p w14:paraId="6CA86536" w14:textId="77777777" w:rsidR="007A5D53" w:rsidRPr="00223D9A" w:rsidRDefault="007A5D53" w:rsidP="00C0607A">
            <w:pPr>
              <w:spacing w:line="240" w:lineRule="auto"/>
              <w:rPr>
                <w:rFonts w:ascii="Arial" w:hAnsi="Arial" w:cs="Arial"/>
              </w:rPr>
            </w:pPr>
            <w:r w:rsidRPr="00223D9A">
              <w:rPr>
                <w:rFonts w:ascii="Arial" w:hAnsi="Arial" w:cs="Arial"/>
              </w:rPr>
              <w:t>To permit the development of 900 residential units in a variety of housing forms</w:t>
            </w:r>
          </w:p>
        </w:tc>
      </w:tr>
      <w:tr w:rsidR="007A5D53" w14:paraId="6CA8653A" w14:textId="77777777" w:rsidTr="00EF4765">
        <w:tc>
          <w:tcPr>
            <w:tcW w:w="4361" w:type="dxa"/>
            <w:hideMark/>
          </w:tcPr>
          <w:p w14:paraId="6CA86538" w14:textId="77777777" w:rsidR="007A5D53" w:rsidRPr="00223D9A" w:rsidRDefault="007A5D53" w:rsidP="00C0607A">
            <w:pPr>
              <w:spacing w:line="240" w:lineRule="auto"/>
              <w:rPr>
                <w:rFonts w:ascii="Arial" w:hAnsi="Arial" w:cs="Arial"/>
              </w:rPr>
            </w:pPr>
            <w:r w:rsidRPr="00223D9A">
              <w:rPr>
                <w:rFonts w:ascii="Arial" w:hAnsi="Arial" w:cs="Arial"/>
              </w:rPr>
              <w:t xml:space="preserve">Property Address/Description: </w:t>
            </w:r>
          </w:p>
        </w:tc>
        <w:tc>
          <w:tcPr>
            <w:tcW w:w="5245" w:type="dxa"/>
            <w:hideMark/>
          </w:tcPr>
          <w:p w14:paraId="6CA86539" w14:textId="27B86881" w:rsidR="007A5D53" w:rsidRPr="00223D9A" w:rsidRDefault="007A5D53" w:rsidP="00C0607A">
            <w:pPr>
              <w:spacing w:line="240" w:lineRule="auto"/>
              <w:rPr>
                <w:rFonts w:ascii="Arial" w:hAnsi="Arial" w:cs="Arial"/>
              </w:rPr>
            </w:pPr>
            <w:r w:rsidRPr="00223D9A">
              <w:rPr>
                <w:rFonts w:ascii="Arial" w:hAnsi="Arial" w:cs="Arial"/>
              </w:rPr>
              <w:t xml:space="preserve">205 </w:t>
            </w:r>
            <w:r w:rsidR="00C0607A">
              <w:rPr>
                <w:rFonts w:ascii="Arial" w:hAnsi="Arial" w:cs="Arial"/>
              </w:rPr>
              <w:t>and</w:t>
            </w:r>
            <w:r w:rsidRPr="00223D9A">
              <w:rPr>
                <w:rFonts w:ascii="Arial" w:hAnsi="Arial" w:cs="Arial"/>
              </w:rPr>
              <w:t xml:space="preserve"> 209 Beverly St</w:t>
            </w:r>
            <w:r w:rsidR="00C0607A">
              <w:rPr>
                <w:rFonts w:ascii="Arial" w:hAnsi="Arial" w:cs="Arial"/>
              </w:rPr>
              <w:t>reet</w:t>
            </w:r>
            <w:r w:rsidRPr="00223D9A">
              <w:rPr>
                <w:rFonts w:ascii="Arial" w:hAnsi="Arial" w:cs="Arial"/>
              </w:rPr>
              <w:t xml:space="preserve"> W</w:t>
            </w:r>
            <w:r w:rsidR="00C0607A">
              <w:rPr>
                <w:rFonts w:ascii="Arial" w:hAnsi="Arial" w:cs="Arial"/>
              </w:rPr>
              <w:t>est</w:t>
            </w:r>
            <w:r w:rsidRPr="00223D9A">
              <w:rPr>
                <w:rFonts w:ascii="Arial" w:hAnsi="Arial" w:cs="Arial"/>
              </w:rPr>
              <w:t xml:space="preserve"> </w:t>
            </w:r>
            <w:r w:rsidR="00C0607A">
              <w:rPr>
                <w:rFonts w:ascii="Arial" w:hAnsi="Arial" w:cs="Arial"/>
              </w:rPr>
              <w:t>and</w:t>
            </w:r>
            <w:r w:rsidRPr="00223D9A">
              <w:rPr>
                <w:rFonts w:ascii="Arial" w:hAnsi="Arial" w:cs="Arial"/>
              </w:rPr>
              <w:t xml:space="preserve"> 239 </w:t>
            </w:r>
            <w:r w:rsidR="00C0607A">
              <w:rPr>
                <w:rFonts w:ascii="Arial" w:hAnsi="Arial" w:cs="Arial"/>
              </w:rPr>
              <w:t>and</w:t>
            </w:r>
            <w:r w:rsidRPr="00223D9A">
              <w:rPr>
                <w:rFonts w:ascii="Arial" w:hAnsi="Arial" w:cs="Arial"/>
              </w:rPr>
              <w:t xml:space="preserve"> 241 Highway 5</w:t>
            </w:r>
          </w:p>
        </w:tc>
      </w:tr>
      <w:tr w:rsidR="007A5D53" w14:paraId="6CA8653D" w14:textId="77777777" w:rsidTr="00EF4765">
        <w:tc>
          <w:tcPr>
            <w:tcW w:w="4361" w:type="dxa"/>
            <w:hideMark/>
          </w:tcPr>
          <w:p w14:paraId="6CA8653B" w14:textId="77777777" w:rsidR="007A5D53" w:rsidRPr="00223D9A" w:rsidRDefault="007A5D53" w:rsidP="00C0607A">
            <w:pPr>
              <w:spacing w:line="240" w:lineRule="auto"/>
              <w:rPr>
                <w:rFonts w:ascii="Arial" w:hAnsi="Arial" w:cs="Arial"/>
              </w:rPr>
            </w:pPr>
            <w:r w:rsidRPr="00223D9A">
              <w:rPr>
                <w:rFonts w:ascii="Arial" w:hAnsi="Arial" w:cs="Arial"/>
              </w:rPr>
              <w:t xml:space="preserve">Municipality: </w:t>
            </w:r>
          </w:p>
        </w:tc>
        <w:tc>
          <w:tcPr>
            <w:tcW w:w="5245" w:type="dxa"/>
            <w:hideMark/>
          </w:tcPr>
          <w:p w14:paraId="6CA8653C" w14:textId="77777777" w:rsidR="007A5D53" w:rsidRPr="00223D9A" w:rsidRDefault="007A5D53" w:rsidP="00C0607A">
            <w:pPr>
              <w:spacing w:line="240" w:lineRule="auto"/>
              <w:rPr>
                <w:rFonts w:ascii="Arial" w:hAnsi="Arial" w:cs="Arial"/>
              </w:rPr>
            </w:pPr>
            <w:r w:rsidRPr="00223D9A">
              <w:rPr>
                <w:rFonts w:ascii="Arial" w:hAnsi="Arial" w:cs="Arial"/>
              </w:rPr>
              <w:t>County of Brant</w:t>
            </w:r>
          </w:p>
        </w:tc>
      </w:tr>
      <w:tr w:rsidR="007A5D53" w14:paraId="6CA86540" w14:textId="77777777" w:rsidTr="00EF4765">
        <w:tc>
          <w:tcPr>
            <w:tcW w:w="4361" w:type="dxa"/>
            <w:hideMark/>
          </w:tcPr>
          <w:p w14:paraId="6CA8653E" w14:textId="77777777" w:rsidR="007A5D53" w:rsidRPr="00223D9A" w:rsidRDefault="007A5D53" w:rsidP="00C0607A">
            <w:pPr>
              <w:spacing w:line="240" w:lineRule="auto"/>
              <w:rPr>
                <w:rFonts w:ascii="Arial" w:hAnsi="Arial" w:cs="Arial"/>
              </w:rPr>
            </w:pPr>
            <w:r w:rsidRPr="00223D9A">
              <w:rPr>
                <w:rFonts w:ascii="Arial" w:hAnsi="Arial" w:cs="Arial"/>
              </w:rPr>
              <w:t xml:space="preserve">Municipality File No.: </w:t>
            </w:r>
          </w:p>
        </w:tc>
        <w:tc>
          <w:tcPr>
            <w:tcW w:w="5245" w:type="dxa"/>
            <w:hideMark/>
          </w:tcPr>
          <w:p w14:paraId="6CA8653F" w14:textId="77777777" w:rsidR="007A5D53" w:rsidRPr="00223D9A" w:rsidRDefault="007A5D53" w:rsidP="00C0607A">
            <w:pPr>
              <w:spacing w:line="240" w:lineRule="auto"/>
              <w:rPr>
                <w:rFonts w:ascii="Arial" w:hAnsi="Arial" w:cs="Arial"/>
              </w:rPr>
            </w:pPr>
            <w:r w:rsidRPr="00223D9A">
              <w:rPr>
                <w:rFonts w:ascii="Arial" w:hAnsi="Arial" w:cs="Arial"/>
              </w:rPr>
              <w:t>PS2/08/RA</w:t>
            </w:r>
          </w:p>
        </w:tc>
      </w:tr>
      <w:tr w:rsidR="007A5D53" w14:paraId="6CA86543" w14:textId="77777777" w:rsidTr="00EF4765">
        <w:tc>
          <w:tcPr>
            <w:tcW w:w="4361" w:type="dxa"/>
            <w:hideMark/>
          </w:tcPr>
          <w:p w14:paraId="6CA86541" w14:textId="77777777" w:rsidR="007A5D53" w:rsidRPr="00223D9A" w:rsidRDefault="007A5D53" w:rsidP="00C0607A">
            <w:pPr>
              <w:spacing w:line="240" w:lineRule="auto"/>
              <w:rPr>
                <w:rFonts w:ascii="Arial" w:hAnsi="Arial" w:cs="Arial"/>
              </w:rPr>
            </w:pPr>
            <w:r w:rsidRPr="00223D9A">
              <w:rPr>
                <w:rFonts w:ascii="Arial" w:hAnsi="Arial" w:cs="Arial"/>
              </w:rPr>
              <w:t xml:space="preserve">OMB Case No.: </w:t>
            </w:r>
          </w:p>
        </w:tc>
        <w:tc>
          <w:tcPr>
            <w:tcW w:w="5245" w:type="dxa"/>
            <w:hideMark/>
          </w:tcPr>
          <w:p w14:paraId="6CA86542" w14:textId="77777777" w:rsidR="007A5D53" w:rsidRPr="00223D9A" w:rsidRDefault="007A5D53" w:rsidP="00C0607A">
            <w:pPr>
              <w:spacing w:line="240" w:lineRule="auto"/>
              <w:rPr>
                <w:rFonts w:ascii="Arial" w:hAnsi="Arial" w:cs="Arial"/>
              </w:rPr>
            </w:pPr>
            <w:r w:rsidRPr="00223D9A">
              <w:rPr>
                <w:rFonts w:ascii="Arial" w:hAnsi="Arial" w:cs="Arial"/>
              </w:rPr>
              <w:t>PL161164</w:t>
            </w:r>
          </w:p>
        </w:tc>
      </w:tr>
      <w:tr w:rsidR="007A5D53" w14:paraId="6CA86546" w14:textId="77777777" w:rsidTr="00EF4765">
        <w:tc>
          <w:tcPr>
            <w:tcW w:w="4361" w:type="dxa"/>
            <w:hideMark/>
          </w:tcPr>
          <w:p w14:paraId="6CA86544" w14:textId="77777777" w:rsidR="007A5D53" w:rsidRPr="00223D9A" w:rsidRDefault="007A5D53" w:rsidP="00C0607A">
            <w:pPr>
              <w:spacing w:line="240" w:lineRule="auto"/>
              <w:rPr>
                <w:rFonts w:ascii="Arial" w:hAnsi="Arial" w:cs="Arial"/>
              </w:rPr>
            </w:pPr>
            <w:r w:rsidRPr="00223D9A">
              <w:rPr>
                <w:rFonts w:ascii="Arial" w:hAnsi="Arial" w:cs="Arial"/>
              </w:rPr>
              <w:t xml:space="preserve">OMB File No.: </w:t>
            </w:r>
          </w:p>
        </w:tc>
        <w:tc>
          <w:tcPr>
            <w:tcW w:w="5245" w:type="dxa"/>
            <w:hideMark/>
          </w:tcPr>
          <w:p w14:paraId="6CA86545" w14:textId="77777777" w:rsidR="007A5D53" w:rsidRPr="00223D9A" w:rsidRDefault="007A5D53" w:rsidP="00C0607A">
            <w:pPr>
              <w:spacing w:line="240" w:lineRule="auto"/>
              <w:rPr>
                <w:rFonts w:ascii="Arial" w:hAnsi="Arial" w:cs="Arial"/>
              </w:rPr>
            </w:pPr>
            <w:r w:rsidRPr="00223D9A">
              <w:rPr>
                <w:rFonts w:ascii="Arial" w:hAnsi="Arial" w:cs="Arial"/>
              </w:rPr>
              <w:t>PL161166</w:t>
            </w:r>
          </w:p>
        </w:tc>
      </w:tr>
    </w:tbl>
    <w:p w14:paraId="6CA86547" w14:textId="77777777" w:rsidR="007A5D53" w:rsidRDefault="007A5D53" w:rsidP="007A5D53">
      <w:pPr>
        <w:rPr>
          <w:rFonts w:ascii="Arial" w:hAnsi="Arial" w:cs="Arial"/>
        </w:rPr>
      </w:pPr>
    </w:p>
    <w:tbl>
      <w:tblPr>
        <w:tblW w:w="9606" w:type="dxa"/>
        <w:tblLook w:val="0000" w:firstRow="0" w:lastRow="0" w:firstColumn="0" w:lastColumn="0" w:noHBand="0" w:noVBand="0"/>
      </w:tblPr>
      <w:tblGrid>
        <w:gridCol w:w="4361"/>
        <w:gridCol w:w="5245"/>
      </w:tblGrid>
      <w:tr w:rsidR="00477BE1" w:rsidRPr="00477BE1" w14:paraId="6CA86550" w14:textId="77777777" w:rsidTr="00EF4765">
        <w:tc>
          <w:tcPr>
            <w:tcW w:w="4361" w:type="dxa"/>
          </w:tcPr>
          <w:bookmarkEnd w:id="0"/>
          <w:p w14:paraId="6CA8654E" w14:textId="77777777" w:rsidR="00477BE1" w:rsidRPr="00477BE1" w:rsidRDefault="00477BE1" w:rsidP="00EF4765">
            <w:pPr>
              <w:rPr>
                <w:rFonts w:ascii="Arial" w:hAnsi="Arial" w:cs="Arial"/>
                <w:b/>
              </w:rPr>
            </w:pPr>
            <w:r w:rsidRPr="00477BE1">
              <w:rPr>
                <w:rFonts w:ascii="Arial" w:hAnsi="Arial" w:cs="Arial"/>
                <w:b/>
              </w:rPr>
              <w:lastRenderedPageBreak/>
              <w:t>APPEARANCES:</w:t>
            </w:r>
          </w:p>
        </w:tc>
        <w:tc>
          <w:tcPr>
            <w:tcW w:w="5245" w:type="dxa"/>
          </w:tcPr>
          <w:p w14:paraId="6CA8654F" w14:textId="77777777" w:rsidR="00477BE1" w:rsidRPr="00477BE1" w:rsidRDefault="00477BE1" w:rsidP="00EF4765">
            <w:pPr>
              <w:rPr>
                <w:rFonts w:ascii="Arial" w:hAnsi="Arial" w:cs="Arial"/>
              </w:rPr>
            </w:pPr>
          </w:p>
        </w:tc>
      </w:tr>
      <w:tr w:rsidR="00477BE1" w:rsidRPr="00477BE1" w14:paraId="6CA86553" w14:textId="77777777" w:rsidTr="00EF4765">
        <w:tc>
          <w:tcPr>
            <w:tcW w:w="4361" w:type="dxa"/>
          </w:tcPr>
          <w:p w14:paraId="6CA86551" w14:textId="77777777" w:rsidR="00477BE1" w:rsidRPr="00477BE1" w:rsidRDefault="00477BE1" w:rsidP="00EF4765">
            <w:pPr>
              <w:rPr>
                <w:rFonts w:ascii="Arial" w:hAnsi="Arial" w:cs="Arial"/>
              </w:rPr>
            </w:pPr>
          </w:p>
        </w:tc>
        <w:tc>
          <w:tcPr>
            <w:tcW w:w="5245" w:type="dxa"/>
          </w:tcPr>
          <w:p w14:paraId="6CA86552" w14:textId="77777777" w:rsidR="00477BE1" w:rsidRPr="00477BE1" w:rsidRDefault="00477BE1" w:rsidP="00EF4765">
            <w:pPr>
              <w:rPr>
                <w:rFonts w:ascii="Arial" w:hAnsi="Arial" w:cs="Arial"/>
              </w:rPr>
            </w:pPr>
          </w:p>
        </w:tc>
      </w:tr>
      <w:tr w:rsidR="00477BE1" w:rsidRPr="00477BE1" w14:paraId="6CA86556" w14:textId="77777777" w:rsidTr="00EF4765">
        <w:tc>
          <w:tcPr>
            <w:tcW w:w="4361" w:type="dxa"/>
          </w:tcPr>
          <w:p w14:paraId="6CA86554" w14:textId="77777777" w:rsidR="00477BE1" w:rsidRPr="00477BE1" w:rsidRDefault="00477BE1" w:rsidP="00EF4765">
            <w:pPr>
              <w:rPr>
                <w:rFonts w:ascii="Arial" w:hAnsi="Arial" w:cs="Arial"/>
                <w:b/>
                <w:u w:val="single"/>
              </w:rPr>
            </w:pPr>
            <w:bookmarkStart w:id="2" w:name="Parties"/>
            <w:r w:rsidRPr="00477BE1">
              <w:rPr>
                <w:rFonts w:ascii="Arial" w:hAnsi="Arial" w:cs="Arial"/>
                <w:b/>
                <w:u w:val="single"/>
              </w:rPr>
              <w:t>Parties</w:t>
            </w:r>
            <w:bookmarkEnd w:id="2"/>
          </w:p>
        </w:tc>
        <w:tc>
          <w:tcPr>
            <w:tcW w:w="5245" w:type="dxa"/>
          </w:tcPr>
          <w:p w14:paraId="6CA86555" w14:textId="77777777" w:rsidR="00477BE1" w:rsidRPr="00477BE1" w:rsidRDefault="00477BE1" w:rsidP="00EF4765">
            <w:pPr>
              <w:rPr>
                <w:rFonts w:ascii="Arial" w:hAnsi="Arial" w:cs="Arial"/>
                <w:b/>
                <w:u w:val="single"/>
              </w:rPr>
            </w:pPr>
            <w:bookmarkStart w:id="3" w:name="CounselAgent"/>
            <w:r w:rsidRPr="00477BE1">
              <w:rPr>
                <w:rFonts w:ascii="Arial" w:hAnsi="Arial" w:cs="Arial"/>
                <w:b/>
                <w:u w:val="single"/>
              </w:rPr>
              <w:t>Counsel</w:t>
            </w:r>
            <w:bookmarkEnd w:id="3"/>
          </w:p>
        </w:tc>
      </w:tr>
      <w:tr w:rsidR="00477BE1" w:rsidRPr="00477BE1" w14:paraId="6CA86559" w14:textId="77777777" w:rsidTr="00930669">
        <w:tc>
          <w:tcPr>
            <w:tcW w:w="4361" w:type="dxa"/>
          </w:tcPr>
          <w:p w14:paraId="6CA86557" w14:textId="77777777" w:rsidR="00477BE1" w:rsidRPr="00477BE1" w:rsidRDefault="00477BE1" w:rsidP="00EF4765">
            <w:pPr>
              <w:rPr>
                <w:rFonts w:ascii="Arial" w:hAnsi="Arial" w:cs="Arial"/>
              </w:rPr>
            </w:pPr>
          </w:p>
        </w:tc>
        <w:tc>
          <w:tcPr>
            <w:tcW w:w="5245" w:type="dxa"/>
          </w:tcPr>
          <w:p w14:paraId="6CA86558" w14:textId="77777777" w:rsidR="00477BE1" w:rsidRPr="00477BE1" w:rsidRDefault="00477BE1" w:rsidP="00EF4765">
            <w:pPr>
              <w:rPr>
                <w:rFonts w:ascii="Arial" w:hAnsi="Arial" w:cs="Arial"/>
              </w:rPr>
            </w:pPr>
          </w:p>
        </w:tc>
      </w:tr>
      <w:tr w:rsidR="00477BE1" w:rsidRPr="00477BE1" w14:paraId="6CA8655C" w14:textId="77777777" w:rsidTr="00930669">
        <w:trPr>
          <w:trHeight w:val="235"/>
        </w:trPr>
        <w:tc>
          <w:tcPr>
            <w:tcW w:w="4361" w:type="dxa"/>
          </w:tcPr>
          <w:p w14:paraId="6CA8655A" w14:textId="77777777" w:rsidR="00477BE1" w:rsidRPr="00477BE1" w:rsidRDefault="00477BE1" w:rsidP="00C0607A">
            <w:pPr>
              <w:spacing w:line="240" w:lineRule="auto"/>
              <w:rPr>
                <w:rFonts w:ascii="Arial" w:hAnsi="Arial" w:cs="Arial"/>
              </w:rPr>
            </w:pPr>
            <w:r w:rsidRPr="00477BE1">
              <w:rPr>
                <w:rFonts w:ascii="Arial" w:hAnsi="Arial" w:cs="Arial"/>
              </w:rPr>
              <w:t>Parkland Fuel Corporation</w:t>
            </w:r>
          </w:p>
        </w:tc>
        <w:tc>
          <w:tcPr>
            <w:tcW w:w="5245" w:type="dxa"/>
          </w:tcPr>
          <w:p w14:paraId="6CA8655B" w14:textId="77777777" w:rsidR="00477BE1" w:rsidRPr="00477BE1" w:rsidRDefault="00477BE1" w:rsidP="00C0607A">
            <w:pPr>
              <w:spacing w:line="240" w:lineRule="auto"/>
              <w:rPr>
                <w:rFonts w:ascii="Arial" w:hAnsi="Arial" w:cs="Arial"/>
              </w:rPr>
            </w:pPr>
            <w:r w:rsidRPr="00477BE1">
              <w:rPr>
                <w:rFonts w:ascii="Arial" w:hAnsi="Arial" w:cs="Arial"/>
              </w:rPr>
              <w:t>M. Kemerer</w:t>
            </w:r>
          </w:p>
        </w:tc>
      </w:tr>
      <w:tr w:rsidR="00477BE1" w:rsidRPr="00477BE1" w14:paraId="6CA8655F" w14:textId="77777777" w:rsidTr="00930669">
        <w:tc>
          <w:tcPr>
            <w:tcW w:w="4361" w:type="dxa"/>
          </w:tcPr>
          <w:p w14:paraId="6CA8655D" w14:textId="77777777" w:rsidR="00477BE1" w:rsidRPr="00477BE1" w:rsidRDefault="00477BE1" w:rsidP="00C0607A">
            <w:pPr>
              <w:spacing w:line="240" w:lineRule="auto"/>
              <w:rPr>
                <w:rFonts w:ascii="Arial" w:hAnsi="Arial" w:cs="Arial"/>
              </w:rPr>
            </w:pPr>
          </w:p>
        </w:tc>
        <w:tc>
          <w:tcPr>
            <w:tcW w:w="5245" w:type="dxa"/>
          </w:tcPr>
          <w:p w14:paraId="6CA8655E" w14:textId="77777777" w:rsidR="00477BE1" w:rsidRPr="00477BE1" w:rsidRDefault="00477BE1" w:rsidP="00C0607A">
            <w:pPr>
              <w:spacing w:line="240" w:lineRule="auto"/>
              <w:rPr>
                <w:rFonts w:ascii="Arial" w:hAnsi="Arial" w:cs="Arial"/>
              </w:rPr>
            </w:pPr>
          </w:p>
        </w:tc>
      </w:tr>
      <w:tr w:rsidR="00477BE1" w:rsidRPr="00477BE1" w14:paraId="6CA86563" w14:textId="77777777" w:rsidTr="00930669">
        <w:tc>
          <w:tcPr>
            <w:tcW w:w="4361" w:type="dxa"/>
          </w:tcPr>
          <w:p w14:paraId="6CA86561" w14:textId="3BBA9416" w:rsidR="00477BE1" w:rsidRPr="00477BE1" w:rsidRDefault="00477BE1" w:rsidP="00930669">
            <w:pPr>
              <w:spacing w:line="240" w:lineRule="auto"/>
              <w:rPr>
                <w:rFonts w:ascii="Arial" w:hAnsi="Arial" w:cs="Arial"/>
              </w:rPr>
            </w:pPr>
            <w:r w:rsidRPr="00477BE1">
              <w:rPr>
                <w:rFonts w:ascii="Arial" w:hAnsi="Arial" w:cs="Arial"/>
              </w:rPr>
              <w:t>Empire Communities</w:t>
            </w:r>
            <w:r w:rsidR="00930669">
              <w:rPr>
                <w:rFonts w:ascii="Arial" w:hAnsi="Arial" w:cs="Arial"/>
              </w:rPr>
              <w:t xml:space="preserve"> </w:t>
            </w:r>
            <w:r w:rsidRPr="00477BE1">
              <w:rPr>
                <w:rFonts w:ascii="Arial" w:hAnsi="Arial" w:cs="Arial"/>
              </w:rPr>
              <w:t>(St. George) Ltd.</w:t>
            </w:r>
          </w:p>
        </w:tc>
        <w:tc>
          <w:tcPr>
            <w:tcW w:w="5245" w:type="dxa"/>
          </w:tcPr>
          <w:p w14:paraId="6CA86562" w14:textId="77777777" w:rsidR="00477BE1" w:rsidRPr="00477BE1" w:rsidRDefault="00477BE1" w:rsidP="00C0607A">
            <w:pPr>
              <w:spacing w:line="240" w:lineRule="auto"/>
              <w:rPr>
                <w:rFonts w:ascii="Arial" w:hAnsi="Arial" w:cs="Arial"/>
              </w:rPr>
            </w:pPr>
            <w:r w:rsidRPr="00477BE1">
              <w:rPr>
                <w:rFonts w:ascii="Arial" w:hAnsi="Arial" w:cs="Arial"/>
              </w:rPr>
              <w:t>P. DeMelo</w:t>
            </w:r>
          </w:p>
        </w:tc>
      </w:tr>
      <w:tr w:rsidR="00477BE1" w:rsidRPr="00477BE1" w14:paraId="6CA86566" w14:textId="77777777" w:rsidTr="00930669">
        <w:tc>
          <w:tcPr>
            <w:tcW w:w="4361" w:type="dxa"/>
          </w:tcPr>
          <w:p w14:paraId="6CA86564" w14:textId="77777777" w:rsidR="00477BE1" w:rsidRPr="00477BE1" w:rsidRDefault="00477BE1" w:rsidP="00C0607A">
            <w:pPr>
              <w:spacing w:line="240" w:lineRule="auto"/>
              <w:rPr>
                <w:rFonts w:ascii="Arial" w:hAnsi="Arial" w:cs="Arial"/>
              </w:rPr>
            </w:pPr>
          </w:p>
        </w:tc>
        <w:tc>
          <w:tcPr>
            <w:tcW w:w="5245" w:type="dxa"/>
          </w:tcPr>
          <w:p w14:paraId="6CA86565" w14:textId="77777777" w:rsidR="00477BE1" w:rsidRPr="00477BE1" w:rsidRDefault="00477BE1" w:rsidP="00C0607A">
            <w:pPr>
              <w:spacing w:line="240" w:lineRule="auto"/>
              <w:rPr>
                <w:rFonts w:ascii="Arial" w:hAnsi="Arial" w:cs="Arial"/>
              </w:rPr>
            </w:pPr>
          </w:p>
        </w:tc>
      </w:tr>
      <w:tr w:rsidR="00477BE1" w:rsidRPr="00477BE1" w14:paraId="6CA86569" w14:textId="77777777" w:rsidTr="00930669">
        <w:tc>
          <w:tcPr>
            <w:tcW w:w="4361" w:type="dxa"/>
          </w:tcPr>
          <w:p w14:paraId="6CA86567" w14:textId="77777777" w:rsidR="00477BE1" w:rsidRPr="00477BE1" w:rsidRDefault="00477BE1" w:rsidP="00C0607A">
            <w:pPr>
              <w:spacing w:line="240" w:lineRule="auto"/>
              <w:rPr>
                <w:rFonts w:ascii="Arial" w:hAnsi="Arial" w:cs="Arial"/>
              </w:rPr>
            </w:pPr>
            <w:r w:rsidRPr="00477BE1">
              <w:rPr>
                <w:rFonts w:ascii="Arial" w:hAnsi="Arial" w:cs="Arial"/>
              </w:rPr>
              <w:t>County of Brant</w:t>
            </w:r>
          </w:p>
        </w:tc>
        <w:tc>
          <w:tcPr>
            <w:tcW w:w="5245" w:type="dxa"/>
          </w:tcPr>
          <w:p w14:paraId="6CA86568" w14:textId="77777777" w:rsidR="00477BE1" w:rsidRPr="00477BE1" w:rsidRDefault="00477BE1" w:rsidP="00C0607A">
            <w:pPr>
              <w:spacing w:line="240" w:lineRule="auto"/>
              <w:rPr>
                <w:rFonts w:ascii="Arial" w:hAnsi="Arial" w:cs="Arial"/>
              </w:rPr>
            </w:pPr>
            <w:r w:rsidRPr="00477BE1">
              <w:rPr>
                <w:rFonts w:ascii="Arial" w:hAnsi="Arial" w:cs="Arial"/>
              </w:rPr>
              <w:t>N. Smith</w:t>
            </w:r>
          </w:p>
        </w:tc>
      </w:tr>
      <w:tr w:rsidR="00477BE1" w:rsidRPr="00477BE1" w14:paraId="6CA8656C" w14:textId="77777777" w:rsidTr="00930669">
        <w:tc>
          <w:tcPr>
            <w:tcW w:w="4361" w:type="dxa"/>
          </w:tcPr>
          <w:p w14:paraId="6CA8656A" w14:textId="77777777" w:rsidR="00477BE1" w:rsidRPr="00477BE1" w:rsidRDefault="00477BE1" w:rsidP="00C0607A">
            <w:pPr>
              <w:spacing w:line="240" w:lineRule="auto"/>
              <w:rPr>
                <w:rFonts w:ascii="Arial" w:hAnsi="Arial" w:cs="Arial"/>
              </w:rPr>
            </w:pPr>
          </w:p>
        </w:tc>
        <w:tc>
          <w:tcPr>
            <w:tcW w:w="5245" w:type="dxa"/>
          </w:tcPr>
          <w:p w14:paraId="6CA8656B" w14:textId="77777777" w:rsidR="00477BE1" w:rsidRPr="00477BE1" w:rsidRDefault="00477BE1" w:rsidP="00C0607A">
            <w:pPr>
              <w:spacing w:line="240" w:lineRule="auto"/>
              <w:rPr>
                <w:rFonts w:ascii="Arial" w:hAnsi="Arial" w:cs="Arial"/>
              </w:rPr>
            </w:pPr>
          </w:p>
        </w:tc>
      </w:tr>
      <w:tr w:rsidR="00477BE1" w:rsidRPr="00477BE1" w14:paraId="6CA8656F" w14:textId="77777777" w:rsidTr="00930669">
        <w:tc>
          <w:tcPr>
            <w:tcW w:w="4361" w:type="dxa"/>
          </w:tcPr>
          <w:p w14:paraId="6CA8656D" w14:textId="77777777" w:rsidR="00477BE1" w:rsidRPr="00477BE1" w:rsidRDefault="00477BE1" w:rsidP="00C0607A">
            <w:pPr>
              <w:spacing w:line="240" w:lineRule="auto"/>
              <w:rPr>
                <w:rFonts w:ascii="Arial" w:hAnsi="Arial" w:cs="Arial"/>
              </w:rPr>
            </w:pPr>
            <w:r w:rsidRPr="00477BE1">
              <w:rPr>
                <w:rFonts w:ascii="Arial" w:hAnsi="Arial" w:cs="Arial"/>
              </w:rPr>
              <w:t>Losani Homes (1998) Ltd.</w:t>
            </w:r>
          </w:p>
        </w:tc>
        <w:tc>
          <w:tcPr>
            <w:tcW w:w="5245" w:type="dxa"/>
          </w:tcPr>
          <w:p w14:paraId="6CA8656E" w14:textId="77777777" w:rsidR="00477BE1" w:rsidRPr="00477BE1" w:rsidRDefault="00477BE1" w:rsidP="00C0607A">
            <w:pPr>
              <w:spacing w:line="240" w:lineRule="auto"/>
              <w:rPr>
                <w:rFonts w:ascii="Arial" w:hAnsi="Arial" w:cs="Arial"/>
              </w:rPr>
            </w:pPr>
            <w:r w:rsidRPr="00477BE1">
              <w:rPr>
                <w:rFonts w:ascii="Arial" w:hAnsi="Arial" w:cs="Arial"/>
              </w:rPr>
              <w:t>J. Meader</w:t>
            </w:r>
          </w:p>
        </w:tc>
      </w:tr>
      <w:tr w:rsidR="00477BE1" w:rsidRPr="00477BE1" w14:paraId="6CA86572" w14:textId="77777777" w:rsidTr="00930669">
        <w:tc>
          <w:tcPr>
            <w:tcW w:w="4361" w:type="dxa"/>
          </w:tcPr>
          <w:p w14:paraId="6CA86570" w14:textId="77777777" w:rsidR="00477BE1" w:rsidRPr="00477BE1" w:rsidRDefault="00477BE1" w:rsidP="00C0607A">
            <w:pPr>
              <w:spacing w:line="240" w:lineRule="auto"/>
              <w:rPr>
                <w:rFonts w:ascii="Arial" w:hAnsi="Arial" w:cs="Arial"/>
              </w:rPr>
            </w:pPr>
          </w:p>
        </w:tc>
        <w:tc>
          <w:tcPr>
            <w:tcW w:w="5245" w:type="dxa"/>
          </w:tcPr>
          <w:p w14:paraId="6CA86571" w14:textId="77777777" w:rsidR="00477BE1" w:rsidRPr="00477BE1" w:rsidRDefault="00477BE1" w:rsidP="00C0607A">
            <w:pPr>
              <w:spacing w:line="240" w:lineRule="auto"/>
              <w:rPr>
                <w:rFonts w:ascii="Arial" w:hAnsi="Arial" w:cs="Arial"/>
              </w:rPr>
            </w:pPr>
          </w:p>
        </w:tc>
      </w:tr>
      <w:tr w:rsidR="00477BE1" w:rsidRPr="00477BE1" w14:paraId="6CA86576" w14:textId="77777777" w:rsidTr="00930669">
        <w:tc>
          <w:tcPr>
            <w:tcW w:w="4361" w:type="dxa"/>
          </w:tcPr>
          <w:p w14:paraId="6CA86574" w14:textId="444C005F" w:rsidR="00185848" w:rsidRPr="00477BE1" w:rsidRDefault="00477BE1" w:rsidP="00C0607A">
            <w:pPr>
              <w:spacing w:line="240" w:lineRule="auto"/>
              <w:rPr>
                <w:rFonts w:ascii="Arial" w:hAnsi="Arial" w:cs="Arial"/>
              </w:rPr>
            </w:pPr>
            <w:r w:rsidRPr="00477BE1">
              <w:rPr>
                <w:rFonts w:ascii="Arial" w:hAnsi="Arial" w:cs="Arial"/>
              </w:rPr>
              <w:t>2482704 Ontario Inc.</w:t>
            </w:r>
            <w:r w:rsidR="00C0607A">
              <w:rPr>
                <w:rFonts w:ascii="Arial" w:hAnsi="Arial" w:cs="Arial"/>
              </w:rPr>
              <w:t xml:space="preserve"> </w:t>
            </w:r>
          </w:p>
        </w:tc>
        <w:tc>
          <w:tcPr>
            <w:tcW w:w="5245" w:type="dxa"/>
          </w:tcPr>
          <w:p w14:paraId="6CA86575" w14:textId="77777777" w:rsidR="00477BE1" w:rsidRPr="00477BE1" w:rsidRDefault="00477BE1" w:rsidP="00C0607A">
            <w:pPr>
              <w:spacing w:line="240" w:lineRule="auto"/>
              <w:rPr>
                <w:rFonts w:ascii="Arial" w:hAnsi="Arial" w:cs="Arial"/>
              </w:rPr>
            </w:pPr>
            <w:r w:rsidRPr="00477BE1">
              <w:rPr>
                <w:rFonts w:ascii="Arial" w:hAnsi="Arial" w:cs="Arial"/>
              </w:rPr>
              <w:t>B. Duxbury</w:t>
            </w:r>
          </w:p>
        </w:tc>
      </w:tr>
      <w:tr w:rsidR="00C0607A" w:rsidRPr="00477BE1" w14:paraId="0B4D8899" w14:textId="77777777" w:rsidTr="00930669">
        <w:tc>
          <w:tcPr>
            <w:tcW w:w="4361" w:type="dxa"/>
          </w:tcPr>
          <w:p w14:paraId="05DE3439" w14:textId="77777777" w:rsidR="00C0607A" w:rsidRPr="00477BE1" w:rsidRDefault="00C0607A" w:rsidP="00C0607A">
            <w:pPr>
              <w:spacing w:line="240" w:lineRule="auto"/>
              <w:rPr>
                <w:rFonts w:ascii="Arial" w:hAnsi="Arial" w:cs="Arial"/>
              </w:rPr>
            </w:pPr>
          </w:p>
        </w:tc>
        <w:tc>
          <w:tcPr>
            <w:tcW w:w="5245" w:type="dxa"/>
          </w:tcPr>
          <w:p w14:paraId="388617D8" w14:textId="77777777" w:rsidR="00C0607A" w:rsidRPr="00477BE1" w:rsidRDefault="00C0607A" w:rsidP="00C0607A">
            <w:pPr>
              <w:spacing w:line="240" w:lineRule="auto"/>
              <w:rPr>
                <w:rFonts w:ascii="Arial" w:hAnsi="Arial" w:cs="Arial"/>
              </w:rPr>
            </w:pPr>
          </w:p>
        </w:tc>
      </w:tr>
      <w:tr w:rsidR="00C0607A" w:rsidRPr="00477BE1" w14:paraId="09EDF986" w14:textId="77777777" w:rsidTr="00930669">
        <w:tc>
          <w:tcPr>
            <w:tcW w:w="4361" w:type="dxa"/>
          </w:tcPr>
          <w:p w14:paraId="1194DE67" w14:textId="040B62BC" w:rsidR="00C0607A" w:rsidRPr="00477BE1" w:rsidRDefault="00C0607A" w:rsidP="00C0607A">
            <w:pPr>
              <w:spacing w:line="240" w:lineRule="auto"/>
              <w:rPr>
                <w:rFonts w:ascii="Arial" w:hAnsi="Arial" w:cs="Arial"/>
              </w:rPr>
            </w:pPr>
            <w:r w:rsidRPr="00477BE1">
              <w:rPr>
                <w:rFonts w:ascii="Arial" w:hAnsi="Arial" w:cs="Arial"/>
              </w:rPr>
              <w:t>Riverview Highlands</w:t>
            </w:r>
            <w:r w:rsidR="00930669">
              <w:rPr>
                <w:rFonts w:ascii="Arial" w:hAnsi="Arial" w:cs="Arial"/>
              </w:rPr>
              <w:t xml:space="preserve"> </w:t>
            </w:r>
            <w:r w:rsidRPr="00477BE1">
              <w:rPr>
                <w:rFonts w:ascii="Arial" w:hAnsi="Arial" w:cs="Arial"/>
              </w:rPr>
              <w:t xml:space="preserve">(St. George) Holdings Ltd. </w:t>
            </w:r>
          </w:p>
          <w:p w14:paraId="70430725" w14:textId="1724D110" w:rsidR="00C0607A" w:rsidRPr="00477BE1" w:rsidRDefault="00C0607A" w:rsidP="00C0607A">
            <w:pPr>
              <w:spacing w:line="240" w:lineRule="auto"/>
              <w:rPr>
                <w:rFonts w:ascii="Arial" w:hAnsi="Arial" w:cs="Arial"/>
              </w:rPr>
            </w:pPr>
            <w:r w:rsidRPr="00477BE1">
              <w:rPr>
                <w:rFonts w:ascii="Arial" w:hAnsi="Arial" w:cs="Arial"/>
              </w:rPr>
              <w:t>Brant Star Developments Ltd.</w:t>
            </w:r>
          </w:p>
        </w:tc>
        <w:tc>
          <w:tcPr>
            <w:tcW w:w="5245" w:type="dxa"/>
          </w:tcPr>
          <w:p w14:paraId="56760D6D" w14:textId="2BD1E7B1" w:rsidR="00C0607A" w:rsidRPr="00477BE1" w:rsidRDefault="00C0607A" w:rsidP="00C0607A">
            <w:pPr>
              <w:spacing w:line="240" w:lineRule="auto"/>
              <w:rPr>
                <w:rFonts w:ascii="Arial" w:hAnsi="Arial" w:cs="Arial"/>
              </w:rPr>
            </w:pPr>
            <w:r w:rsidRPr="00477BE1">
              <w:rPr>
                <w:rFonts w:ascii="Arial" w:hAnsi="Arial" w:cs="Arial"/>
              </w:rPr>
              <w:t>J. Hitchon</w:t>
            </w:r>
          </w:p>
        </w:tc>
      </w:tr>
    </w:tbl>
    <w:p w14:paraId="6CA86582" w14:textId="3659B4D0" w:rsidR="001E045A" w:rsidRDefault="001E045A" w:rsidP="00DA0506"/>
    <w:p w14:paraId="6CA86583" w14:textId="36BE76E6" w:rsidR="008023B7" w:rsidRPr="005C7E05" w:rsidRDefault="008023B7" w:rsidP="008023B7">
      <w:pPr>
        <w:widowControl w:val="0"/>
        <w:autoSpaceDE w:val="0"/>
        <w:autoSpaceDN w:val="0"/>
        <w:adjustRightInd w:val="0"/>
        <w:rPr>
          <w:rFonts w:ascii="Arial" w:hAnsi="Arial" w:cs="Arial"/>
          <w:b/>
          <w:u w:val="single"/>
        </w:rPr>
      </w:pPr>
      <w:r w:rsidRPr="005C7E05">
        <w:rPr>
          <w:rFonts w:ascii="Arial" w:hAnsi="Arial" w:cs="Arial"/>
          <w:b/>
          <w:u w:val="single"/>
        </w:rPr>
        <w:t>DECISION DELIVERED BY K.J. HUSSEY AND ORDER OF THE TRIBUNAL</w:t>
      </w:r>
    </w:p>
    <w:p w14:paraId="6CA86585" w14:textId="43E43563" w:rsidR="005821E2" w:rsidRDefault="00843D55" w:rsidP="00790235">
      <w:pPr>
        <w:pStyle w:val="DecisionBody"/>
      </w:pPr>
      <w:r>
        <w:t xml:space="preserve">These are </w:t>
      </w:r>
      <w:r w:rsidR="005821E2" w:rsidRPr="00477BE1">
        <w:t>appeals brought by Empire Communities (St. George) Ltd.</w:t>
      </w:r>
      <w:r w:rsidR="00930669">
        <w:t xml:space="preserve"> </w:t>
      </w:r>
      <w:r w:rsidR="002828B5">
        <w:t>(</w:t>
      </w:r>
      <w:r w:rsidR="00930669">
        <w:t>“</w:t>
      </w:r>
      <w:r w:rsidR="002828B5">
        <w:t>Empire</w:t>
      </w:r>
      <w:r w:rsidR="00930669">
        <w:t>”</w:t>
      </w:r>
      <w:r w:rsidR="002828B5">
        <w:t>)</w:t>
      </w:r>
      <w:r w:rsidR="00EC2A85">
        <w:t>,</w:t>
      </w:r>
      <w:r w:rsidR="000A2474">
        <w:t xml:space="preserve"> </w:t>
      </w:r>
      <w:r w:rsidR="002828B5">
        <w:t xml:space="preserve">from </w:t>
      </w:r>
      <w:r w:rsidR="00FA5425">
        <w:t xml:space="preserve">the </w:t>
      </w:r>
      <w:r w:rsidR="002828B5">
        <w:t xml:space="preserve">County </w:t>
      </w:r>
      <w:r w:rsidR="00930669">
        <w:t xml:space="preserve">of Brant (“County”) </w:t>
      </w:r>
      <w:r w:rsidR="002828B5">
        <w:t xml:space="preserve">failure to make a decision on applications for </w:t>
      </w:r>
      <w:r w:rsidR="00CD0AB9">
        <w:t>O</w:t>
      </w:r>
      <w:r w:rsidR="002828B5">
        <w:t xml:space="preserve">fficial </w:t>
      </w:r>
      <w:r w:rsidR="00CD0AB9">
        <w:t>P</w:t>
      </w:r>
      <w:r w:rsidR="002828B5">
        <w:t xml:space="preserve">lan </w:t>
      </w:r>
      <w:r w:rsidR="00CD0AB9">
        <w:t>A</w:t>
      </w:r>
      <w:r w:rsidR="002828B5">
        <w:t xml:space="preserve">mendment, </w:t>
      </w:r>
      <w:r w:rsidR="00CD0AB9">
        <w:t>Z</w:t>
      </w:r>
      <w:r w:rsidR="002828B5">
        <w:t xml:space="preserve">oning </w:t>
      </w:r>
      <w:r w:rsidR="00CD0AB9">
        <w:t>B</w:t>
      </w:r>
      <w:r w:rsidR="002828B5">
        <w:t xml:space="preserve">y-law </w:t>
      </w:r>
      <w:r w:rsidR="00CD0AB9">
        <w:t>A</w:t>
      </w:r>
      <w:r w:rsidR="002828B5">
        <w:t xml:space="preserve">mendment and for </w:t>
      </w:r>
      <w:r w:rsidR="00CD0AB9">
        <w:t>D</w:t>
      </w:r>
      <w:r w:rsidR="002828B5">
        <w:t xml:space="preserve">raft </w:t>
      </w:r>
      <w:r w:rsidR="00CD0AB9">
        <w:t>P</w:t>
      </w:r>
      <w:r w:rsidR="002828B5">
        <w:t xml:space="preserve">lan of </w:t>
      </w:r>
      <w:r w:rsidR="00CD0AB9">
        <w:t>S</w:t>
      </w:r>
      <w:r w:rsidR="002828B5">
        <w:t xml:space="preserve">ubdivision </w:t>
      </w:r>
      <w:r w:rsidR="00CD0AB9">
        <w:t>A</w:t>
      </w:r>
      <w:r w:rsidR="002828B5">
        <w:t>pproval</w:t>
      </w:r>
      <w:r w:rsidR="00DD5D49">
        <w:t>,</w:t>
      </w:r>
      <w:r w:rsidR="0067155E">
        <w:t xml:space="preserve"> </w:t>
      </w:r>
      <w:r w:rsidR="005821E2" w:rsidRPr="00477BE1">
        <w:t xml:space="preserve">for </w:t>
      </w:r>
      <w:r w:rsidR="0067155E">
        <w:t xml:space="preserve">lands </w:t>
      </w:r>
      <w:r w:rsidRPr="00477BE1">
        <w:t>municipally</w:t>
      </w:r>
      <w:r w:rsidR="005821E2" w:rsidRPr="00477BE1">
        <w:t xml:space="preserve"> known as 205 </w:t>
      </w:r>
      <w:r w:rsidR="00FA5425">
        <w:t>and</w:t>
      </w:r>
      <w:r w:rsidR="005821E2" w:rsidRPr="00477BE1">
        <w:t xml:space="preserve"> 209 Beverly St</w:t>
      </w:r>
      <w:r w:rsidR="00FA5425">
        <w:t>reet</w:t>
      </w:r>
      <w:r w:rsidR="005821E2" w:rsidRPr="00477BE1">
        <w:t xml:space="preserve"> W</w:t>
      </w:r>
      <w:r w:rsidR="00FA5425">
        <w:t>est</w:t>
      </w:r>
      <w:r w:rsidR="005821E2" w:rsidRPr="00477BE1">
        <w:t xml:space="preserve"> and 239 </w:t>
      </w:r>
      <w:r w:rsidR="00FA5425">
        <w:t>and</w:t>
      </w:r>
      <w:r w:rsidR="005821E2" w:rsidRPr="00477BE1">
        <w:t xml:space="preserve"> 241 Highway 5(</w:t>
      </w:r>
      <w:r w:rsidR="005B1657">
        <w:t>the</w:t>
      </w:r>
      <w:r w:rsidR="005821E2" w:rsidRPr="00477BE1">
        <w:t xml:space="preserve"> “</w:t>
      </w:r>
      <w:r w:rsidR="00744D3C">
        <w:t xml:space="preserve">Subject </w:t>
      </w:r>
      <w:r w:rsidR="005821E2" w:rsidRPr="00477BE1">
        <w:t>Lands”).</w:t>
      </w:r>
      <w:r w:rsidR="00540B16">
        <w:t xml:space="preserve"> </w:t>
      </w:r>
      <w:r w:rsidR="000E29F9">
        <w:t xml:space="preserve">Empire seeks </w:t>
      </w:r>
      <w:r w:rsidR="00540B16">
        <w:t>a change in the designation</w:t>
      </w:r>
      <w:r w:rsidR="000E29F9">
        <w:t xml:space="preserve"> of the subject lands</w:t>
      </w:r>
      <w:r w:rsidR="00540B16">
        <w:t xml:space="preserve"> from Urban Residential to </w:t>
      </w:r>
      <w:r w:rsidR="00C04B18">
        <w:t>Site Specific Policy Area Mixed Use</w:t>
      </w:r>
      <w:r w:rsidR="000E29F9">
        <w:t>,</w:t>
      </w:r>
      <w:r w:rsidR="00C04B18">
        <w:t xml:space="preserve"> to permit a residential plan of subdivision.</w:t>
      </w:r>
    </w:p>
    <w:p w14:paraId="1F96D773" w14:textId="352A4C8F" w:rsidR="00E3191B" w:rsidRPr="002828B5" w:rsidRDefault="00E3191B" w:rsidP="00FA5425">
      <w:pPr>
        <w:pStyle w:val="DecisionBody"/>
        <w:numPr>
          <w:ilvl w:val="0"/>
          <w:numId w:val="0"/>
        </w:numPr>
      </w:pPr>
      <w:r w:rsidRPr="000E29F9">
        <w:rPr>
          <w:b/>
        </w:rPr>
        <w:t>Background</w:t>
      </w:r>
      <w:r w:rsidR="00DD3AAA" w:rsidRPr="000E29F9">
        <w:rPr>
          <w:b/>
        </w:rPr>
        <w:t xml:space="preserve"> and </w:t>
      </w:r>
      <w:r w:rsidR="00FA5425" w:rsidRPr="000E29F9">
        <w:rPr>
          <w:b/>
        </w:rPr>
        <w:t>C</w:t>
      </w:r>
      <w:r w:rsidR="00DD3AAA" w:rsidRPr="000E29F9">
        <w:rPr>
          <w:b/>
        </w:rPr>
        <w:t>ontext</w:t>
      </w:r>
    </w:p>
    <w:p w14:paraId="78D597A4" w14:textId="6A4D81CA" w:rsidR="004924AD" w:rsidRPr="00A37305" w:rsidRDefault="00A37305" w:rsidP="00790235">
      <w:pPr>
        <w:pStyle w:val="DecisionBody"/>
      </w:pPr>
      <w:r w:rsidRPr="00A37305">
        <w:t xml:space="preserve">The </w:t>
      </w:r>
      <w:r w:rsidR="00FA5425">
        <w:t>S</w:t>
      </w:r>
      <w:r w:rsidRPr="00A37305">
        <w:t xml:space="preserve">ubject </w:t>
      </w:r>
      <w:r w:rsidR="00FA5425">
        <w:t>L</w:t>
      </w:r>
      <w:r w:rsidRPr="00A37305">
        <w:t>ands are</w:t>
      </w:r>
      <w:r>
        <w:t xml:space="preserve"> approximately 66.83 h</w:t>
      </w:r>
      <w:r w:rsidR="002828B5">
        <w:t>ectares</w:t>
      </w:r>
      <w:r w:rsidR="00686096">
        <w:t xml:space="preserve"> (</w:t>
      </w:r>
      <w:r w:rsidR="00FA5425">
        <w:t>“</w:t>
      </w:r>
      <w:r w:rsidR="00686096">
        <w:t>ha</w:t>
      </w:r>
      <w:r w:rsidR="00FA5425">
        <w:t>”</w:t>
      </w:r>
      <w:r w:rsidR="00686096">
        <w:t>)</w:t>
      </w:r>
      <w:r w:rsidR="00EC2A85">
        <w:t xml:space="preserve">, </w:t>
      </w:r>
      <w:r w:rsidRPr="00A37305">
        <w:t>located in the northwest portion of the St. George Settlement Area</w:t>
      </w:r>
      <w:r w:rsidR="00CD0AB9">
        <w:t xml:space="preserve"> (“St. George”)</w:t>
      </w:r>
      <w:r>
        <w:t>. Empire owns 55.2 ha</w:t>
      </w:r>
      <w:r w:rsidR="00EC2A85">
        <w:t>;</w:t>
      </w:r>
      <w:r>
        <w:t xml:space="preserve"> 11.6 ha are owned by Brian and Maree Loveless</w:t>
      </w:r>
      <w:r w:rsidR="004924AD">
        <w:t xml:space="preserve"> </w:t>
      </w:r>
      <w:r w:rsidR="002828B5">
        <w:t>(</w:t>
      </w:r>
      <w:r w:rsidR="004924AD">
        <w:t>on whose behalf Empire acts</w:t>
      </w:r>
      <w:r w:rsidR="002828B5">
        <w:t>)</w:t>
      </w:r>
      <w:r w:rsidR="004924AD">
        <w:t>.</w:t>
      </w:r>
    </w:p>
    <w:p w14:paraId="1C594145" w14:textId="763FA924" w:rsidR="00DD3AAA" w:rsidRDefault="002828B5" w:rsidP="00790235">
      <w:pPr>
        <w:pStyle w:val="DecisionBody"/>
      </w:pPr>
      <w:r>
        <w:t xml:space="preserve">The </w:t>
      </w:r>
      <w:r w:rsidR="004924AD">
        <w:t xml:space="preserve">applications were originally submitted by </w:t>
      </w:r>
      <w:r w:rsidR="00137B16">
        <w:t xml:space="preserve">Empire </w:t>
      </w:r>
      <w:r w:rsidR="004924AD">
        <w:t xml:space="preserve">and </w:t>
      </w:r>
      <w:r w:rsidR="001E3868">
        <w:t xml:space="preserve">deemed complete </w:t>
      </w:r>
      <w:r w:rsidR="0067155E">
        <w:t xml:space="preserve">in </w:t>
      </w:r>
      <w:r w:rsidR="0067155E">
        <w:lastRenderedPageBreak/>
        <w:t>February</w:t>
      </w:r>
      <w:r w:rsidR="00137B16">
        <w:t xml:space="preserve"> </w:t>
      </w:r>
      <w:r w:rsidR="00686096">
        <w:t>2008 but</w:t>
      </w:r>
      <w:r>
        <w:t xml:space="preserve"> </w:t>
      </w:r>
      <w:r w:rsidR="004924AD">
        <w:t xml:space="preserve">were </w:t>
      </w:r>
      <w:r w:rsidR="001E3868">
        <w:t>put on hold</w:t>
      </w:r>
      <w:r w:rsidR="00DA0506">
        <w:t xml:space="preserve"> </w:t>
      </w:r>
      <w:r w:rsidR="001E3868">
        <w:t>pendin</w:t>
      </w:r>
      <w:r w:rsidR="00965A7F">
        <w:t>g the St. George Area Study</w:t>
      </w:r>
      <w:r w:rsidR="00EC2A85">
        <w:t xml:space="preserve"> (the “Study”)</w:t>
      </w:r>
      <w:r w:rsidR="00DD3AAA">
        <w:t>.</w:t>
      </w:r>
    </w:p>
    <w:p w14:paraId="63A1EC8D" w14:textId="77777777" w:rsidR="00E064DA" w:rsidRDefault="00DD3AAA" w:rsidP="00790235">
      <w:pPr>
        <w:pStyle w:val="DecisionBody"/>
      </w:pPr>
      <w:r>
        <w:t xml:space="preserve">The Study covered an area of approximately 831 ha in the designated settlement area of St. George that coincides with the proposed Primary Urban Settlement Area boundaries in the new County Official Plan. </w:t>
      </w:r>
      <w:r w:rsidR="002828B5">
        <w:t xml:space="preserve">The Study </w:t>
      </w:r>
      <w:r>
        <w:t xml:space="preserve">was coordinated by the St. George Land Owners Group, </w:t>
      </w:r>
      <w:r w:rsidR="007E5446">
        <w:t xml:space="preserve">consisting </w:t>
      </w:r>
      <w:r>
        <w:t>of Empire Communities, Activa Group, and Riverview Highland Homes. T</w:t>
      </w:r>
      <w:r w:rsidR="000753B7">
        <w:t>he purpose</w:t>
      </w:r>
      <w:r>
        <w:t xml:space="preserve"> of the </w:t>
      </w:r>
      <w:r w:rsidR="002828B5">
        <w:t>S</w:t>
      </w:r>
      <w:r>
        <w:t>tudy</w:t>
      </w:r>
      <w:r w:rsidR="000753B7">
        <w:t xml:space="preserve"> was to ensure that development would occur within areas and time frames that could be supported by municipal infrastructure</w:t>
      </w:r>
      <w:r w:rsidR="007E5446">
        <w:t>,</w:t>
      </w:r>
      <w:r>
        <w:t xml:space="preserve"> </w:t>
      </w:r>
      <w:r w:rsidR="000753B7">
        <w:t>and appropriate for the assigned population and employment growth.</w:t>
      </w:r>
      <w:r w:rsidR="00591769">
        <w:t xml:space="preserve"> </w:t>
      </w:r>
    </w:p>
    <w:p w14:paraId="4C7E95CD" w14:textId="5E3DFA48" w:rsidR="002828B5" w:rsidRDefault="00E064DA" w:rsidP="00790235">
      <w:pPr>
        <w:pStyle w:val="DecisionBody"/>
      </w:pPr>
      <w:r>
        <w:t>The study determined that St. George is well-suited for new development</w:t>
      </w:r>
      <w:r w:rsidR="000E29F9">
        <w:t>.</w:t>
      </w:r>
      <w:r>
        <w:t xml:space="preserve"> Its identification as a primary urban settlement area in the new County Official </w:t>
      </w:r>
      <w:r w:rsidR="00FA5425">
        <w:t>P</w:t>
      </w:r>
      <w:r>
        <w:t>lan</w:t>
      </w:r>
      <w:r w:rsidR="000E29F9">
        <w:t>,</w:t>
      </w:r>
      <w:r>
        <w:t xml:space="preserve"> extensive areas of the current designated land</w:t>
      </w:r>
      <w:r w:rsidR="000E29F9">
        <w:t>,</w:t>
      </w:r>
      <w:r>
        <w:t xml:space="preserve"> and employment opportunities</w:t>
      </w:r>
      <w:r w:rsidR="000E29F9">
        <w:t>,</w:t>
      </w:r>
      <w:r>
        <w:t xml:space="preserve"> all contribute to the identification of St. George as an appropriate location for growth and new development.</w:t>
      </w:r>
      <w:r w:rsidR="00591769">
        <w:t xml:space="preserve"> </w:t>
      </w:r>
    </w:p>
    <w:p w14:paraId="7AB686F2" w14:textId="7D4BE1F7" w:rsidR="00D27C2B" w:rsidRDefault="00DD3AAA">
      <w:pPr>
        <w:pStyle w:val="DecisionBody"/>
      </w:pPr>
      <w:r>
        <w:t xml:space="preserve">The </w:t>
      </w:r>
      <w:r w:rsidR="002828B5">
        <w:t>S</w:t>
      </w:r>
      <w:r>
        <w:t>tudy established a land use and infrastructure framework to direct and support future development in the community of St. George.</w:t>
      </w:r>
      <w:r w:rsidR="002828B5">
        <w:t xml:space="preserve"> It </w:t>
      </w:r>
      <w:r w:rsidR="00D27C2B">
        <w:t>was completed</w:t>
      </w:r>
      <w:r w:rsidR="007E5446">
        <w:t>,</w:t>
      </w:r>
      <w:r w:rsidR="00D27C2B">
        <w:t xml:space="preserve"> and adopted by Council</w:t>
      </w:r>
      <w:r w:rsidR="007E5446">
        <w:t>,</w:t>
      </w:r>
      <w:r w:rsidR="00D27C2B">
        <w:t xml:space="preserve"> in May 2014. </w:t>
      </w:r>
    </w:p>
    <w:p w14:paraId="0A34A1D6" w14:textId="72946034" w:rsidR="000B42CD" w:rsidRDefault="00CA21E6" w:rsidP="000B42CD">
      <w:pPr>
        <w:pStyle w:val="DecisionBody"/>
      </w:pPr>
      <w:r>
        <w:t>Empire</w:t>
      </w:r>
      <w:r w:rsidR="00E92217">
        <w:t xml:space="preserve"> a</w:t>
      </w:r>
      <w:r w:rsidR="00965A7F">
        <w:t>mended</w:t>
      </w:r>
      <w:r w:rsidR="00E92217">
        <w:t xml:space="preserve"> </w:t>
      </w:r>
      <w:r>
        <w:t>its</w:t>
      </w:r>
      <w:r w:rsidR="00E92217">
        <w:t xml:space="preserve"> </w:t>
      </w:r>
      <w:r w:rsidR="00965A7F">
        <w:t>applications</w:t>
      </w:r>
      <w:r w:rsidR="00E92217">
        <w:t xml:space="preserve"> </w:t>
      </w:r>
      <w:r w:rsidR="00965A7F">
        <w:t>in 2015</w:t>
      </w:r>
      <w:r w:rsidR="0067155E">
        <w:t>, and again in 2017</w:t>
      </w:r>
      <w:r w:rsidR="00E92217">
        <w:t>,</w:t>
      </w:r>
      <w:r w:rsidR="0067155E">
        <w:t xml:space="preserve"> </w:t>
      </w:r>
      <w:r w:rsidR="006059F9">
        <w:t>for</w:t>
      </w:r>
      <w:r w:rsidR="003201D4">
        <w:t xml:space="preserve"> </w:t>
      </w:r>
      <w:r w:rsidR="006059F9">
        <w:t>development</w:t>
      </w:r>
      <w:r w:rsidR="00CF0389">
        <w:t xml:space="preserve"> </w:t>
      </w:r>
      <w:r w:rsidR="0067155E">
        <w:t>of a</w:t>
      </w:r>
      <w:r w:rsidR="00965A7F">
        <w:t xml:space="preserve"> subdivision consisting </w:t>
      </w:r>
      <w:r w:rsidR="00E92217">
        <w:t xml:space="preserve">of </w:t>
      </w:r>
      <w:r w:rsidR="00965A7F">
        <w:t xml:space="preserve">residential detached dwellings and townhomes, mixed-use blocks, open space and </w:t>
      </w:r>
      <w:r w:rsidR="006552DE">
        <w:t>parkland</w:t>
      </w:r>
      <w:r w:rsidR="0067155E">
        <w:t>s</w:t>
      </w:r>
      <w:r w:rsidR="006552DE">
        <w:t>, and</w:t>
      </w:r>
      <w:r w:rsidR="00965A7F">
        <w:t xml:space="preserve"> storm water management facilities.</w:t>
      </w:r>
      <w:r w:rsidR="00137B16">
        <w:t xml:space="preserve">  Empire’s propos</w:t>
      </w:r>
      <w:r w:rsidR="00965A7F">
        <w:t>al was again amended in</w:t>
      </w:r>
      <w:r w:rsidR="00E92332">
        <w:t xml:space="preserve"> April 12, 2018</w:t>
      </w:r>
      <w:r w:rsidR="00AB7C18">
        <w:t>,</w:t>
      </w:r>
      <w:r w:rsidR="00E92217">
        <w:t xml:space="preserve"> and </w:t>
      </w:r>
      <w:r w:rsidR="007632D9">
        <w:t xml:space="preserve">it is that </w:t>
      </w:r>
      <w:r w:rsidR="003201D4">
        <w:t>proposal</w:t>
      </w:r>
      <w:r w:rsidR="007632D9">
        <w:t xml:space="preserve"> which is</w:t>
      </w:r>
      <w:r>
        <w:t xml:space="preserve"> </w:t>
      </w:r>
      <w:r w:rsidR="00E92217">
        <w:t>before the Tribunal</w:t>
      </w:r>
      <w:r>
        <w:t xml:space="preserve"> in these proceedings</w:t>
      </w:r>
      <w:r w:rsidR="00E92217">
        <w:t xml:space="preserve">. </w:t>
      </w:r>
    </w:p>
    <w:p w14:paraId="3503F814" w14:textId="641CC5AC" w:rsidR="000B42CD" w:rsidRPr="000B42CD" w:rsidRDefault="000B42CD" w:rsidP="000B42CD">
      <w:pPr>
        <w:pStyle w:val="DecisionBody"/>
        <w:numPr>
          <w:ilvl w:val="0"/>
          <w:numId w:val="0"/>
        </w:numPr>
        <w:rPr>
          <w:b/>
        </w:rPr>
      </w:pPr>
      <w:r>
        <w:rPr>
          <w:b/>
        </w:rPr>
        <w:t>The Proposal</w:t>
      </w:r>
    </w:p>
    <w:p w14:paraId="2EEC5B3C" w14:textId="6288C7F8" w:rsidR="003201D4" w:rsidRPr="000B42CD" w:rsidRDefault="00D27C2B" w:rsidP="000B42CD">
      <w:pPr>
        <w:pStyle w:val="DecisionBody"/>
        <w:rPr>
          <w:rStyle w:val="Strong"/>
          <w:b w:val="0"/>
          <w:bCs/>
        </w:rPr>
      </w:pPr>
      <w:r w:rsidRPr="000B42CD">
        <w:rPr>
          <w:rStyle w:val="Strong"/>
          <w:b w:val="0"/>
        </w:rPr>
        <w:t>The 2018 proposal</w:t>
      </w:r>
      <w:r w:rsidR="002D0D5E">
        <w:rPr>
          <w:rStyle w:val="Strong"/>
          <w:b w:val="0"/>
        </w:rPr>
        <w:t xml:space="preserve"> was amended to respond to comments made by the County and other parties,</w:t>
      </w:r>
      <w:r w:rsidR="003B7B5A">
        <w:rPr>
          <w:rStyle w:val="Strong"/>
          <w:b w:val="0"/>
        </w:rPr>
        <w:t xml:space="preserve"> as follows</w:t>
      </w:r>
      <w:r w:rsidRPr="000B42CD">
        <w:rPr>
          <w:rStyle w:val="Strong"/>
          <w:b w:val="0"/>
        </w:rPr>
        <w:t>:</w:t>
      </w:r>
      <w:r w:rsidR="003201D4" w:rsidRPr="000B42CD">
        <w:rPr>
          <w:rStyle w:val="Strong"/>
          <w:b w:val="0"/>
        </w:rPr>
        <w:t xml:space="preserve"> </w:t>
      </w:r>
    </w:p>
    <w:p w14:paraId="1B613498" w14:textId="0D047FE8" w:rsidR="000B42CD" w:rsidRDefault="000B42CD" w:rsidP="000B42CD">
      <w:pPr>
        <w:pStyle w:val="DecisionBody"/>
        <w:numPr>
          <w:ilvl w:val="0"/>
          <w:numId w:val="0"/>
        </w:numPr>
        <w:ind w:left="1440" w:hanging="720"/>
      </w:pPr>
      <w:r>
        <w:lastRenderedPageBreak/>
        <w:t>•</w:t>
      </w:r>
      <w:r>
        <w:tab/>
      </w:r>
      <w:r w:rsidR="00CF0389" w:rsidRPr="00E92332">
        <w:t>875</w:t>
      </w:r>
      <w:r w:rsidR="00CF0389">
        <w:t xml:space="preserve"> </w:t>
      </w:r>
      <w:r w:rsidR="00965A7F">
        <w:t xml:space="preserve">residential </w:t>
      </w:r>
      <w:r w:rsidR="002D0D5E">
        <w:t xml:space="preserve">dwelling </w:t>
      </w:r>
      <w:r w:rsidR="00965A7F">
        <w:t>units</w:t>
      </w:r>
      <w:r w:rsidR="006552DE">
        <w:t>, with no more than 32% developed and registered as townho</w:t>
      </w:r>
      <w:r w:rsidR="00B90831">
        <w:t>uses</w:t>
      </w:r>
      <w:r w:rsidR="00A8365B">
        <w:t>;</w:t>
      </w:r>
    </w:p>
    <w:p w14:paraId="52CDFA9C" w14:textId="00ABACF8" w:rsidR="000B42CD" w:rsidRDefault="000B42CD" w:rsidP="000B42CD">
      <w:pPr>
        <w:pStyle w:val="DecisionBody"/>
        <w:numPr>
          <w:ilvl w:val="0"/>
          <w:numId w:val="0"/>
        </w:numPr>
        <w:ind w:left="1440" w:hanging="720"/>
      </w:pPr>
      <w:r>
        <w:t xml:space="preserve">• </w:t>
      </w:r>
      <w:r>
        <w:tab/>
      </w:r>
      <w:r w:rsidR="00B90831">
        <w:t>reduction in density</w:t>
      </w:r>
      <w:r w:rsidR="00AB7C18">
        <w:t xml:space="preserve"> to 43 </w:t>
      </w:r>
      <w:r w:rsidR="00B90831">
        <w:t>from 52</w:t>
      </w:r>
      <w:r w:rsidR="00AB7C18">
        <w:t xml:space="preserve"> </w:t>
      </w:r>
      <w:r w:rsidR="006552DE">
        <w:t>residents and job per h</w:t>
      </w:r>
      <w:r>
        <w:t>a</w:t>
      </w:r>
      <w:r w:rsidR="006552DE">
        <w:t>;</w:t>
      </w:r>
      <w:r w:rsidR="00965A7F">
        <w:t xml:space="preserve"> </w:t>
      </w:r>
    </w:p>
    <w:p w14:paraId="0AAC54DB" w14:textId="77777777" w:rsidR="000B42CD" w:rsidRDefault="000B42CD" w:rsidP="000B42CD">
      <w:pPr>
        <w:pStyle w:val="DecisionBody"/>
        <w:numPr>
          <w:ilvl w:val="0"/>
          <w:numId w:val="0"/>
        </w:numPr>
        <w:ind w:left="1440" w:hanging="720"/>
      </w:pPr>
      <w:r>
        <w:t xml:space="preserve">• </w:t>
      </w:r>
      <w:r>
        <w:tab/>
      </w:r>
      <w:r w:rsidR="006552DE">
        <w:t>removal of residential uses from mixed-use blocks along the southern edge of the lands along Highway 5</w:t>
      </w:r>
      <w:r w:rsidR="00D27C2B">
        <w:t>,</w:t>
      </w:r>
      <w:r w:rsidR="006552DE">
        <w:t xml:space="preserve"> </w:t>
      </w:r>
      <w:r w:rsidR="00AB7C18">
        <w:t xml:space="preserve">to </w:t>
      </w:r>
      <w:r w:rsidR="006552DE">
        <w:t>commercial blocks</w:t>
      </w:r>
      <w:r w:rsidR="00A8365B">
        <w:t>;</w:t>
      </w:r>
    </w:p>
    <w:p w14:paraId="030B0B41" w14:textId="775DDE92" w:rsidR="000B42CD" w:rsidRDefault="000B42CD" w:rsidP="000B42CD">
      <w:pPr>
        <w:pStyle w:val="DecisionBody"/>
        <w:numPr>
          <w:ilvl w:val="0"/>
          <w:numId w:val="0"/>
        </w:numPr>
        <w:ind w:left="1440" w:hanging="720"/>
      </w:pPr>
      <w:r>
        <w:t xml:space="preserve">• </w:t>
      </w:r>
      <w:r>
        <w:tab/>
        <w:t>a</w:t>
      </w:r>
      <w:r w:rsidR="00CF0389">
        <w:t xml:space="preserve"> 4.19 ha</w:t>
      </w:r>
      <w:r w:rsidR="00AB7C18">
        <w:t xml:space="preserve"> </w:t>
      </w:r>
      <w:r w:rsidR="006552DE" w:rsidRPr="006552DE">
        <w:t>school block</w:t>
      </w:r>
      <w:r w:rsidR="00A8365B">
        <w:t>;</w:t>
      </w:r>
      <w:r w:rsidR="006552DE" w:rsidRPr="006552DE">
        <w:t xml:space="preserve"> </w:t>
      </w:r>
    </w:p>
    <w:p w14:paraId="380AA15E" w14:textId="0691BF2A" w:rsidR="002828B5" w:rsidRDefault="000B42CD" w:rsidP="000B42CD">
      <w:pPr>
        <w:pStyle w:val="DecisionBody"/>
        <w:numPr>
          <w:ilvl w:val="0"/>
          <w:numId w:val="0"/>
        </w:numPr>
        <w:ind w:left="1440" w:hanging="720"/>
      </w:pPr>
      <w:r>
        <w:t xml:space="preserve">• </w:t>
      </w:r>
      <w:r>
        <w:tab/>
      </w:r>
      <w:r w:rsidR="006552DE">
        <w:t xml:space="preserve">relocation of the </w:t>
      </w:r>
      <w:r w:rsidR="00993FD4">
        <w:t>p</w:t>
      </w:r>
      <w:r w:rsidR="006552DE">
        <w:t>ark block</w:t>
      </w:r>
      <w:r w:rsidR="00D72880">
        <w:t>,</w:t>
      </w:r>
      <w:r w:rsidR="006552DE">
        <w:t xml:space="preserve"> </w:t>
      </w:r>
      <w:r w:rsidR="00993FD4">
        <w:t>s</w:t>
      </w:r>
      <w:r w:rsidR="006552DE">
        <w:t xml:space="preserve">outh of the Imperial </w:t>
      </w:r>
      <w:r w:rsidR="00AB7C18">
        <w:t>O</w:t>
      </w:r>
      <w:r w:rsidR="006552DE">
        <w:t>il transmission line</w:t>
      </w:r>
      <w:r w:rsidR="00A8365B">
        <w:t>;</w:t>
      </w:r>
    </w:p>
    <w:p w14:paraId="3E8E8C4D" w14:textId="77777777" w:rsidR="00197468" w:rsidRDefault="000B42CD" w:rsidP="00197468">
      <w:pPr>
        <w:pStyle w:val="DecisionBody"/>
        <w:numPr>
          <w:ilvl w:val="0"/>
          <w:numId w:val="0"/>
        </w:numPr>
        <w:ind w:left="1440" w:hanging="720"/>
      </w:pPr>
      <w:r>
        <w:t xml:space="preserve">• </w:t>
      </w:r>
      <w:r>
        <w:tab/>
      </w:r>
      <w:r w:rsidR="006552DE">
        <w:t>deletion of certain open-space blocks within which archaeological resources are located</w:t>
      </w:r>
      <w:r w:rsidR="00A8365B">
        <w:t>;</w:t>
      </w:r>
      <w:r w:rsidR="00197468">
        <w:t xml:space="preserve"> and</w:t>
      </w:r>
    </w:p>
    <w:p w14:paraId="6CA8658F" w14:textId="673087C4" w:rsidR="009B10D4" w:rsidRPr="002828B5" w:rsidRDefault="00197468" w:rsidP="00197468">
      <w:pPr>
        <w:pStyle w:val="DecisionBody"/>
        <w:numPr>
          <w:ilvl w:val="0"/>
          <w:numId w:val="0"/>
        </w:numPr>
        <w:ind w:left="1440" w:hanging="720"/>
      </w:pPr>
      <w:r>
        <w:t xml:space="preserve">• </w:t>
      </w:r>
      <w:r>
        <w:tab/>
        <w:t>r</w:t>
      </w:r>
      <w:r w:rsidR="00FE019C">
        <w:t>ealignment</w:t>
      </w:r>
      <w:r w:rsidR="00B90831">
        <w:t xml:space="preserve"> of Streets A, B</w:t>
      </w:r>
      <w:r w:rsidR="006552DE">
        <w:t xml:space="preserve"> and E</w:t>
      </w:r>
      <w:r w:rsidR="00A8365B">
        <w:t>.</w:t>
      </w:r>
    </w:p>
    <w:p w14:paraId="36A7AFA7" w14:textId="5A0A5C6E" w:rsidR="00E57A12" w:rsidRDefault="005C7E05" w:rsidP="00627BE8">
      <w:pPr>
        <w:pStyle w:val="DecisionBody"/>
      </w:pPr>
      <w:r w:rsidRPr="00686096">
        <w:t>At the start of the Hearing the Tribunal was informed</w:t>
      </w:r>
      <w:r w:rsidR="004A1586" w:rsidRPr="00686096">
        <w:t xml:space="preserve"> that </w:t>
      </w:r>
      <w:r w:rsidR="0043030C" w:rsidRPr="00686096">
        <w:t xml:space="preserve">the following </w:t>
      </w:r>
      <w:r w:rsidR="004A1586" w:rsidRPr="00686096">
        <w:t xml:space="preserve">parties had </w:t>
      </w:r>
      <w:r w:rsidR="003D107D" w:rsidRPr="00686096">
        <w:t>resolved or narrowed</w:t>
      </w:r>
      <w:r w:rsidR="00440539" w:rsidRPr="00686096">
        <w:t xml:space="preserve"> the</w:t>
      </w:r>
      <w:r w:rsidR="003D107D" w:rsidRPr="00686096">
        <w:t xml:space="preserve"> issues</w:t>
      </w:r>
      <w:r w:rsidR="00440539" w:rsidRPr="00686096">
        <w:t xml:space="preserve"> </w:t>
      </w:r>
      <w:r w:rsidR="00C35E95" w:rsidRPr="00686096">
        <w:t>in this</w:t>
      </w:r>
      <w:r w:rsidR="00440539" w:rsidRPr="00686096">
        <w:t xml:space="preserve"> appeal</w:t>
      </w:r>
      <w:r w:rsidR="00AD275E" w:rsidRPr="00686096">
        <w:t>:</w:t>
      </w:r>
    </w:p>
    <w:p w14:paraId="04DB3A6F" w14:textId="5E4DC651" w:rsidR="00E57A12" w:rsidRPr="00197468" w:rsidRDefault="004C3A95" w:rsidP="00E57A12">
      <w:pPr>
        <w:pStyle w:val="DecisionBody"/>
        <w:numPr>
          <w:ilvl w:val="0"/>
          <w:numId w:val="0"/>
        </w:numPr>
        <w:ind w:left="1440" w:hanging="720"/>
      </w:pPr>
      <w:r>
        <w:t>1</w:t>
      </w:r>
      <w:r w:rsidR="00E57A12">
        <w:t>.</w:t>
      </w:r>
      <w:r w:rsidR="00E57A12">
        <w:tab/>
      </w:r>
      <w:r w:rsidR="00E57A12" w:rsidRPr="00EB467F">
        <w:t>Losani Homes (1998) Ltd.</w:t>
      </w:r>
      <w:r w:rsidR="00E57A12">
        <w:t xml:space="preserve"> (“Losani”)</w:t>
      </w:r>
      <w:r w:rsidR="00E57A12" w:rsidRPr="00EB467F">
        <w:t xml:space="preserve">, Riverview Highlands (St. George) Holdings Ltd. and Brant Star Developments Ltd., owners of lands within the St. </w:t>
      </w:r>
      <w:r w:rsidR="00E57A12" w:rsidRPr="002A4F62">
        <w:t>George Community</w:t>
      </w:r>
      <w:r w:rsidR="00E57A12" w:rsidRPr="00197468">
        <w:t xml:space="preserve"> resolved their issues under terms set out in a letter of Intent filed as Exhibit 9. Those parties agreed to certain principles that would form the basis of a Land Owners Agreement regarding cost sharing associated with the Study, and the implementation of services required to accommodate growth; the distribution of servicing allocation that would be made available by the County as a result of planned infrastructure and coordination of current and future planning applications, and other matters identified in the Letter of Intent (Exhibit 9). The question of road alignment and access point for the Empire Plan of Subdivision with </w:t>
      </w:r>
      <w:r w:rsidR="00E57A12" w:rsidRPr="00197468">
        <w:lastRenderedPageBreak/>
        <w:t xml:space="preserve">the Losani Plan would be resolved should approval be given to the Empire draft plan of subdivision. </w:t>
      </w:r>
    </w:p>
    <w:p w14:paraId="3F4176B2" w14:textId="06E14535" w:rsidR="00E57A12" w:rsidRDefault="004C3A95" w:rsidP="00E57A12">
      <w:pPr>
        <w:pStyle w:val="DecisionBody"/>
        <w:numPr>
          <w:ilvl w:val="0"/>
          <w:numId w:val="0"/>
        </w:numPr>
        <w:ind w:left="1440" w:hanging="720"/>
      </w:pPr>
      <w:r>
        <w:t>2</w:t>
      </w:r>
      <w:r w:rsidR="00E57A12" w:rsidRPr="00BB72DA">
        <w:t>.</w:t>
      </w:r>
      <w:r w:rsidR="00E57A12">
        <w:rPr>
          <w:b/>
        </w:rPr>
        <w:tab/>
      </w:r>
      <w:r w:rsidR="00E57A12" w:rsidRPr="00EB467F">
        <w:t>2482704 Ontario Inc.</w:t>
      </w:r>
      <w:r w:rsidR="00E57A12" w:rsidRPr="009852AE">
        <w:t xml:space="preserve"> </w:t>
      </w:r>
      <w:r w:rsidR="00E57A12">
        <w:t xml:space="preserve">(“248”) arrived at an </w:t>
      </w:r>
      <w:r w:rsidR="00E57A12" w:rsidRPr="009852AE">
        <w:t>agreement</w:t>
      </w:r>
      <w:r w:rsidR="00E57A12">
        <w:t xml:space="preserve"> with the proviso </w:t>
      </w:r>
      <w:r w:rsidR="00E57A12" w:rsidRPr="009852AE">
        <w:t xml:space="preserve">that approval of the draft plan of subdivision conditions is without prejudice to any argument or position that may be raised or taken by any party in respect to appropriate draft plan conditions for any future applications that may be made by 248 to the County of Brant. </w:t>
      </w:r>
    </w:p>
    <w:p w14:paraId="607BA82B" w14:textId="3F4AAFA5" w:rsidR="00E57A12" w:rsidRDefault="004C3A95" w:rsidP="00E57A12">
      <w:pPr>
        <w:pStyle w:val="DecisionBody"/>
        <w:numPr>
          <w:ilvl w:val="0"/>
          <w:numId w:val="0"/>
        </w:numPr>
        <w:ind w:left="1440" w:hanging="720"/>
      </w:pPr>
      <w:r>
        <w:t>3</w:t>
      </w:r>
      <w:r w:rsidR="00E57A12">
        <w:t>.</w:t>
      </w:r>
      <w:r w:rsidR="00E57A12">
        <w:tab/>
      </w:r>
      <w:r w:rsidR="00E57A12" w:rsidRPr="00EB467F">
        <w:t xml:space="preserve">The County </w:t>
      </w:r>
      <w:r w:rsidR="00E57A12">
        <w:t xml:space="preserve">supports development in St. George and has agreed to most aspects of Empire’s proposal. </w:t>
      </w:r>
      <w:r w:rsidR="00E57A12" w:rsidRPr="00AF3669">
        <w:t>There was</w:t>
      </w:r>
      <w:r w:rsidR="00E57A12">
        <w:t>,</w:t>
      </w:r>
      <w:r w:rsidR="00E57A12" w:rsidRPr="00AF3669">
        <w:t xml:space="preserve"> however</w:t>
      </w:r>
      <w:r w:rsidR="00E57A12">
        <w:t>,</w:t>
      </w:r>
      <w:r w:rsidR="00E57A12" w:rsidRPr="00AF3669">
        <w:t xml:space="preserve"> one significant disagreement between the Applicant and County, and that is the alignment of Street “A” as shown on the proposed </w:t>
      </w:r>
      <w:r w:rsidR="00E57A12">
        <w:t>d</w:t>
      </w:r>
      <w:r w:rsidR="00E57A12" w:rsidRPr="00AF3669">
        <w:t xml:space="preserve">raft </w:t>
      </w:r>
      <w:r w:rsidR="00E57A12">
        <w:t>p</w:t>
      </w:r>
      <w:r w:rsidR="00E57A12" w:rsidRPr="00AF3669">
        <w:t xml:space="preserve">lan of </w:t>
      </w:r>
      <w:r w:rsidR="00E57A12">
        <w:t>s</w:t>
      </w:r>
      <w:r w:rsidR="00E57A12" w:rsidRPr="00AF3669">
        <w:t xml:space="preserve">ubdivision. </w:t>
      </w:r>
      <w:r w:rsidR="00E57A12">
        <w:t>Empire does not agree to any modification of the plan to relocate Street A.</w:t>
      </w:r>
    </w:p>
    <w:p w14:paraId="369A76EA" w14:textId="1BD9CF62" w:rsidR="00E57A12" w:rsidRDefault="00E57A12" w:rsidP="00E57A12">
      <w:pPr>
        <w:pStyle w:val="DecisionBody"/>
        <w:numPr>
          <w:ilvl w:val="0"/>
          <w:numId w:val="0"/>
        </w:numPr>
        <w:ind w:left="1440"/>
      </w:pPr>
      <w:r>
        <w:t>There was agreement on the Planning instruments (Exhibits 6, 7, and 8) to be approved, should the Tribunal approve the location of Street A.</w:t>
      </w:r>
    </w:p>
    <w:p w14:paraId="5ED0B96A" w14:textId="2F411998" w:rsidR="00E57A12" w:rsidRDefault="004C3A95" w:rsidP="00E57A12">
      <w:pPr>
        <w:pStyle w:val="DecisionBody"/>
        <w:numPr>
          <w:ilvl w:val="0"/>
          <w:numId w:val="0"/>
        </w:numPr>
        <w:ind w:left="1440" w:hanging="720"/>
      </w:pPr>
      <w:r>
        <w:t>4</w:t>
      </w:r>
      <w:r w:rsidR="00E57A12">
        <w:t xml:space="preserve">. </w:t>
      </w:r>
      <w:r w:rsidR="00E57A12">
        <w:tab/>
      </w:r>
      <w:r w:rsidR="00E57A12" w:rsidRPr="00EB467F">
        <w:t>Parkland Fuel Corporation</w:t>
      </w:r>
      <w:r w:rsidR="00E57A12">
        <w:t xml:space="preserve"> (“Parkland”)</w:t>
      </w:r>
      <w:r w:rsidR="00E57A12" w:rsidRPr="00EB467F">
        <w:t>:</w:t>
      </w:r>
      <w:r w:rsidR="00E57A12" w:rsidRPr="00E165B3">
        <w:t xml:space="preserve"> The parent company of Sparling’s Propane Co. Ltd. located </w:t>
      </w:r>
      <w:r w:rsidR="00E57A12">
        <w:t>at 183 I</w:t>
      </w:r>
      <w:r w:rsidR="00E57A12" w:rsidRPr="00E165B3">
        <w:t>ndustrial Boulevard, St. George, narrowed its opposition to the proposed Empire development. Initially, Parkland</w:t>
      </w:r>
      <w:r w:rsidR="00E57A12" w:rsidRPr="009852AE">
        <w:t xml:space="preserve"> identified issues with respect to Blocks 76–78</w:t>
      </w:r>
      <w:r w:rsidR="00E57A12">
        <w:t>,</w:t>
      </w:r>
      <w:r w:rsidR="00E57A12" w:rsidRPr="00E165B3">
        <w:t xml:space="preserve"> </w:t>
      </w:r>
      <w:r w:rsidR="00E57A12">
        <w:t xml:space="preserve">and </w:t>
      </w:r>
      <w:r w:rsidR="00E57A12" w:rsidRPr="00E165B3">
        <w:t xml:space="preserve">claimed the </w:t>
      </w:r>
      <w:r w:rsidR="00E57A12">
        <w:t xml:space="preserve">proposed </w:t>
      </w:r>
      <w:r w:rsidR="00E57A12" w:rsidRPr="00E165B3">
        <w:t xml:space="preserve">development </w:t>
      </w:r>
      <w:r w:rsidR="00E57A12">
        <w:t xml:space="preserve">would be </w:t>
      </w:r>
      <w:r w:rsidR="00E57A12" w:rsidRPr="00E165B3">
        <w:t>incompatible with the legal use of its facility</w:t>
      </w:r>
      <w:r w:rsidR="00E57A12">
        <w:t xml:space="preserve"> as it did not meet the following</w:t>
      </w:r>
      <w:r w:rsidR="00E57A12" w:rsidRPr="00E165B3">
        <w:t>:</w:t>
      </w:r>
    </w:p>
    <w:p w14:paraId="0865F027" w14:textId="77777777" w:rsidR="00E57A12" w:rsidRPr="005B262B" w:rsidRDefault="00E57A12" w:rsidP="00E57A12">
      <w:pPr>
        <w:pStyle w:val="DecisionBody"/>
        <w:numPr>
          <w:ilvl w:val="0"/>
          <w:numId w:val="0"/>
        </w:numPr>
        <w:ind w:left="720" w:firstLine="720"/>
      </w:pPr>
      <w:r>
        <w:t xml:space="preserve">• </w:t>
      </w:r>
      <w:r>
        <w:tab/>
      </w:r>
      <w:r w:rsidRPr="005B262B">
        <w:t>the D1 and D6 Guidelines;</w:t>
      </w:r>
    </w:p>
    <w:p w14:paraId="49BAB713" w14:textId="253184E9" w:rsidR="00E57A12" w:rsidRPr="005B262B" w:rsidRDefault="00E57A12" w:rsidP="0082697D">
      <w:pPr>
        <w:pStyle w:val="DecisionBody"/>
        <w:numPr>
          <w:ilvl w:val="0"/>
          <w:numId w:val="0"/>
        </w:numPr>
        <w:ind w:left="2160" w:hanging="720"/>
      </w:pPr>
      <w:r>
        <w:t xml:space="preserve">• </w:t>
      </w:r>
      <w:r>
        <w:tab/>
      </w:r>
      <w:r w:rsidRPr="005B262B">
        <w:t xml:space="preserve">the Technical Standards and Safety Authority </w:t>
      </w:r>
      <w:r>
        <w:t>(</w:t>
      </w:r>
      <w:r w:rsidRPr="005B262B">
        <w:t xml:space="preserve">“TSSA”) Regulations and Guidelines for the Implementation of the Level 2 Risk and Safety Management Plan; </w:t>
      </w:r>
    </w:p>
    <w:p w14:paraId="1B0E2281" w14:textId="106CDB27" w:rsidR="00E57A12" w:rsidRPr="005B262B" w:rsidRDefault="00E57A12" w:rsidP="0082697D">
      <w:pPr>
        <w:pStyle w:val="DecisionBody"/>
        <w:numPr>
          <w:ilvl w:val="0"/>
          <w:numId w:val="0"/>
        </w:numPr>
        <w:ind w:left="2160" w:hanging="720"/>
      </w:pPr>
      <w:r>
        <w:lastRenderedPageBreak/>
        <w:t xml:space="preserve">• </w:t>
      </w:r>
      <w:r>
        <w:tab/>
      </w:r>
      <w:r w:rsidRPr="005B262B">
        <w:t xml:space="preserve">It did not have appropriate regard for the continued operation of the existing Parkland propane facility to the south west of the </w:t>
      </w:r>
      <w:r w:rsidR="00CD0AB9">
        <w:t>S</w:t>
      </w:r>
      <w:r w:rsidRPr="005B262B">
        <w:t xml:space="preserve">ubject </w:t>
      </w:r>
      <w:r w:rsidR="00CD0AB9">
        <w:t>L</w:t>
      </w:r>
      <w:r w:rsidRPr="005B262B">
        <w:t>ands and to matters of public health and safety.</w:t>
      </w:r>
    </w:p>
    <w:p w14:paraId="501EEA09" w14:textId="346C6ACF" w:rsidR="0082697D" w:rsidRDefault="009B4CA7" w:rsidP="00627BE8">
      <w:pPr>
        <w:pStyle w:val="DecisionBody"/>
      </w:pPr>
      <w:r w:rsidRPr="00E57A12">
        <w:t xml:space="preserve">Empire </w:t>
      </w:r>
      <w:r w:rsidR="00A60BF4" w:rsidRPr="00E57A12">
        <w:t xml:space="preserve">made </w:t>
      </w:r>
      <w:r w:rsidRPr="00E57A12">
        <w:t xml:space="preserve">changes to the </w:t>
      </w:r>
      <w:r w:rsidR="00E064DA" w:rsidRPr="00E57A12">
        <w:t xml:space="preserve">draft plan to address issues raised by Parkland. </w:t>
      </w:r>
      <w:r w:rsidR="008C7F3E" w:rsidRPr="00E57A12">
        <w:t>A small triangle of land in</w:t>
      </w:r>
      <w:r w:rsidR="00A60BF4" w:rsidRPr="00E57A12">
        <w:t xml:space="preserve"> the school </w:t>
      </w:r>
      <w:r w:rsidR="00E064DA" w:rsidRPr="00E57A12">
        <w:t>block, Block</w:t>
      </w:r>
      <w:r w:rsidR="008C7F3E" w:rsidRPr="00E57A12">
        <w:t xml:space="preserve"> </w:t>
      </w:r>
      <w:r w:rsidR="00686096" w:rsidRPr="00E57A12">
        <w:t>75, is</w:t>
      </w:r>
      <w:r w:rsidR="008C7F3E" w:rsidRPr="00E57A12">
        <w:t xml:space="preserve"> within the 874 m</w:t>
      </w:r>
      <w:r w:rsidR="00627BE8" w:rsidRPr="00E57A12">
        <w:t>etre</w:t>
      </w:r>
      <w:r w:rsidR="008C7F3E" w:rsidRPr="00E57A12">
        <w:t xml:space="preserve"> </w:t>
      </w:r>
      <w:r w:rsidR="001E60FD">
        <w:t xml:space="preserve">(“m”) </w:t>
      </w:r>
      <w:r w:rsidR="008C7F3E" w:rsidRPr="00E57A12">
        <w:t xml:space="preserve">risk contour, and that is the area </w:t>
      </w:r>
      <w:r w:rsidR="00A60BF4" w:rsidRPr="00E57A12">
        <w:t xml:space="preserve">of concern for </w:t>
      </w:r>
      <w:r w:rsidR="008C7F3E" w:rsidRPr="00E57A12">
        <w:t>Parkland.</w:t>
      </w:r>
    </w:p>
    <w:p w14:paraId="478FC822" w14:textId="5650F914" w:rsidR="0082697D" w:rsidRDefault="00627BE8" w:rsidP="0082697D">
      <w:pPr>
        <w:pStyle w:val="DecisionBody"/>
      </w:pPr>
      <w:r w:rsidRPr="0082697D">
        <w:t>A Participant statement was submitted by Hillary Scholten whose primary concern is the impact of increased traffic on Andrew Street.</w:t>
      </w:r>
    </w:p>
    <w:p w14:paraId="20E99708" w14:textId="77777777" w:rsidR="0082697D" w:rsidRPr="0082697D" w:rsidRDefault="0082697D" w:rsidP="0082697D">
      <w:pPr>
        <w:pStyle w:val="DecisionBody"/>
        <w:numPr>
          <w:ilvl w:val="0"/>
          <w:numId w:val="0"/>
        </w:numPr>
        <w:rPr>
          <w:b/>
        </w:rPr>
      </w:pPr>
      <w:r w:rsidRPr="0082697D">
        <w:rPr>
          <w:b/>
        </w:rPr>
        <w:t>Evidence and Analysis</w:t>
      </w:r>
    </w:p>
    <w:p w14:paraId="67BBDFB9" w14:textId="3B2019E5" w:rsidR="004C3A95" w:rsidRDefault="00C02C2C" w:rsidP="004C3A95">
      <w:pPr>
        <w:pStyle w:val="DecisionBody"/>
      </w:pPr>
      <w:r w:rsidRPr="0082697D">
        <w:t xml:space="preserve">The </w:t>
      </w:r>
      <w:r w:rsidR="00CD0AB9">
        <w:t>T</w:t>
      </w:r>
      <w:r w:rsidRPr="0082697D">
        <w:t>ribunal heard expert opinion evidence from the following witnesses:</w:t>
      </w:r>
    </w:p>
    <w:p w14:paraId="0B8DB3EF" w14:textId="0DBFAEA9" w:rsidR="004C3A95" w:rsidRPr="006567C6" w:rsidRDefault="004C3A95" w:rsidP="00904B8D">
      <w:pPr>
        <w:pStyle w:val="DecisionBody"/>
        <w:numPr>
          <w:ilvl w:val="0"/>
          <w:numId w:val="0"/>
        </w:numPr>
        <w:ind w:left="1440" w:hanging="720"/>
      </w:pPr>
      <w:r>
        <w:t xml:space="preserve">• </w:t>
      </w:r>
      <w:r>
        <w:tab/>
      </w:r>
      <w:r w:rsidRPr="0082697D">
        <w:t>Paul E. Johnston, Planning Consultant retained by Empire. Mr. Johnston, on consent, provided overall contextual evidence and factual background, including the history of the applications and the evolution of the plan to respond to comments from the County and other parties, and he provided evidence on the Area Study and its conclusions. Mr. Johns</w:t>
      </w:r>
      <w:r w:rsidR="00CD0AB9">
        <w:t>t</w:t>
      </w:r>
      <w:r w:rsidRPr="0082697D">
        <w:t>on testified in support of the applications.</w:t>
      </w:r>
    </w:p>
    <w:p w14:paraId="563C9BDC" w14:textId="41102685" w:rsidR="004C3A95" w:rsidRDefault="004C3A95" w:rsidP="004C3A95">
      <w:pPr>
        <w:pStyle w:val="DecisionBody"/>
        <w:numPr>
          <w:ilvl w:val="0"/>
          <w:numId w:val="0"/>
        </w:numPr>
        <w:ind w:left="1440" w:hanging="720"/>
      </w:pPr>
      <w:r>
        <w:t>•</w:t>
      </w:r>
      <w:r>
        <w:tab/>
      </w:r>
      <w:r w:rsidRPr="006567C6">
        <w:t xml:space="preserve">Wendy </w:t>
      </w:r>
      <w:r>
        <w:t>N</w:t>
      </w:r>
      <w:r w:rsidRPr="006567C6">
        <w:t>ott</w:t>
      </w:r>
      <w:r>
        <w:t>, Walker Nott, Dragicevic Associates Limited, retained by the St. George Landowner’s Group to prepare the Area Study for St. George. Ms. Nott presented evidence on the key findings of the study, servicing strategy and the recommendations from the study.</w:t>
      </w:r>
    </w:p>
    <w:p w14:paraId="60722F2A" w14:textId="6CAE86B5" w:rsidR="004C3A95" w:rsidRDefault="004C3A95" w:rsidP="004C3A95">
      <w:pPr>
        <w:pStyle w:val="DecisionBody"/>
        <w:numPr>
          <w:ilvl w:val="0"/>
          <w:numId w:val="0"/>
        </w:numPr>
        <w:ind w:left="1440" w:hanging="720"/>
      </w:pPr>
      <w:r>
        <w:t xml:space="preserve">• </w:t>
      </w:r>
      <w:r>
        <w:tab/>
        <w:t xml:space="preserve">Rushika Angrish, Senior Land Use Planner for the County. Ms. Angrish presented evidence on the background to Empire’s applications; the St. George </w:t>
      </w:r>
      <w:r w:rsidR="00CD0AB9">
        <w:t>O</w:t>
      </w:r>
      <w:r>
        <w:t xml:space="preserve">fficial </w:t>
      </w:r>
      <w:r w:rsidR="00CD0AB9">
        <w:t>P</w:t>
      </w:r>
      <w:r>
        <w:t xml:space="preserve">lan </w:t>
      </w:r>
      <w:r w:rsidR="00CD0AB9">
        <w:t>A</w:t>
      </w:r>
      <w:r>
        <w:t xml:space="preserve">mendment and area study addendum; the municipal class environmental assessment for water and wastewater in St. George; </w:t>
      </w:r>
      <w:r>
        <w:lastRenderedPageBreak/>
        <w:t>provided opinion evidence on the applicable planning instruments; and she responded to the issues identified in Attachment 3 to the Procedural Order.</w:t>
      </w:r>
    </w:p>
    <w:p w14:paraId="64CDAFD9" w14:textId="42C7D8DA" w:rsidR="004C3A95" w:rsidRDefault="004C3A95" w:rsidP="004C3A95">
      <w:pPr>
        <w:pStyle w:val="DecisionBody"/>
        <w:numPr>
          <w:ilvl w:val="0"/>
          <w:numId w:val="0"/>
        </w:numPr>
        <w:ind w:left="1440" w:hanging="720"/>
      </w:pPr>
      <w:r>
        <w:t xml:space="preserve">• </w:t>
      </w:r>
      <w:r>
        <w:tab/>
      </w:r>
      <w:r w:rsidR="003B7B5A" w:rsidRPr="00732BF7">
        <w:t>Stephen Fournier</w:t>
      </w:r>
      <w:r w:rsidRPr="00732BF7">
        <w:t xml:space="preserve"> retained by the County</w:t>
      </w:r>
      <w:r>
        <w:t xml:space="preserve"> to </w:t>
      </w:r>
      <w:r w:rsidRPr="00732BF7">
        <w:t>provide evidence on Traffic and Transportation analysis related to the construction of roadways and</w:t>
      </w:r>
      <w:r>
        <w:t xml:space="preserve"> the</w:t>
      </w:r>
      <w:r w:rsidRPr="00732BF7">
        <w:t xml:space="preserve"> proposed subdivision layout</w:t>
      </w:r>
      <w:r>
        <w:t>.</w:t>
      </w:r>
    </w:p>
    <w:p w14:paraId="4B6EB54E" w14:textId="51F162D7" w:rsidR="004C3A95" w:rsidRDefault="004C3A95" w:rsidP="004C3A95">
      <w:pPr>
        <w:pStyle w:val="DecisionBody"/>
        <w:numPr>
          <w:ilvl w:val="0"/>
          <w:numId w:val="0"/>
        </w:numPr>
        <w:ind w:left="1440" w:hanging="720"/>
      </w:pPr>
      <w:r>
        <w:t xml:space="preserve">• </w:t>
      </w:r>
      <w:r>
        <w:tab/>
        <w:t xml:space="preserve">Richard Pernicky, retained by Empire to provide Transportation Planning and Traffic Engineering evidence. </w:t>
      </w:r>
    </w:p>
    <w:p w14:paraId="196B3EFC" w14:textId="292CF198" w:rsidR="004C3A95" w:rsidRDefault="004C3A95" w:rsidP="004C3A95">
      <w:pPr>
        <w:pStyle w:val="DecisionBody"/>
        <w:numPr>
          <w:ilvl w:val="0"/>
          <w:numId w:val="0"/>
        </w:numPr>
        <w:ind w:left="1440" w:hanging="720"/>
      </w:pPr>
      <w:r>
        <w:t xml:space="preserve">• </w:t>
      </w:r>
      <w:r>
        <w:tab/>
      </w:r>
      <w:r w:rsidRPr="00732BF7">
        <w:t>Andy Bite, Chief Development Officer, Sleegers Engineered Product</w:t>
      </w:r>
      <w:r>
        <w:t>s Inc.</w:t>
      </w:r>
      <w:r w:rsidRPr="00732BF7">
        <w:t>,</w:t>
      </w:r>
      <w:r>
        <w:t xml:space="preserve"> retained by Sparling’s Propane Co.Ltd. to provide consulting services for a Risk and Safety Management Plan for the facility located at 183 Industrial Boulevard, St. George, Ontario.</w:t>
      </w:r>
    </w:p>
    <w:p w14:paraId="61E3745D" w14:textId="77777777" w:rsidR="004C3A95" w:rsidRPr="00255B72" w:rsidRDefault="004C3A95" w:rsidP="004C3A95">
      <w:pPr>
        <w:pStyle w:val="DecisionBody"/>
        <w:numPr>
          <w:ilvl w:val="0"/>
          <w:numId w:val="0"/>
        </w:numPr>
        <w:ind w:firstLine="720"/>
      </w:pPr>
      <w:r>
        <w:t xml:space="preserve">• </w:t>
      </w:r>
      <w:r>
        <w:tab/>
        <w:t>Harry Froussios, land use planner retained by Parkland Fuel Corporation</w:t>
      </w:r>
    </w:p>
    <w:p w14:paraId="0463D31E" w14:textId="361C963F" w:rsidR="004C3A95" w:rsidRPr="004C3A95" w:rsidRDefault="004C3A95" w:rsidP="004C3A95">
      <w:pPr>
        <w:pStyle w:val="DecisionBody"/>
        <w:numPr>
          <w:ilvl w:val="0"/>
          <w:numId w:val="0"/>
        </w:numPr>
        <w:rPr>
          <w:b/>
        </w:rPr>
      </w:pPr>
      <w:r w:rsidRPr="004C3A95">
        <w:rPr>
          <w:b/>
        </w:rPr>
        <w:t xml:space="preserve">The Alignment of Street </w:t>
      </w:r>
      <w:r w:rsidR="001E60FD">
        <w:rPr>
          <w:b/>
        </w:rPr>
        <w:t>“</w:t>
      </w:r>
      <w:r w:rsidRPr="004C3A95">
        <w:rPr>
          <w:b/>
        </w:rPr>
        <w:t>A</w:t>
      </w:r>
      <w:r w:rsidR="001E60FD">
        <w:rPr>
          <w:b/>
        </w:rPr>
        <w:t>”</w:t>
      </w:r>
    </w:p>
    <w:p w14:paraId="7B7734B1" w14:textId="07D709B3" w:rsidR="007C51E3" w:rsidRPr="004C3A95" w:rsidRDefault="00FE019C" w:rsidP="004C3A95">
      <w:pPr>
        <w:pStyle w:val="DecisionBody"/>
      </w:pPr>
      <w:r w:rsidRPr="004C3A95">
        <w:t xml:space="preserve">Street </w:t>
      </w:r>
      <w:r w:rsidR="004C1744" w:rsidRPr="004C3A95">
        <w:t>A is</w:t>
      </w:r>
      <w:r w:rsidRPr="004C3A95">
        <w:t xml:space="preserve"> on the western edge of the </w:t>
      </w:r>
      <w:r w:rsidR="00CD0AB9">
        <w:t>S</w:t>
      </w:r>
      <w:r w:rsidR="00744D3C" w:rsidRPr="004C3A95">
        <w:t xml:space="preserve">ubject </w:t>
      </w:r>
      <w:r w:rsidR="00CD0AB9">
        <w:t>L</w:t>
      </w:r>
      <w:r w:rsidRPr="004C3A95">
        <w:t>ands</w:t>
      </w:r>
      <w:r w:rsidR="002828B5" w:rsidRPr="004C3A95">
        <w:t>. It is</w:t>
      </w:r>
      <w:r w:rsidRPr="004C3A95">
        <w:t xml:space="preserve"> proposed </w:t>
      </w:r>
      <w:r w:rsidR="00002AF7" w:rsidRPr="004C3A95">
        <w:t xml:space="preserve">to be </w:t>
      </w:r>
      <w:r w:rsidRPr="004C3A95">
        <w:t>single loaded, meaning</w:t>
      </w:r>
      <w:r w:rsidR="003B7B5A">
        <w:t>,</w:t>
      </w:r>
      <w:r w:rsidRPr="004C3A95">
        <w:t xml:space="preserve"> residential dwelling lots </w:t>
      </w:r>
      <w:r w:rsidR="004C1744" w:rsidRPr="004C3A95">
        <w:t xml:space="preserve">are </w:t>
      </w:r>
      <w:r w:rsidRPr="004C3A95">
        <w:t>only on the east side of the street</w:t>
      </w:r>
      <w:r w:rsidR="007C51E3" w:rsidRPr="004C3A95">
        <w:t>,</w:t>
      </w:r>
      <w:r w:rsidR="00B64103" w:rsidRPr="004C3A95">
        <w:t xml:space="preserve"> and services </w:t>
      </w:r>
      <w:r w:rsidR="00542EC7" w:rsidRPr="004C3A95">
        <w:t xml:space="preserve">would </w:t>
      </w:r>
      <w:r w:rsidR="00B64103" w:rsidRPr="004C3A95">
        <w:t>be installed on one side only</w:t>
      </w:r>
      <w:r w:rsidRPr="004C3A95">
        <w:t>.</w:t>
      </w:r>
      <w:r w:rsidR="009B10D4" w:rsidRPr="004C3A95">
        <w:t xml:space="preserve"> </w:t>
      </w:r>
      <w:r w:rsidRPr="004C3A95">
        <w:t>The west side of the street</w:t>
      </w:r>
      <w:r w:rsidR="009B10D4" w:rsidRPr="004C3A95">
        <w:t xml:space="preserve"> </w:t>
      </w:r>
      <w:r w:rsidR="00C91E23" w:rsidRPr="004C3A95">
        <w:t>would be</w:t>
      </w:r>
      <w:r w:rsidR="009B10D4" w:rsidRPr="004C3A95">
        <w:t xml:space="preserve"> flanked by a block intended as a pedestrian trail. </w:t>
      </w:r>
      <w:r w:rsidR="000E7379" w:rsidRPr="004C3A95">
        <w:t xml:space="preserve">The western edge of the </w:t>
      </w:r>
      <w:r w:rsidR="00CD0AB9">
        <w:t>S</w:t>
      </w:r>
      <w:r w:rsidR="000E7379" w:rsidRPr="004C3A95">
        <w:t xml:space="preserve">ubject </w:t>
      </w:r>
      <w:r w:rsidR="00CD0AB9">
        <w:t>L</w:t>
      </w:r>
      <w:r w:rsidR="000E7379" w:rsidRPr="004C3A95">
        <w:t>ands is the west limit of the proposed pedestrian trail</w:t>
      </w:r>
      <w:r w:rsidR="00542EC7" w:rsidRPr="004C3A95">
        <w:t>,</w:t>
      </w:r>
      <w:r w:rsidR="000E7379" w:rsidRPr="004C3A95">
        <w:t xml:space="preserve"> and the Urban Boundary of the County. </w:t>
      </w:r>
    </w:p>
    <w:p w14:paraId="126CCCB0" w14:textId="5F9BDE15" w:rsidR="006A169B" w:rsidRPr="00DE59CF" w:rsidRDefault="000E7379" w:rsidP="004C3A95">
      <w:pPr>
        <w:pStyle w:val="DecisionBody"/>
        <w:rPr>
          <w:rFonts w:eastAsia="Tahoma"/>
        </w:rPr>
      </w:pPr>
      <w:r w:rsidRPr="00A40983">
        <w:t>T</w:t>
      </w:r>
      <w:r w:rsidR="00B64103" w:rsidRPr="00A40983">
        <w:t>he County</w:t>
      </w:r>
      <w:r w:rsidR="005F4D6B" w:rsidRPr="00A40983">
        <w:t xml:space="preserve"> </w:t>
      </w:r>
      <w:r w:rsidR="00C91E23">
        <w:t xml:space="preserve">argued </w:t>
      </w:r>
      <w:r w:rsidR="005F4D6B" w:rsidRPr="00A40983">
        <w:t xml:space="preserve">that </w:t>
      </w:r>
      <w:r w:rsidR="00667C9F" w:rsidRPr="00A40983">
        <w:t>a single loaded street</w:t>
      </w:r>
      <w:r w:rsidR="005F4D6B" w:rsidRPr="00A40983">
        <w:t xml:space="preserve"> is unacceptable</w:t>
      </w:r>
      <w:r w:rsidR="0003287A" w:rsidRPr="00A40983">
        <w:t>,</w:t>
      </w:r>
      <w:r w:rsidR="00667C9F" w:rsidRPr="00A40983">
        <w:t xml:space="preserve"> </w:t>
      </w:r>
      <w:r w:rsidR="00542EC7" w:rsidRPr="00A40983">
        <w:t xml:space="preserve">when </w:t>
      </w:r>
      <w:r w:rsidR="00667C9F" w:rsidRPr="00A40983">
        <w:t xml:space="preserve">considering </w:t>
      </w:r>
      <w:r w:rsidR="00135F10" w:rsidRPr="00A40983">
        <w:t>th</w:t>
      </w:r>
      <w:r w:rsidR="00C91E23">
        <w:t>at</w:t>
      </w:r>
      <w:r w:rsidR="00135F10" w:rsidRPr="00A40983">
        <w:t xml:space="preserve"> </w:t>
      </w:r>
      <w:r w:rsidR="00667C9F" w:rsidRPr="00A40983">
        <w:t>lands abutting the west side of the right</w:t>
      </w:r>
      <w:r w:rsidR="004C3A95">
        <w:t>-</w:t>
      </w:r>
      <w:r w:rsidR="00667C9F" w:rsidRPr="00A40983">
        <w:t>of</w:t>
      </w:r>
      <w:r w:rsidR="004C3A95">
        <w:t>-</w:t>
      </w:r>
      <w:r w:rsidR="00667C9F" w:rsidRPr="00A40983">
        <w:t>way are outside the developable area</w:t>
      </w:r>
      <w:r w:rsidR="00C91E23">
        <w:t>. It is</w:t>
      </w:r>
      <w:r w:rsidR="00002AF7" w:rsidRPr="00A40983">
        <w:t xml:space="preserve"> </w:t>
      </w:r>
      <w:r w:rsidR="005F4D6B" w:rsidRPr="00A40983">
        <w:t>inefficient for servicing</w:t>
      </w:r>
      <w:r w:rsidR="00AD04FE" w:rsidRPr="00A40983">
        <w:t xml:space="preserve"> </w:t>
      </w:r>
      <w:r w:rsidR="005F4D6B" w:rsidRPr="00A40983">
        <w:t>and maintenance</w:t>
      </w:r>
      <w:r w:rsidR="00667C9F" w:rsidRPr="00A40983">
        <w:t>.</w:t>
      </w:r>
      <w:r w:rsidR="005F4D6B" w:rsidRPr="00A40983">
        <w:t xml:space="preserve"> </w:t>
      </w:r>
      <w:r w:rsidR="00667C9F" w:rsidRPr="00A40983">
        <w:t>T</w:t>
      </w:r>
      <w:r w:rsidR="005F4D6B" w:rsidRPr="00A40983">
        <w:t>he County</w:t>
      </w:r>
      <w:r w:rsidR="00542EC7" w:rsidRPr="00A40983">
        <w:t>’s</w:t>
      </w:r>
      <w:r w:rsidR="005F4D6B" w:rsidRPr="00A40983">
        <w:t xml:space="preserve"> position</w:t>
      </w:r>
      <w:r w:rsidR="00667C9F" w:rsidRPr="00A40983">
        <w:t xml:space="preserve"> </w:t>
      </w:r>
      <w:r w:rsidR="006A169B" w:rsidRPr="00A40983">
        <w:t xml:space="preserve">was </w:t>
      </w:r>
      <w:r w:rsidR="005F4D6B" w:rsidRPr="00A40983">
        <w:t xml:space="preserve">that it </w:t>
      </w:r>
      <w:r w:rsidR="00542EC7" w:rsidRPr="00A40983">
        <w:t xml:space="preserve">would not </w:t>
      </w:r>
      <w:r w:rsidR="00B64103" w:rsidRPr="00A40983">
        <w:t>assum</w:t>
      </w:r>
      <w:r w:rsidR="007C51E3" w:rsidRPr="00A40983">
        <w:t>e</w:t>
      </w:r>
      <w:r w:rsidR="007C51E3" w:rsidRPr="00DE59CF">
        <w:rPr>
          <w:rFonts w:eastAsia="Tahoma"/>
          <w:color w:val="000000"/>
          <w:spacing w:val="3"/>
        </w:rPr>
        <w:t xml:space="preserve"> or take title to the street and </w:t>
      </w:r>
      <w:r w:rsidR="00002AF7" w:rsidRPr="00DE59CF">
        <w:rPr>
          <w:rFonts w:eastAsia="Tahoma"/>
          <w:color w:val="000000"/>
          <w:spacing w:val="3"/>
        </w:rPr>
        <w:t xml:space="preserve">the pedestrian </w:t>
      </w:r>
      <w:r w:rsidR="007C51E3" w:rsidRPr="00DE59CF">
        <w:rPr>
          <w:rFonts w:eastAsia="Tahoma"/>
          <w:color w:val="000000"/>
          <w:spacing w:val="3"/>
        </w:rPr>
        <w:t>trail</w:t>
      </w:r>
      <w:r w:rsidR="00C91E23" w:rsidRPr="00DE59CF">
        <w:rPr>
          <w:rFonts w:eastAsia="Tahoma"/>
          <w:color w:val="000000"/>
          <w:spacing w:val="3"/>
        </w:rPr>
        <w:t>,</w:t>
      </w:r>
      <w:r w:rsidR="0003287A" w:rsidRPr="00DE59CF">
        <w:rPr>
          <w:rFonts w:eastAsia="Tahoma"/>
          <w:color w:val="000000"/>
          <w:spacing w:val="3"/>
        </w:rPr>
        <w:t xml:space="preserve"> nor</w:t>
      </w:r>
      <w:r w:rsidR="0003287A" w:rsidRPr="00DE59CF">
        <w:rPr>
          <w:rFonts w:eastAsia="Tahoma"/>
        </w:rPr>
        <w:t xml:space="preserve"> </w:t>
      </w:r>
      <w:r w:rsidR="00C91E23" w:rsidRPr="00DE59CF">
        <w:rPr>
          <w:rFonts w:eastAsia="Tahoma"/>
        </w:rPr>
        <w:t xml:space="preserve">would the County </w:t>
      </w:r>
      <w:r w:rsidR="0003287A" w:rsidRPr="00DE59CF">
        <w:rPr>
          <w:rFonts w:eastAsia="Tahoma"/>
        </w:rPr>
        <w:t>accept</w:t>
      </w:r>
      <w:r w:rsidR="00542EC7" w:rsidRPr="00DE59CF">
        <w:rPr>
          <w:rFonts w:eastAsia="Tahoma"/>
        </w:rPr>
        <w:t xml:space="preserve"> </w:t>
      </w:r>
      <w:r w:rsidR="00C91E23" w:rsidRPr="00DE59CF">
        <w:rPr>
          <w:rFonts w:eastAsia="Tahoma"/>
        </w:rPr>
        <w:lastRenderedPageBreak/>
        <w:t xml:space="preserve">that </w:t>
      </w:r>
      <w:r w:rsidR="00542EC7" w:rsidRPr="00DE59CF">
        <w:rPr>
          <w:rFonts w:eastAsia="Tahoma"/>
        </w:rPr>
        <w:t>it ha</w:t>
      </w:r>
      <w:r w:rsidR="00C91E23" w:rsidRPr="00DE59CF">
        <w:rPr>
          <w:rFonts w:eastAsia="Tahoma"/>
        </w:rPr>
        <w:t>s</w:t>
      </w:r>
      <w:r w:rsidR="00542EC7" w:rsidRPr="00DE59CF">
        <w:rPr>
          <w:rFonts w:eastAsia="Tahoma"/>
        </w:rPr>
        <w:t xml:space="preserve"> to</w:t>
      </w:r>
      <w:r w:rsidR="0003287A" w:rsidRPr="00DE59CF">
        <w:rPr>
          <w:rFonts w:eastAsia="Tahoma"/>
        </w:rPr>
        <w:t xml:space="preserve"> assume the municipal services constructed within the streets. </w:t>
      </w:r>
    </w:p>
    <w:p w14:paraId="0D3670EB" w14:textId="7E573A7C" w:rsidR="0003287A" w:rsidRPr="00A40983" w:rsidRDefault="00B64103" w:rsidP="004C3A95">
      <w:pPr>
        <w:pStyle w:val="DecisionBody"/>
      </w:pPr>
      <w:r w:rsidRPr="00A40983">
        <w:t>Empire’s expectation</w:t>
      </w:r>
      <w:r w:rsidR="00C91E23">
        <w:t>, on the other hand</w:t>
      </w:r>
      <w:r w:rsidRPr="00A40983">
        <w:t xml:space="preserve"> </w:t>
      </w:r>
      <w:r w:rsidR="00542EC7" w:rsidRPr="00A40983">
        <w:t xml:space="preserve">was </w:t>
      </w:r>
      <w:r w:rsidR="009B10D4" w:rsidRPr="00A40983">
        <w:t>that the County</w:t>
      </w:r>
      <w:r w:rsidRPr="00A40983">
        <w:t>, as is typical,</w:t>
      </w:r>
      <w:r w:rsidR="009B10D4" w:rsidRPr="00A40983">
        <w:t xml:space="preserve"> would take the street into its road inventory</w:t>
      </w:r>
      <w:r w:rsidR="000E7379" w:rsidRPr="00A40983">
        <w:t>,</w:t>
      </w:r>
      <w:r w:rsidR="00667C9F" w:rsidRPr="00A40983">
        <w:t xml:space="preserve"> </w:t>
      </w:r>
      <w:r w:rsidR="009B10D4" w:rsidRPr="00A40983">
        <w:t>would take title to the pedestrian trail block and administer it as part of its open space system.</w:t>
      </w:r>
      <w:r w:rsidR="00FE019C" w:rsidRPr="00A40983">
        <w:t xml:space="preserve"> </w:t>
      </w:r>
    </w:p>
    <w:p w14:paraId="2DF43AFA" w14:textId="47EDAF41" w:rsidR="006A169B" w:rsidRPr="004C3A95" w:rsidRDefault="006A169B" w:rsidP="004C3A95">
      <w:pPr>
        <w:pStyle w:val="DecisionBody"/>
        <w:numPr>
          <w:ilvl w:val="0"/>
          <w:numId w:val="0"/>
        </w:numPr>
        <w:rPr>
          <w:b/>
        </w:rPr>
      </w:pPr>
      <w:r w:rsidRPr="004C3A95">
        <w:rPr>
          <w:b/>
        </w:rPr>
        <w:t>The Motion</w:t>
      </w:r>
    </w:p>
    <w:p w14:paraId="644E88CB" w14:textId="4435B711" w:rsidR="004026CF" w:rsidRPr="00A40983" w:rsidRDefault="0003287A" w:rsidP="004C3A95">
      <w:pPr>
        <w:pStyle w:val="DecisionBody"/>
      </w:pPr>
      <w:r w:rsidRPr="00A40983">
        <w:t xml:space="preserve">Questions arose </w:t>
      </w:r>
      <w:r w:rsidR="004C3A95">
        <w:t>about</w:t>
      </w:r>
      <w:r w:rsidR="00A40983" w:rsidRPr="00A40983">
        <w:t xml:space="preserve"> </w:t>
      </w:r>
      <w:r w:rsidRPr="00A40983">
        <w:t xml:space="preserve">whether the </w:t>
      </w:r>
      <w:r w:rsidR="006A169B" w:rsidRPr="00A40983">
        <w:t xml:space="preserve">presiding panel </w:t>
      </w:r>
      <w:r w:rsidRPr="00A40983">
        <w:t>could determin</w:t>
      </w:r>
      <w:r w:rsidR="00542EC7" w:rsidRPr="00A40983">
        <w:t>e</w:t>
      </w:r>
      <w:r w:rsidRPr="00A40983">
        <w:t xml:space="preserve"> matters</w:t>
      </w:r>
      <w:r w:rsidR="00A40983" w:rsidRPr="00A40983">
        <w:t xml:space="preserve"> of ownership raised by the County</w:t>
      </w:r>
      <w:r w:rsidRPr="00A40983">
        <w:t xml:space="preserve"> and </w:t>
      </w:r>
      <w:r w:rsidR="00542EC7" w:rsidRPr="00A40983">
        <w:t xml:space="preserve">whether </w:t>
      </w:r>
      <w:r w:rsidR="00002AF7" w:rsidRPr="00A40983">
        <w:t>the County</w:t>
      </w:r>
      <w:r w:rsidR="00A40983" w:rsidRPr="00A40983">
        <w:t>’s position</w:t>
      </w:r>
      <w:r w:rsidR="00002AF7" w:rsidRPr="00A40983">
        <w:t xml:space="preserve"> </w:t>
      </w:r>
      <w:r w:rsidR="00542EC7" w:rsidRPr="00A40983">
        <w:t>sh</w:t>
      </w:r>
      <w:r w:rsidR="00002AF7" w:rsidRPr="00A40983">
        <w:t>ould affect the</w:t>
      </w:r>
      <w:r w:rsidR="006A169B" w:rsidRPr="00A40983">
        <w:t xml:space="preserve"> </w:t>
      </w:r>
      <w:r w:rsidR="00E064DA" w:rsidRPr="00A40983">
        <w:t>panel’s conclusion</w:t>
      </w:r>
      <w:r w:rsidR="00002AF7" w:rsidRPr="00A40983">
        <w:t xml:space="preserve"> on the proposed </w:t>
      </w:r>
      <w:r w:rsidR="00C91E23" w:rsidRPr="00A40983">
        <w:t>draft plan</w:t>
      </w:r>
      <w:r w:rsidR="00002AF7" w:rsidRPr="00A40983">
        <w:t xml:space="preserve"> of subdivision</w:t>
      </w:r>
      <w:r w:rsidR="006A169B" w:rsidRPr="00A40983">
        <w:t xml:space="preserve"> (Exhibit 11). </w:t>
      </w:r>
    </w:p>
    <w:p w14:paraId="57AF73F1" w14:textId="555D6D80" w:rsidR="00D735D8" w:rsidRPr="00A40983" w:rsidRDefault="006A169B" w:rsidP="004C3A95">
      <w:pPr>
        <w:pStyle w:val="DecisionBody"/>
        <w:rPr>
          <w:rFonts w:eastAsia="Tahoma"/>
          <w:color w:val="000000"/>
          <w:spacing w:val="3"/>
        </w:rPr>
      </w:pPr>
      <w:r w:rsidRPr="00A40983">
        <w:t xml:space="preserve">Empire and the County agreed </w:t>
      </w:r>
      <w:r w:rsidR="00E064DA" w:rsidRPr="00A40983">
        <w:t>that those</w:t>
      </w:r>
      <w:r w:rsidRPr="00A40983">
        <w:t xml:space="preserve"> questions </w:t>
      </w:r>
      <w:r w:rsidR="00542EC7" w:rsidRPr="00A40983">
        <w:t xml:space="preserve">ought to </w:t>
      </w:r>
      <w:r w:rsidRPr="00A40983">
        <w:t xml:space="preserve">be </w:t>
      </w:r>
      <w:r w:rsidR="00542EC7" w:rsidRPr="00A40983">
        <w:t xml:space="preserve">put to a motion </w:t>
      </w:r>
      <w:r w:rsidR="00D735D8" w:rsidRPr="00A40983">
        <w:t>before a different panel of the</w:t>
      </w:r>
      <w:r w:rsidRPr="00A40983">
        <w:t xml:space="preserve"> Tribunal</w:t>
      </w:r>
      <w:r w:rsidR="00092A14" w:rsidRPr="00A40983">
        <w:t xml:space="preserve"> not privy to the </w:t>
      </w:r>
      <w:r w:rsidR="00A40983" w:rsidRPr="00A40983">
        <w:t>opinion of the witnesses on the issue</w:t>
      </w:r>
      <w:r w:rsidR="00AE2BBF">
        <w:t>,</w:t>
      </w:r>
      <w:r w:rsidR="00A40983" w:rsidRPr="00A40983">
        <w:t xml:space="preserve"> </w:t>
      </w:r>
      <w:r w:rsidR="00C91E23" w:rsidRPr="00A40983">
        <w:t xml:space="preserve">and </w:t>
      </w:r>
      <w:r w:rsidR="00C91E23">
        <w:t xml:space="preserve">the </w:t>
      </w:r>
      <w:r w:rsidR="00C91E23" w:rsidRPr="00A40983">
        <w:t>arguments</w:t>
      </w:r>
      <w:r w:rsidRPr="00A40983">
        <w:t xml:space="preserve"> </w:t>
      </w:r>
      <w:r w:rsidR="00092A14" w:rsidRPr="00A40983">
        <w:t>and submissions</w:t>
      </w:r>
      <w:r w:rsidR="00AE2BBF">
        <w:t xml:space="preserve"> on that issue,</w:t>
      </w:r>
      <w:r w:rsidR="00A40983" w:rsidRPr="00A40983">
        <w:t xml:space="preserve"> heard by the presiding member in these appeals.</w:t>
      </w:r>
    </w:p>
    <w:p w14:paraId="469826E3" w14:textId="3823116A" w:rsidR="00263FE2" w:rsidRPr="00A40983" w:rsidRDefault="00263FE2" w:rsidP="004C3A95">
      <w:pPr>
        <w:pStyle w:val="DecisionBody"/>
      </w:pPr>
      <w:r w:rsidRPr="00A40983">
        <w:t xml:space="preserve">The </w:t>
      </w:r>
      <w:r w:rsidR="00D735D8" w:rsidRPr="00A40983">
        <w:t>decision</w:t>
      </w:r>
      <w:r w:rsidR="00542EC7" w:rsidRPr="00A40983">
        <w:t xml:space="preserve"> on the motion,</w:t>
      </w:r>
      <w:r w:rsidR="006A169B" w:rsidRPr="00A40983">
        <w:t xml:space="preserve"> which was not challenged either by the County or </w:t>
      </w:r>
      <w:r w:rsidR="00E064DA" w:rsidRPr="00A40983">
        <w:t>Empire, provided</w:t>
      </w:r>
      <w:r w:rsidR="006A169B" w:rsidRPr="00A40983">
        <w:t xml:space="preserve"> </w:t>
      </w:r>
      <w:r w:rsidR="00AE2BBF">
        <w:t xml:space="preserve">the </w:t>
      </w:r>
      <w:r w:rsidRPr="00A40983">
        <w:t xml:space="preserve">following guidance to this panel. </w:t>
      </w:r>
    </w:p>
    <w:p w14:paraId="0BA83579" w14:textId="77777777" w:rsidR="001E60FD" w:rsidRDefault="001E60FD" w:rsidP="001E60FD">
      <w:pPr>
        <w:pStyle w:val="BodyText"/>
        <w:spacing w:beforeLines="150" w:before="360" w:afterLines="150" w:after="360"/>
        <w:ind w:left="1440" w:hanging="720"/>
        <w:jc w:val="left"/>
        <w:rPr>
          <w:sz w:val="24"/>
          <w:szCs w:val="24"/>
        </w:rPr>
      </w:pPr>
      <w:r>
        <w:rPr>
          <w:sz w:val="24"/>
          <w:szCs w:val="24"/>
        </w:rPr>
        <w:t>1.</w:t>
      </w:r>
      <w:r>
        <w:rPr>
          <w:sz w:val="24"/>
          <w:szCs w:val="24"/>
        </w:rPr>
        <w:tab/>
      </w:r>
      <w:r w:rsidR="00263FE2" w:rsidRPr="00614A30">
        <w:rPr>
          <w:sz w:val="24"/>
          <w:szCs w:val="24"/>
        </w:rPr>
        <w:t>The appropriateness as to location, width and adequacy of the proposed public highways on the draft plan should be assessed from a planning perspective based upon the evidence which was adduced in the hearing.</w:t>
      </w:r>
    </w:p>
    <w:p w14:paraId="29FBE39C" w14:textId="77777777" w:rsidR="001E60FD" w:rsidRDefault="001E60FD" w:rsidP="001E60FD">
      <w:pPr>
        <w:pStyle w:val="BodyText"/>
        <w:spacing w:beforeLines="150" w:before="360" w:afterLines="150" w:after="360"/>
        <w:ind w:left="1440" w:hanging="720"/>
        <w:jc w:val="left"/>
        <w:rPr>
          <w:sz w:val="24"/>
          <w:szCs w:val="24"/>
        </w:rPr>
      </w:pPr>
      <w:r>
        <w:rPr>
          <w:sz w:val="24"/>
          <w:szCs w:val="24"/>
        </w:rPr>
        <w:t>2.</w:t>
      </w:r>
      <w:r>
        <w:rPr>
          <w:sz w:val="24"/>
          <w:szCs w:val="24"/>
        </w:rPr>
        <w:tab/>
      </w:r>
      <w:r w:rsidR="00263FE2" w:rsidRPr="00614A30">
        <w:rPr>
          <w:sz w:val="24"/>
          <w:szCs w:val="24"/>
        </w:rPr>
        <w:t>Unless the evidence has disclosed some reason to cause the matter of the future assumption of the public highways to be a planning issue, the matter of assumption is a future contingency and is not relevant to the determination of the present appeal before the presiding panel.</w:t>
      </w:r>
    </w:p>
    <w:p w14:paraId="5963BE8F" w14:textId="6171740D" w:rsidR="000E3C56" w:rsidRPr="00263FE2" w:rsidRDefault="001E60FD" w:rsidP="001E60FD">
      <w:pPr>
        <w:pStyle w:val="BodyText"/>
        <w:spacing w:beforeLines="150" w:before="360" w:afterLines="150" w:after="360"/>
        <w:ind w:left="1440" w:hanging="720"/>
        <w:jc w:val="left"/>
        <w:rPr>
          <w:sz w:val="24"/>
          <w:szCs w:val="24"/>
        </w:rPr>
      </w:pPr>
      <w:r>
        <w:rPr>
          <w:sz w:val="24"/>
          <w:szCs w:val="24"/>
        </w:rPr>
        <w:t>3.</w:t>
      </w:r>
      <w:r>
        <w:rPr>
          <w:sz w:val="24"/>
          <w:szCs w:val="24"/>
        </w:rPr>
        <w:tab/>
      </w:r>
      <w:r w:rsidR="00263FE2" w:rsidRPr="00614A30">
        <w:rPr>
          <w:sz w:val="24"/>
          <w:szCs w:val="24"/>
        </w:rPr>
        <w:t xml:space="preserve">If there is a planning reason for reconsideration of the circumstances relating to the future assumption of the public highways which should be </w:t>
      </w:r>
      <w:r w:rsidR="00263FE2" w:rsidRPr="00614A30">
        <w:rPr>
          <w:sz w:val="24"/>
          <w:szCs w:val="24"/>
        </w:rPr>
        <w:lastRenderedPageBreak/>
        <w:t xml:space="preserve">remitted to the County to address, the presiding panel may consider the use of the Tribunal’s authority to render a decision which employs a contingent </w:t>
      </w:r>
      <w:r w:rsidR="00880879">
        <w:rPr>
          <w:sz w:val="24"/>
          <w:szCs w:val="24"/>
        </w:rPr>
        <w:t>O</w:t>
      </w:r>
      <w:r w:rsidR="00263FE2" w:rsidRPr="00614A30">
        <w:rPr>
          <w:sz w:val="24"/>
          <w:szCs w:val="24"/>
        </w:rPr>
        <w:t>rder</w:t>
      </w:r>
      <w:r w:rsidR="00880879">
        <w:rPr>
          <w:sz w:val="24"/>
          <w:szCs w:val="24"/>
        </w:rPr>
        <w:t>,</w:t>
      </w:r>
      <w:r w:rsidR="00263FE2" w:rsidRPr="00614A30">
        <w:rPr>
          <w:sz w:val="24"/>
          <w:szCs w:val="24"/>
        </w:rPr>
        <w:t xml:space="preserve"> fashioned as the presiding panel sees fit</w:t>
      </w:r>
      <w:r w:rsidR="00880879">
        <w:rPr>
          <w:sz w:val="24"/>
          <w:szCs w:val="24"/>
        </w:rPr>
        <w:t>,</w:t>
      </w:r>
      <w:r w:rsidR="00263FE2" w:rsidRPr="00614A30">
        <w:rPr>
          <w:sz w:val="24"/>
          <w:szCs w:val="24"/>
        </w:rPr>
        <w:t xml:space="preserve"> based upon the evidence heard by the presiding panel.</w:t>
      </w:r>
    </w:p>
    <w:p w14:paraId="6EE9553F" w14:textId="38FF6AA3" w:rsidR="00DB42E9" w:rsidRPr="00DE59CF" w:rsidRDefault="006A169B" w:rsidP="001E60FD">
      <w:pPr>
        <w:pStyle w:val="DecisionBody"/>
      </w:pPr>
      <w:r w:rsidRPr="00DE59CF">
        <w:t xml:space="preserve">Street </w:t>
      </w:r>
      <w:r w:rsidR="00DA6F02" w:rsidRPr="00DE59CF">
        <w:t>“</w:t>
      </w:r>
      <w:r w:rsidRPr="00DE59CF">
        <w:t>A</w:t>
      </w:r>
      <w:r w:rsidR="00DA6F02" w:rsidRPr="00DE59CF">
        <w:t>”</w:t>
      </w:r>
      <w:r w:rsidRPr="00DE59CF">
        <w:t xml:space="preserve"> is the County’s only outstanding issue</w:t>
      </w:r>
      <w:r w:rsidR="00742427" w:rsidRPr="00DE59CF">
        <w:t xml:space="preserve">. All other matters are subject to the Conditions of final approval set out in Exhibit 8. </w:t>
      </w:r>
      <w:r w:rsidR="00AE2BBF">
        <w:t>To determine w</w:t>
      </w:r>
      <w:r w:rsidR="00542EC7" w:rsidRPr="00DE59CF">
        <w:t xml:space="preserve">hether </w:t>
      </w:r>
      <w:r w:rsidR="00742427" w:rsidRPr="00DE59CF">
        <w:t>the layout of Street “A”</w:t>
      </w:r>
      <w:r w:rsidR="00AE2BBF">
        <w:t xml:space="preserve"> is appropriate</w:t>
      </w:r>
      <w:r w:rsidR="00742427" w:rsidRPr="00DE59CF">
        <w:t xml:space="preserve">, </w:t>
      </w:r>
      <w:r w:rsidR="00AE2BBF">
        <w:t xml:space="preserve">the Tribunal must consider </w:t>
      </w:r>
      <w:r w:rsidR="003A6C64" w:rsidRPr="00DE59CF">
        <w:t>the criteria</w:t>
      </w:r>
      <w:r w:rsidR="00AE2BBF">
        <w:t xml:space="preserve"> for approval of</w:t>
      </w:r>
      <w:r w:rsidR="00AE2BBF" w:rsidRPr="00AE2BBF">
        <w:t xml:space="preserve"> </w:t>
      </w:r>
      <w:r w:rsidR="00AE2BBF" w:rsidRPr="00DE59CF">
        <w:t>a draft plan of subdivision</w:t>
      </w:r>
      <w:r w:rsidR="00AE2BBF">
        <w:t>,</w:t>
      </w:r>
      <w:r w:rsidR="003A6C64" w:rsidRPr="00DE59CF">
        <w:t xml:space="preserve"> set out under</w:t>
      </w:r>
      <w:r w:rsidR="00616B96" w:rsidRPr="00DE59CF">
        <w:t xml:space="preserve"> </w:t>
      </w:r>
      <w:r w:rsidR="00CD0AB9">
        <w:t>s</w:t>
      </w:r>
      <w:r w:rsidRPr="00DE59CF">
        <w:t xml:space="preserve">. 51(24) of the </w:t>
      </w:r>
      <w:r w:rsidR="00F438E3" w:rsidRPr="002A4F62">
        <w:rPr>
          <w:i/>
        </w:rPr>
        <w:t>Planning Act</w:t>
      </w:r>
      <w:r w:rsidR="001569A7" w:rsidRPr="00DE59CF">
        <w:t>.</w:t>
      </w:r>
      <w:r w:rsidR="00C94135">
        <w:t xml:space="preserve"> </w:t>
      </w:r>
      <w:r w:rsidR="00AE2BBF">
        <w:t xml:space="preserve">Of </w:t>
      </w:r>
      <w:r w:rsidR="00C94135">
        <w:t>particular</w:t>
      </w:r>
      <w:r w:rsidR="00AE2BBF">
        <w:t xml:space="preserve"> relevance is the following</w:t>
      </w:r>
      <w:r w:rsidR="00AF4BBA">
        <w:t xml:space="preserve"> criterion</w:t>
      </w:r>
      <w:r w:rsidRPr="00DE59CF">
        <w:t>:</w:t>
      </w:r>
      <w:r w:rsidR="00F438E3" w:rsidRPr="00DE59CF">
        <w:t xml:space="preserve"> </w:t>
      </w:r>
    </w:p>
    <w:p w14:paraId="28FE1BFE" w14:textId="7A43D60D" w:rsidR="00616B96" w:rsidRPr="001E60FD" w:rsidRDefault="00DB42E9" w:rsidP="00900C4D">
      <w:pPr>
        <w:pStyle w:val="paragraph"/>
        <w:spacing w:before="0" w:line="240" w:lineRule="auto"/>
        <w:ind w:left="1418" w:right="1418" w:firstLine="0"/>
        <w:jc w:val="left"/>
        <w:rPr>
          <w:rFonts w:ascii="Arial" w:hAnsi="Arial" w:cs="Arial"/>
        </w:rPr>
      </w:pPr>
      <w:r w:rsidRPr="001E60FD">
        <w:rPr>
          <w:rFonts w:ascii="Arial" w:hAnsi="Arial" w:cs="Arial"/>
        </w:rPr>
        <w:t>(e)</w:t>
      </w:r>
      <w:r w:rsidR="00DE59CF" w:rsidRPr="001E60FD">
        <w:rPr>
          <w:rFonts w:ascii="Arial" w:hAnsi="Arial" w:cs="Arial"/>
        </w:rPr>
        <w:t xml:space="preserve"> </w:t>
      </w:r>
      <w:r w:rsidRPr="001E60FD">
        <w:rPr>
          <w:rFonts w:ascii="Arial" w:hAnsi="Arial" w:cs="Arial"/>
        </w:rPr>
        <w:t>the number, width, location and proposed grades and elevations of highways, and the adequacy of them, and the highways linking the highways in the proposed subdivision with the established highway system in the vicinity and the adequacy of them;</w:t>
      </w:r>
    </w:p>
    <w:p w14:paraId="3469B069" w14:textId="41B39891" w:rsidR="001E60FD" w:rsidRDefault="00616B96" w:rsidP="001E60FD">
      <w:pPr>
        <w:pStyle w:val="DecisionBody"/>
      </w:pPr>
      <w:r w:rsidRPr="006A169B">
        <w:t>Street “</w:t>
      </w:r>
      <w:r w:rsidR="006A169B">
        <w:t>A</w:t>
      </w:r>
      <w:r w:rsidRPr="006A169B">
        <w:t>” is characterized as a local road.</w:t>
      </w:r>
      <w:r w:rsidR="006A169B" w:rsidRPr="006A169B">
        <w:t xml:space="preserve"> </w:t>
      </w:r>
      <w:r w:rsidR="00AE1CB0" w:rsidRPr="006A169B">
        <w:t>The</w:t>
      </w:r>
      <w:r w:rsidR="00DA6F02">
        <w:t xml:space="preserve"> County commented on the </w:t>
      </w:r>
      <w:r w:rsidR="00AE1CB0" w:rsidRPr="00DE59CF">
        <w:t>proposed width for Street “A”</w:t>
      </w:r>
      <w:r w:rsidR="00DA6F02" w:rsidRPr="00DE59CF">
        <w:t xml:space="preserve"> which was previously 26 m. </w:t>
      </w:r>
      <w:r w:rsidR="001569A7" w:rsidRPr="00DE59CF">
        <w:t>I</w:t>
      </w:r>
      <w:r w:rsidR="0050100E" w:rsidRPr="00DE59CF">
        <w:t>t was the opinion of</w:t>
      </w:r>
      <w:r w:rsidR="001C3A2B" w:rsidRPr="00DE59CF">
        <w:t xml:space="preserve"> the </w:t>
      </w:r>
      <w:r w:rsidR="0050100E" w:rsidRPr="00DE59CF">
        <w:t xml:space="preserve">County’s transportation </w:t>
      </w:r>
      <w:r w:rsidR="00DA6F02" w:rsidRPr="00DE59CF">
        <w:t xml:space="preserve">consultant </w:t>
      </w:r>
      <w:r w:rsidR="001C3A2B" w:rsidRPr="00DE59CF">
        <w:t xml:space="preserve">that </w:t>
      </w:r>
      <w:r w:rsidR="00C02C2C" w:rsidRPr="00DE59CF">
        <w:t>26 m is “</w:t>
      </w:r>
      <w:r w:rsidR="00DE59CF" w:rsidRPr="00DE59CF">
        <w:t>inappropriate</w:t>
      </w:r>
      <w:r w:rsidR="001E60FD">
        <w:t>”</w:t>
      </w:r>
      <w:r w:rsidR="00DE59CF" w:rsidRPr="00DE59CF">
        <w:t xml:space="preserve"> for</w:t>
      </w:r>
      <w:r w:rsidR="0050100E" w:rsidRPr="00DE59CF">
        <w:t xml:space="preserve"> a </w:t>
      </w:r>
      <w:r w:rsidR="00C02C2C" w:rsidRPr="00DE59CF">
        <w:t>single loaded street</w:t>
      </w:r>
      <w:r w:rsidR="00C94135">
        <w:t xml:space="preserve"> and that</w:t>
      </w:r>
      <w:r w:rsidR="00DA6F02" w:rsidRPr="00DE59CF">
        <w:t xml:space="preserve"> a</w:t>
      </w:r>
      <w:r w:rsidR="00A40983" w:rsidRPr="00DE59CF">
        <w:t xml:space="preserve"> width of</w:t>
      </w:r>
      <w:r w:rsidR="00DA6F02" w:rsidRPr="00DE59CF">
        <w:t xml:space="preserve"> 20 m would be more </w:t>
      </w:r>
      <w:r w:rsidR="00C94135" w:rsidRPr="00DE59CF">
        <w:t>suitable</w:t>
      </w:r>
      <w:r w:rsidR="00DE59CF" w:rsidRPr="00DE59CF">
        <w:t>. This</w:t>
      </w:r>
      <w:r w:rsidR="006A169B" w:rsidRPr="00DE59CF">
        <w:t xml:space="preserve"> </w:t>
      </w:r>
      <w:r w:rsidR="00AE2BBF">
        <w:t xml:space="preserve">comment </w:t>
      </w:r>
      <w:r w:rsidR="00C02C2C" w:rsidRPr="00DE59CF">
        <w:t>was not opposed by Empire</w:t>
      </w:r>
      <w:r w:rsidR="000B5285" w:rsidRPr="00DE59CF">
        <w:t xml:space="preserve"> and</w:t>
      </w:r>
      <w:r w:rsidR="006A169B" w:rsidRPr="00DE59CF">
        <w:t xml:space="preserve"> </w:t>
      </w:r>
      <w:r w:rsidR="000B5285" w:rsidRPr="00DE59CF">
        <w:t>t</w:t>
      </w:r>
      <w:r w:rsidR="006A169B" w:rsidRPr="00DE59CF">
        <w:t>he adjustment</w:t>
      </w:r>
      <w:r w:rsidR="001569A7" w:rsidRPr="00DE59CF">
        <w:t xml:space="preserve"> to 20 m</w:t>
      </w:r>
      <w:r w:rsidR="006A169B" w:rsidRPr="00DE59CF">
        <w:t xml:space="preserve"> was made</w:t>
      </w:r>
      <w:r w:rsidR="001569A7" w:rsidRPr="00DE59CF">
        <w:t xml:space="preserve"> in response to the County.</w:t>
      </w:r>
      <w:r w:rsidR="00A40983" w:rsidRPr="00DE59CF">
        <w:t xml:space="preserve"> The </w:t>
      </w:r>
      <w:r w:rsidR="006A169B" w:rsidRPr="00DE59CF">
        <w:t xml:space="preserve">additional </w:t>
      </w:r>
      <w:r w:rsidR="001E60FD">
        <w:t>6</w:t>
      </w:r>
      <w:r w:rsidR="000B5285" w:rsidRPr="00DE59CF">
        <w:t xml:space="preserve"> </w:t>
      </w:r>
      <w:r w:rsidR="006A169B" w:rsidRPr="00DE59CF">
        <w:t>m</w:t>
      </w:r>
      <w:r w:rsidR="00DA6F02" w:rsidRPr="00DE59CF">
        <w:t xml:space="preserve"> were</w:t>
      </w:r>
      <w:r w:rsidR="006A169B" w:rsidRPr="00DE59CF">
        <w:t xml:space="preserve"> </w:t>
      </w:r>
      <w:r w:rsidR="004F1F87" w:rsidRPr="00DE59CF">
        <w:t>added to the</w:t>
      </w:r>
      <w:r w:rsidR="001569A7" w:rsidRPr="00DE59CF">
        <w:t xml:space="preserve"> </w:t>
      </w:r>
      <w:r w:rsidR="004F1F87" w:rsidRPr="00DE59CF">
        <w:t xml:space="preserve">Pedestrian trail. </w:t>
      </w:r>
      <w:r w:rsidR="006A169B" w:rsidRPr="00DE59CF">
        <w:t xml:space="preserve"> </w:t>
      </w:r>
    </w:p>
    <w:p w14:paraId="43D64624" w14:textId="77777777" w:rsidR="001E60FD" w:rsidRDefault="0050100E" w:rsidP="001E60FD">
      <w:pPr>
        <w:pStyle w:val="DecisionBody"/>
      </w:pPr>
      <w:r w:rsidRPr="001E60FD">
        <w:t xml:space="preserve">There </w:t>
      </w:r>
      <w:r w:rsidR="000B5285" w:rsidRPr="001E60FD">
        <w:t xml:space="preserve">is </w:t>
      </w:r>
      <w:r w:rsidRPr="001E60FD">
        <w:t xml:space="preserve">no </w:t>
      </w:r>
      <w:r w:rsidR="00BC05FD" w:rsidRPr="001E60FD">
        <w:t>disagreement</w:t>
      </w:r>
      <w:r w:rsidR="00A40983" w:rsidRPr="001E60FD">
        <w:t xml:space="preserve"> between the County and Empire</w:t>
      </w:r>
      <w:r w:rsidRPr="001E60FD">
        <w:t xml:space="preserve"> on the adequacy of </w:t>
      </w:r>
      <w:r w:rsidR="00BC05FD" w:rsidRPr="001E60FD">
        <w:t>S</w:t>
      </w:r>
      <w:r w:rsidRPr="001E60FD">
        <w:t>treet</w:t>
      </w:r>
      <w:r w:rsidR="00BC05FD" w:rsidRPr="001E60FD">
        <w:t xml:space="preserve"> “A”</w:t>
      </w:r>
      <w:r w:rsidR="009B5A5A" w:rsidRPr="001E60FD">
        <w:t xml:space="preserve"> to accommodate</w:t>
      </w:r>
      <w:r w:rsidR="000B5285" w:rsidRPr="001E60FD">
        <w:t xml:space="preserve"> </w:t>
      </w:r>
      <w:r w:rsidR="009B5A5A" w:rsidRPr="001E60FD">
        <w:t xml:space="preserve">the </w:t>
      </w:r>
      <w:r w:rsidR="00BC05FD" w:rsidRPr="001E60FD">
        <w:t>low</w:t>
      </w:r>
      <w:r w:rsidR="009B5A5A" w:rsidRPr="001E60FD">
        <w:t xml:space="preserve"> traffic volume</w:t>
      </w:r>
      <w:r w:rsidR="001569A7" w:rsidRPr="001E60FD">
        <w:t xml:space="preserve"> that is</w:t>
      </w:r>
      <w:r w:rsidR="00DA6F02" w:rsidRPr="001E60FD">
        <w:t xml:space="preserve"> anticipated</w:t>
      </w:r>
      <w:r w:rsidR="009B5A5A" w:rsidRPr="001E60FD">
        <w:t xml:space="preserve"> </w:t>
      </w:r>
      <w:r w:rsidR="001569A7" w:rsidRPr="001E60FD">
        <w:t xml:space="preserve">for </w:t>
      </w:r>
      <w:r w:rsidR="009B5A5A" w:rsidRPr="001E60FD">
        <w:t>this local road.</w:t>
      </w:r>
    </w:p>
    <w:p w14:paraId="43AA1CDD" w14:textId="0598700D" w:rsidR="00BE17D5" w:rsidRDefault="00BC05FD" w:rsidP="00BE17D5">
      <w:pPr>
        <w:pStyle w:val="DecisionBody"/>
      </w:pPr>
      <w:r w:rsidRPr="001E60FD">
        <w:t xml:space="preserve">The County </w:t>
      </w:r>
      <w:r w:rsidR="00C94135">
        <w:t xml:space="preserve">also </w:t>
      </w:r>
      <w:r w:rsidRPr="001E60FD">
        <w:t xml:space="preserve">raised concerns </w:t>
      </w:r>
      <w:r w:rsidR="00C94135" w:rsidRPr="001E60FD">
        <w:t>about</w:t>
      </w:r>
      <w:r w:rsidR="00617AD0">
        <w:t xml:space="preserve"> the</w:t>
      </w:r>
      <w:r w:rsidR="00A40983" w:rsidRPr="001E60FD">
        <w:t xml:space="preserve"> </w:t>
      </w:r>
      <w:r w:rsidR="001569A7" w:rsidRPr="001E60FD">
        <w:t xml:space="preserve">spacing between the </w:t>
      </w:r>
      <w:r w:rsidR="007C02BC" w:rsidRPr="001E60FD">
        <w:t>access</w:t>
      </w:r>
      <w:r w:rsidR="00617AD0">
        <w:t xml:space="preserve"> points</w:t>
      </w:r>
      <w:r w:rsidR="007C02BC" w:rsidRPr="001E60FD">
        <w:t xml:space="preserve"> to </w:t>
      </w:r>
      <w:r w:rsidR="003A6C64" w:rsidRPr="001E60FD">
        <w:t>Empire</w:t>
      </w:r>
      <w:r w:rsidR="00AE2BBF">
        <w:t>’s</w:t>
      </w:r>
      <w:r w:rsidR="003A6C64" w:rsidRPr="001E60FD">
        <w:t xml:space="preserve"> </w:t>
      </w:r>
      <w:r w:rsidR="007C02BC" w:rsidRPr="001E60FD">
        <w:t>development from Beverly Street. There were three access points</w:t>
      </w:r>
      <w:r w:rsidR="003A6C64" w:rsidRPr="001E60FD">
        <w:t xml:space="preserve"> in the previous draft, </w:t>
      </w:r>
      <w:r w:rsidR="001569A7" w:rsidRPr="001E60FD">
        <w:t>namely,</w:t>
      </w:r>
      <w:r w:rsidR="007C02BC" w:rsidRPr="001E60FD">
        <w:t xml:space="preserve"> Streets “A”, “G” and “B”</w:t>
      </w:r>
      <w:r w:rsidR="001569A7" w:rsidRPr="001E60FD">
        <w:t xml:space="preserve">. </w:t>
      </w:r>
      <w:r w:rsidR="0023553C" w:rsidRPr="001E60FD">
        <w:t xml:space="preserve">The </w:t>
      </w:r>
      <w:r w:rsidR="007C02BC" w:rsidRPr="001E60FD">
        <w:t>County suggested</w:t>
      </w:r>
      <w:r w:rsidR="00DA6F02" w:rsidRPr="001E60FD">
        <w:t xml:space="preserve"> remov</w:t>
      </w:r>
      <w:r w:rsidR="007C02BC" w:rsidRPr="001E60FD">
        <w:t>ing</w:t>
      </w:r>
      <w:r w:rsidR="00652812" w:rsidRPr="001E60FD">
        <w:t xml:space="preserve"> </w:t>
      </w:r>
      <w:r w:rsidR="007C02BC" w:rsidRPr="001E60FD">
        <w:t xml:space="preserve">the access at </w:t>
      </w:r>
      <w:r w:rsidR="00CC2B0B" w:rsidRPr="001E60FD">
        <w:t>Street “A”</w:t>
      </w:r>
      <w:r w:rsidR="00617AD0">
        <w:t>. I</w:t>
      </w:r>
      <w:r w:rsidR="00CC2B0B" w:rsidRPr="001E60FD">
        <w:t>nstead, Empire</w:t>
      </w:r>
      <w:r w:rsidR="0023553C" w:rsidRPr="001E60FD">
        <w:t xml:space="preserve"> </w:t>
      </w:r>
      <w:r w:rsidR="00247DED" w:rsidRPr="001E60FD">
        <w:t>e</w:t>
      </w:r>
      <w:r w:rsidR="00CC2B0B" w:rsidRPr="001E60FD">
        <w:t>liminated Street “G</w:t>
      </w:r>
      <w:r w:rsidR="00DA6F02" w:rsidRPr="001E60FD">
        <w:t>”,</w:t>
      </w:r>
      <w:r w:rsidR="001569A7" w:rsidRPr="001E60FD">
        <w:t xml:space="preserve"> which was</w:t>
      </w:r>
      <w:r w:rsidR="00CC2B0B" w:rsidRPr="001E60FD">
        <w:t xml:space="preserve"> located between Streets “A” and “B”</w:t>
      </w:r>
      <w:r w:rsidR="00DA6F02" w:rsidRPr="001E60FD">
        <w:t>.</w:t>
      </w:r>
      <w:r w:rsidR="004B1D69" w:rsidRPr="001E60FD">
        <w:t xml:space="preserve"> Empire</w:t>
      </w:r>
      <w:r w:rsidR="00617AD0">
        <w:t xml:space="preserve"> submits</w:t>
      </w:r>
      <w:r w:rsidR="006E310E">
        <w:t xml:space="preserve"> that </w:t>
      </w:r>
      <w:r w:rsidR="004B1D69" w:rsidRPr="001E60FD">
        <w:t xml:space="preserve">this is a superior solution as it maintains appropriate intersection spacing </w:t>
      </w:r>
      <w:r w:rsidR="006E310E">
        <w:t>of</w:t>
      </w:r>
      <w:r w:rsidR="007C1CFB" w:rsidRPr="001E60FD">
        <w:t xml:space="preserve"> approximately 400 m between</w:t>
      </w:r>
      <w:r w:rsidR="006E310E">
        <w:t xml:space="preserve"> the</w:t>
      </w:r>
      <w:r w:rsidR="007C1CFB" w:rsidRPr="001E60FD">
        <w:t xml:space="preserve"> Streets “A” and “B” access points</w:t>
      </w:r>
      <w:r w:rsidR="006E310E">
        <w:t>. It also</w:t>
      </w:r>
      <w:r w:rsidR="007C1CFB" w:rsidRPr="001E60FD">
        <w:t xml:space="preserve"> </w:t>
      </w:r>
      <w:r w:rsidR="004B1D69" w:rsidRPr="001E60FD">
        <w:t xml:space="preserve">affords access to both commercial blocks 73 and 74, as well </w:t>
      </w:r>
      <w:r w:rsidR="004B1D69" w:rsidRPr="001E60FD">
        <w:lastRenderedPageBreak/>
        <w:t xml:space="preserve">as </w:t>
      </w:r>
      <w:r w:rsidR="006E310E">
        <w:t xml:space="preserve">leaving the </w:t>
      </w:r>
      <w:r w:rsidR="004B1D69" w:rsidRPr="001E60FD">
        <w:t xml:space="preserve">stormwater management block 76 to remain in </w:t>
      </w:r>
      <w:r w:rsidR="006E310E">
        <w:t xml:space="preserve">its </w:t>
      </w:r>
      <w:r w:rsidR="004B1D69" w:rsidRPr="001E60FD">
        <w:t>location</w:t>
      </w:r>
      <w:r w:rsidR="001E60FD">
        <w:t>.</w:t>
      </w:r>
      <w:r w:rsidR="004B1D69" w:rsidRPr="001E60FD">
        <w:t xml:space="preserve"> </w:t>
      </w:r>
    </w:p>
    <w:p w14:paraId="2EE90075" w14:textId="47B939A3" w:rsidR="00BE17D5" w:rsidRDefault="001226C3" w:rsidP="00BE17D5">
      <w:pPr>
        <w:pStyle w:val="DecisionBody"/>
      </w:pPr>
      <w:r w:rsidRPr="00BE17D5">
        <w:t>T</w:t>
      </w:r>
      <w:r w:rsidR="00F7397D" w:rsidRPr="00BE17D5">
        <w:t xml:space="preserve">he </w:t>
      </w:r>
      <w:r w:rsidR="00DA6F02" w:rsidRPr="00BE17D5">
        <w:t>County</w:t>
      </w:r>
      <w:r w:rsidR="0023553C" w:rsidRPr="00BE17D5">
        <w:t xml:space="preserve"> </w:t>
      </w:r>
      <w:r w:rsidR="006E310E">
        <w:t>further</w:t>
      </w:r>
      <w:r w:rsidR="00DA6F02" w:rsidRPr="00BE17D5">
        <w:t xml:space="preserve"> </w:t>
      </w:r>
      <w:r w:rsidR="00F7397D" w:rsidRPr="00BE17D5">
        <w:t>suggested</w:t>
      </w:r>
      <w:r w:rsidRPr="00BE17D5">
        <w:t xml:space="preserve"> </w:t>
      </w:r>
      <w:r w:rsidR="0023553C" w:rsidRPr="00BE17D5">
        <w:t>shifting Street</w:t>
      </w:r>
      <w:r w:rsidR="00F7397D" w:rsidRPr="00BE17D5">
        <w:t xml:space="preserve"> “A” by 80</w:t>
      </w:r>
      <w:r w:rsidR="00B2556C" w:rsidRPr="00BE17D5">
        <w:t xml:space="preserve"> </w:t>
      </w:r>
      <w:r w:rsidR="00F7397D" w:rsidRPr="00BE17D5">
        <w:t>m</w:t>
      </w:r>
      <w:r w:rsidR="006E310E">
        <w:t>,</w:t>
      </w:r>
      <w:r w:rsidR="00652812" w:rsidRPr="00BE17D5">
        <w:t xml:space="preserve"> presumably</w:t>
      </w:r>
      <w:r w:rsidR="007C1CFB" w:rsidRPr="00BE17D5">
        <w:t>,</w:t>
      </w:r>
      <w:r w:rsidR="00BE17D5">
        <w:t xml:space="preserve"> </w:t>
      </w:r>
      <w:r w:rsidR="00652812" w:rsidRPr="00BE17D5">
        <w:t xml:space="preserve">to create additional space </w:t>
      </w:r>
      <w:r w:rsidR="00617AD0">
        <w:t>for houses on both sides of the street.</w:t>
      </w:r>
      <w:r w:rsidR="00F7397D" w:rsidRPr="00BE17D5">
        <w:t xml:space="preserve"> </w:t>
      </w:r>
      <w:r w:rsidR="007C1CFB" w:rsidRPr="00BE17D5">
        <w:t>T</w:t>
      </w:r>
      <w:r w:rsidR="00F7397D" w:rsidRPr="00BE17D5">
        <w:t>h</w:t>
      </w:r>
      <w:r w:rsidR="00B2556C" w:rsidRPr="00BE17D5">
        <w:t>is</w:t>
      </w:r>
      <w:r w:rsidR="006E310E">
        <w:t xml:space="preserve"> change</w:t>
      </w:r>
      <w:r w:rsidR="00B2556C" w:rsidRPr="00BE17D5">
        <w:t xml:space="preserve"> </w:t>
      </w:r>
      <w:r w:rsidR="0023553C" w:rsidRPr="00BE17D5">
        <w:t xml:space="preserve">would </w:t>
      </w:r>
      <w:r w:rsidR="007C02BC" w:rsidRPr="00BE17D5">
        <w:t>require</w:t>
      </w:r>
      <w:r w:rsidR="00BE17D5">
        <w:t xml:space="preserve"> </w:t>
      </w:r>
      <w:r w:rsidR="007C02BC" w:rsidRPr="00BE17D5">
        <w:t>significant re-drafting</w:t>
      </w:r>
      <w:r w:rsidR="006E310E">
        <w:t>.</w:t>
      </w:r>
      <w:r w:rsidR="007C02BC" w:rsidRPr="00BE17D5">
        <w:t xml:space="preserve"> </w:t>
      </w:r>
      <w:r w:rsidR="006E310E">
        <w:t xml:space="preserve">Among </w:t>
      </w:r>
      <w:r w:rsidR="00617AD0">
        <w:t xml:space="preserve">many </w:t>
      </w:r>
      <w:r w:rsidR="006E310E">
        <w:t>other disruptions it would</w:t>
      </w:r>
      <w:r w:rsidR="00617AD0">
        <w:t xml:space="preserve"> mean relocating </w:t>
      </w:r>
      <w:r w:rsidR="00CF588B" w:rsidRPr="00BE17D5">
        <w:t xml:space="preserve">the </w:t>
      </w:r>
      <w:r w:rsidR="00F7397D" w:rsidRPr="00BE17D5">
        <w:t>stormwater system</w:t>
      </w:r>
      <w:r w:rsidR="00617AD0">
        <w:t xml:space="preserve"> and all that is associated with that, </w:t>
      </w:r>
      <w:r w:rsidR="00617AD0" w:rsidRPr="00BE17D5">
        <w:t>and</w:t>
      </w:r>
      <w:r w:rsidR="00617AD0">
        <w:t xml:space="preserve"> it would</w:t>
      </w:r>
      <w:r w:rsidR="007C02BC" w:rsidRPr="00BE17D5">
        <w:t xml:space="preserve"> </w:t>
      </w:r>
      <w:r w:rsidR="006E310E">
        <w:t xml:space="preserve">create </w:t>
      </w:r>
      <w:r w:rsidR="00617AD0">
        <w:t xml:space="preserve">an </w:t>
      </w:r>
      <w:r w:rsidR="007C1CFB" w:rsidRPr="00BE17D5">
        <w:t xml:space="preserve">awkward </w:t>
      </w:r>
      <w:r w:rsidR="006E310E">
        <w:t xml:space="preserve">approach </w:t>
      </w:r>
      <w:r w:rsidR="007C1CFB" w:rsidRPr="00BE17D5">
        <w:t xml:space="preserve">to the </w:t>
      </w:r>
      <w:r w:rsidR="00F7397D" w:rsidRPr="00BE17D5">
        <w:t>intersection</w:t>
      </w:r>
      <w:r w:rsidR="0023553C" w:rsidRPr="00BE17D5">
        <w:t xml:space="preserve"> of Street “A” and </w:t>
      </w:r>
      <w:r w:rsidR="00F7397D" w:rsidRPr="00BE17D5">
        <w:t>Andrew Street</w:t>
      </w:r>
      <w:r w:rsidR="001569A7" w:rsidRPr="00BE17D5">
        <w:t>.</w:t>
      </w:r>
      <w:r w:rsidR="007C02BC" w:rsidRPr="00BE17D5">
        <w:t xml:space="preserve"> </w:t>
      </w:r>
      <w:r w:rsidR="001569A7" w:rsidRPr="00BE17D5">
        <w:t>L</w:t>
      </w:r>
      <w:r w:rsidR="007C02BC" w:rsidRPr="00BE17D5">
        <w:t>ittle</w:t>
      </w:r>
      <w:r w:rsidR="007C1CFB" w:rsidRPr="00BE17D5">
        <w:t xml:space="preserve"> </w:t>
      </w:r>
      <w:r w:rsidR="007C02BC" w:rsidRPr="00BE17D5">
        <w:t>would be</w:t>
      </w:r>
      <w:r w:rsidR="00221841" w:rsidRPr="00BE17D5">
        <w:t xml:space="preserve"> </w:t>
      </w:r>
      <w:r w:rsidR="007C02BC" w:rsidRPr="00BE17D5">
        <w:t>achieved by that action</w:t>
      </w:r>
      <w:r w:rsidR="00221841" w:rsidRPr="00BE17D5">
        <w:t xml:space="preserve"> </w:t>
      </w:r>
      <w:r w:rsidR="00617AD0">
        <w:t xml:space="preserve">because, </w:t>
      </w:r>
      <w:r w:rsidR="00221841" w:rsidRPr="00BE17D5">
        <w:t>as Mr. Johns</w:t>
      </w:r>
      <w:r w:rsidR="00CD0AB9">
        <w:t>t</w:t>
      </w:r>
      <w:r w:rsidR="00221841" w:rsidRPr="00BE17D5">
        <w:t>on</w:t>
      </w:r>
      <w:r w:rsidR="006E310E">
        <w:t xml:space="preserve"> observed</w:t>
      </w:r>
      <w:r w:rsidR="00221841" w:rsidRPr="00BE17D5">
        <w:t>,</w:t>
      </w:r>
      <w:r w:rsidR="006E310E">
        <w:t xml:space="preserve"> </w:t>
      </w:r>
      <w:r w:rsidR="007C1CFB" w:rsidRPr="00BE17D5">
        <w:t xml:space="preserve">the City’s desire to </w:t>
      </w:r>
      <w:r w:rsidR="00221841" w:rsidRPr="00BE17D5">
        <w:t>double loa</w:t>
      </w:r>
      <w:r w:rsidR="007C1CFB" w:rsidRPr="00BE17D5">
        <w:t xml:space="preserve">d the </w:t>
      </w:r>
      <w:r w:rsidR="00221841" w:rsidRPr="00BE17D5">
        <w:t>street</w:t>
      </w:r>
      <w:r w:rsidR="006E310E">
        <w:t xml:space="preserve"> would not be </w:t>
      </w:r>
      <w:r w:rsidR="00221841" w:rsidRPr="00BE17D5">
        <w:t xml:space="preserve">an option </w:t>
      </w:r>
      <w:r w:rsidR="00617AD0">
        <w:t xml:space="preserve">as the </w:t>
      </w:r>
      <w:r w:rsidR="00221841" w:rsidRPr="00BE17D5">
        <w:t>875</w:t>
      </w:r>
      <w:r w:rsidR="00617AD0">
        <w:t>-</w:t>
      </w:r>
      <w:r w:rsidR="00221841" w:rsidRPr="00BE17D5">
        <w:t>unit</w:t>
      </w:r>
      <w:r w:rsidR="00617AD0">
        <w:t xml:space="preserve"> limit</w:t>
      </w:r>
      <w:r w:rsidR="00221841" w:rsidRPr="00BE17D5">
        <w:t xml:space="preserve"> for the sub-division would be exceeded.</w:t>
      </w:r>
    </w:p>
    <w:p w14:paraId="01451A6E" w14:textId="37911980" w:rsidR="00BE17D5" w:rsidRDefault="00AD68B1" w:rsidP="00BE17D5">
      <w:pPr>
        <w:pStyle w:val="DecisionBody"/>
      </w:pPr>
      <w:r w:rsidRPr="00BE17D5">
        <w:t xml:space="preserve">Empire </w:t>
      </w:r>
      <w:r w:rsidR="006E310E">
        <w:t xml:space="preserve">noted </w:t>
      </w:r>
      <w:r w:rsidR="001569A7" w:rsidRPr="00BE17D5">
        <w:t xml:space="preserve">that it </w:t>
      </w:r>
      <w:r w:rsidR="007C02BC" w:rsidRPr="00BE17D5">
        <w:t>submitted</w:t>
      </w:r>
      <w:r w:rsidRPr="00BE17D5">
        <w:t xml:space="preserve"> seven </w:t>
      </w:r>
      <w:r w:rsidR="0023553C" w:rsidRPr="00BE17D5">
        <w:t>versions of the</w:t>
      </w:r>
      <w:r w:rsidR="007C02BC" w:rsidRPr="00BE17D5">
        <w:t xml:space="preserve"> </w:t>
      </w:r>
      <w:r w:rsidR="0023553C" w:rsidRPr="00BE17D5">
        <w:t>plan</w:t>
      </w:r>
      <w:r w:rsidRPr="00BE17D5">
        <w:t xml:space="preserve"> </w:t>
      </w:r>
      <w:r w:rsidR="007C02BC" w:rsidRPr="00BE17D5">
        <w:t xml:space="preserve">since </w:t>
      </w:r>
      <w:r w:rsidRPr="00BE17D5">
        <w:t xml:space="preserve">2008, </w:t>
      </w:r>
      <w:r w:rsidR="00652812" w:rsidRPr="00BE17D5">
        <w:t xml:space="preserve">which showed </w:t>
      </w:r>
      <w:r w:rsidRPr="00BE17D5">
        <w:t>Street “A”</w:t>
      </w:r>
      <w:r w:rsidR="007C1CFB" w:rsidRPr="00BE17D5">
        <w:t xml:space="preserve"> was </w:t>
      </w:r>
      <w:r w:rsidR="00F6693E" w:rsidRPr="00BE17D5">
        <w:t>always located</w:t>
      </w:r>
      <w:r w:rsidR="007C02BC" w:rsidRPr="00BE17D5">
        <w:t xml:space="preserve"> where it is currently</w:t>
      </w:r>
      <w:r w:rsidR="00221841" w:rsidRPr="00BE17D5">
        <w:t>, on</w:t>
      </w:r>
      <w:r w:rsidRPr="00BE17D5">
        <w:t xml:space="preserve"> the western edge of the </w:t>
      </w:r>
      <w:r w:rsidR="00CD0AB9">
        <w:t>S</w:t>
      </w:r>
      <w:r w:rsidRPr="00BE17D5">
        <w:t xml:space="preserve">ubject </w:t>
      </w:r>
      <w:r w:rsidR="00CD0AB9">
        <w:t>L</w:t>
      </w:r>
      <w:r w:rsidRPr="00BE17D5">
        <w:t xml:space="preserve">ands. </w:t>
      </w:r>
      <w:r w:rsidR="00F20E7A" w:rsidRPr="00BE17D5">
        <w:t xml:space="preserve">The location was never </w:t>
      </w:r>
      <w:r w:rsidR="007C02BC" w:rsidRPr="00BE17D5">
        <w:t>question</w:t>
      </w:r>
      <w:r w:rsidR="00E92FC3">
        <w:t>ed</w:t>
      </w:r>
      <w:r w:rsidR="007C02BC" w:rsidRPr="00BE17D5">
        <w:t xml:space="preserve">. </w:t>
      </w:r>
      <w:r w:rsidR="00B8394E">
        <w:t>The Tribunal finds that a</w:t>
      </w:r>
      <w:r w:rsidR="007C02BC" w:rsidRPr="00BE17D5">
        <w:t xml:space="preserve">t this late stage it is </w:t>
      </w:r>
      <w:r w:rsidR="00E92FC3">
        <w:t xml:space="preserve">not </w:t>
      </w:r>
      <w:r w:rsidR="007C02BC" w:rsidRPr="00BE17D5">
        <w:t>reasonable to send Empire back to the drawing board</w:t>
      </w:r>
      <w:r w:rsidR="00B8394E">
        <w:t xml:space="preserve"> without justification. </w:t>
      </w:r>
    </w:p>
    <w:p w14:paraId="36161B62" w14:textId="60EA0A1D" w:rsidR="00BE17D5" w:rsidRDefault="001226C3" w:rsidP="00BE17D5">
      <w:pPr>
        <w:pStyle w:val="DecisionBody"/>
      </w:pPr>
      <w:r w:rsidRPr="00BE17D5">
        <w:t xml:space="preserve">The Tribunal </w:t>
      </w:r>
      <w:r w:rsidR="00F6693E" w:rsidRPr="00BE17D5">
        <w:t xml:space="preserve">also </w:t>
      </w:r>
      <w:r w:rsidR="00F20E7A" w:rsidRPr="00BE17D5">
        <w:t>heard</w:t>
      </w:r>
      <w:r w:rsidR="007C02BC" w:rsidRPr="00BE17D5">
        <w:t xml:space="preserve"> evidence </w:t>
      </w:r>
      <w:r w:rsidR="00E92FC3" w:rsidRPr="00BE17D5">
        <w:t xml:space="preserve">from </w:t>
      </w:r>
      <w:r w:rsidR="00E92FC3">
        <w:t>Mr.</w:t>
      </w:r>
      <w:r w:rsidR="00F20E7A" w:rsidRPr="00BE17D5">
        <w:t xml:space="preserve"> </w:t>
      </w:r>
      <w:r w:rsidRPr="00BE17D5">
        <w:t xml:space="preserve">Pernicky </w:t>
      </w:r>
      <w:r w:rsidR="00CF588B" w:rsidRPr="00BE17D5">
        <w:t>that Street “A”</w:t>
      </w:r>
      <w:r w:rsidR="00AD2BFD" w:rsidRPr="00BE17D5">
        <w:t xml:space="preserve"> </w:t>
      </w:r>
      <w:r w:rsidR="005248FE" w:rsidRPr="00BE17D5">
        <w:t>as shown on</w:t>
      </w:r>
      <w:r w:rsidR="007C02BC" w:rsidRPr="00BE17D5">
        <w:t xml:space="preserve"> the draft </w:t>
      </w:r>
      <w:r w:rsidR="00F6693E" w:rsidRPr="00BE17D5">
        <w:t>proposal, is</w:t>
      </w:r>
      <w:r w:rsidR="00CF588B" w:rsidRPr="00BE17D5">
        <w:t xml:space="preserve"> generally consistent with the location identified</w:t>
      </w:r>
      <w:r w:rsidR="005248FE" w:rsidRPr="00BE17D5">
        <w:t xml:space="preserve"> on </w:t>
      </w:r>
      <w:r w:rsidR="00CF588B" w:rsidRPr="00BE17D5">
        <w:t>the approved St. George Settlement Area Study</w:t>
      </w:r>
      <w:r w:rsidR="008413FE" w:rsidRPr="00BE17D5">
        <w:t>,</w:t>
      </w:r>
      <w:r w:rsidR="00CF588B" w:rsidRPr="00BE17D5">
        <w:t xml:space="preserve"> </w:t>
      </w:r>
      <w:r w:rsidRPr="00BE17D5">
        <w:t xml:space="preserve">and </w:t>
      </w:r>
      <w:r w:rsidR="008413FE" w:rsidRPr="00BE17D5">
        <w:t>the Transportation Impact Study Updated March</w:t>
      </w:r>
      <w:r w:rsidR="008D3471" w:rsidRPr="00BE17D5">
        <w:t xml:space="preserve"> </w:t>
      </w:r>
      <w:r w:rsidR="008413FE" w:rsidRPr="00BE17D5">
        <w:t>7, 2018</w:t>
      </w:r>
      <w:r w:rsidR="005248FE" w:rsidRPr="00BE17D5">
        <w:t>,</w:t>
      </w:r>
      <w:r w:rsidR="00F6693E" w:rsidRPr="00BE17D5">
        <w:t xml:space="preserve"> which</w:t>
      </w:r>
      <w:r w:rsidR="00AB532C" w:rsidRPr="00BE17D5">
        <w:t xml:space="preserve"> identified no issues or concerns with the proposed development.</w:t>
      </w:r>
    </w:p>
    <w:p w14:paraId="6E1C3BAE" w14:textId="10360000" w:rsidR="00BE17D5" w:rsidRDefault="00AB532C" w:rsidP="00BE17D5">
      <w:pPr>
        <w:pStyle w:val="DecisionBody"/>
      </w:pPr>
      <w:r w:rsidRPr="00BE17D5">
        <w:t xml:space="preserve">Mr. Pernicky </w:t>
      </w:r>
      <w:r w:rsidR="008413FE" w:rsidRPr="00BE17D5">
        <w:t>conclude</w:t>
      </w:r>
      <w:r w:rsidR="007C02BC" w:rsidRPr="00BE17D5">
        <w:t>d</w:t>
      </w:r>
      <w:r w:rsidR="008413FE" w:rsidRPr="00BE17D5">
        <w:t xml:space="preserve"> </w:t>
      </w:r>
      <w:r w:rsidR="001226C3" w:rsidRPr="00BE17D5">
        <w:t xml:space="preserve">that </w:t>
      </w:r>
      <w:r w:rsidR="008413FE" w:rsidRPr="00BE17D5">
        <w:t xml:space="preserve">the proposed internal road network is very well </w:t>
      </w:r>
      <w:r w:rsidR="005248FE" w:rsidRPr="00BE17D5">
        <w:t>planned</w:t>
      </w:r>
      <w:r w:rsidR="001569A7" w:rsidRPr="00BE17D5">
        <w:t xml:space="preserve"> and</w:t>
      </w:r>
      <w:r w:rsidR="005248FE" w:rsidRPr="00BE17D5">
        <w:t xml:space="preserve"> </w:t>
      </w:r>
      <w:r w:rsidR="008413FE" w:rsidRPr="00BE17D5">
        <w:t>well connected with</w:t>
      </w:r>
      <w:r w:rsidR="005248FE" w:rsidRPr="00BE17D5">
        <w:t xml:space="preserve"> </w:t>
      </w:r>
      <w:r w:rsidR="008413FE" w:rsidRPr="00BE17D5">
        <w:t>minimum interruption</w:t>
      </w:r>
      <w:r w:rsidR="007C02BC" w:rsidRPr="00BE17D5">
        <w:t>. It</w:t>
      </w:r>
      <w:r w:rsidR="008413FE" w:rsidRPr="00BE17D5">
        <w:t xml:space="preserve"> provides</w:t>
      </w:r>
      <w:r w:rsidR="001226C3" w:rsidRPr="00BE17D5">
        <w:t xml:space="preserve"> </w:t>
      </w:r>
      <w:r w:rsidR="008413FE" w:rsidRPr="00BE17D5">
        <w:t>sufficient connectivity for pedestrians and cyclists, and</w:t>
      </w:r>
      <w:r w:rsidRPr="00BE17D5">
        <w:t xml:space="preserve"> it was his </w:t>
      </w:r>
      <w:r w:rsidR="007C02BC" w:rsidRPr="00BE17D5">
        <w:t>opinion,</w:t>
      </w:r>
      <w:r w:rsidR="008413FE" w:rsidRPr="00BE17D5">
        <w:t xml:space="preserve"> </w:t>
      </w:r>
      <w:r w:rsidRPr="00BE17D5">
        <w:t xml:space="preserve">that </w:t>
      </w:r>
      <w:r w:rsidR="008413FE" w:rsidRPr="00BE17D5">
        <w:t>there are no</w:t>
      </w:r>
      <w:r w:rsidR="007C02BC" w:rsidRPr="00BE17D5">
        <w:t xml:space="preserve"> resulting </w:t>
      </w:r>
      <w:r w:rsidR="008413FE" w:rsidRPr="00BE17D5">
        <w:t>adverse</w:t>
      </w:r>
      <w:r w:rsidR="007C02BC" w:rsidRPr="00BE17D5">
        <w:t xml:space="preserve"> </w:t>
      </w:r>
      <w:r w:rsidR="008413FE" w:rsidRPr="00BE17D5">
        <w:t>traffic impacts</w:t>
      </w:r>
      <w:r w:rsidR="007C02BC" w:rsidRPr="00BE17D5">
        <w:t>.</w:t>
      </w:r>
      <w:r w:rsidR="008413FE" w:rsidRPr="00BE17D5">
        <w:t xml:space="preserve"> </w:t>
      </w:r>
      <w:r w:rsidR="007C02BC" w:rsidRPr="00BE17D5">
        <w:t xml:space="preserve">The </w:t>
      </w:r>
      <w:r w:rsidR="00BE17D5">
        <w:t>T</w:t>
      </w:r>
      <w:r w:rsidR="007C02BC" w:rsidRPr="00BE17D5">
        <w:t>ribunal accepts this evidence</w:t>
      </w:r>
      <w:r w:rsidR="00B8394E">
        <w:t xml:space="preserve"> and is also satisfied that the participant</w:t>
      </w:r>
      <w:r w:rsidR="00AF4BBA">
        <w:t>’</w:t>
      </w:r>
      <w:r w:rsidR="00B8394E">
        <w:t>s concerns would be answered.</w:t>
      </w:r>
    </w:p>
    <w:p w14:paraId="1AC3904F" w14:textId="5D2A84D8" w:rsidR="00BE17D5" w:rsidRDefault="00EF4765" w:rsidP="00BE17D5">
      <w:pPr>
        <w:pStyle w:val="DecisionBody"/>
      </w:pPr>
      <w:r w:rsidRPr="00BE17D5">
        <w:t>The Tribunal</w:t>
      </w:r>
      <w:r w:rsidR="00E92FC3">
        <w:t xml:space="preserve"> agrees</w:t>
      </w:r>
      <w:r w:rsidR="00F6693E" w:rsidRPr="00BE17D5">
        <w:t xml:space="preserve"> </w:t>
      </w:r>
      <w:r w:rsidR="00082E96" w:rsidRPr="00BE17D5">
        <w:t xml:space="preserve">with </w:t>
      </w:r>
      <w:r w:rsidR="00BE17D5">
        <w:t>Mr.</w:t>
      </w:r>
      <w:r w:rsidR="00082E96" w:rsidRPr="00BE17D5">
        <w:t xml:space="preserve"> </w:t>
      </w:r>
      <w:r w:rsidRPr="00BE17D5">
        <w:t>Johnston</w:t>
      </w:r>
      <w:r w:rsidR="00082E96" w:rsidRPr="00BE17D5">
        <w:t xml:space="preserve"> that there is no</w:t>
      </w:r>
      <w:r w:rsidR="005248FE" w:rsidRPr="00BE17D5">
        <w:t xml:space="preserve"> </w:t>
      </w:r>
      <w:r w:rsidR="008C329B" w:rsidRPr="00BE17D5">
        <w:t>e</w:t>
      </w:r>
      <w:r w:rsidRPr="00BE17D5">
        <w:t>vidence</w:t>
      </w:r>
      <w:r w:rsidR="00082E96" w:rsidRPr="00BE17D5">
        <w:t xml:space="preserve"> </w:t>
      </w:r>
      <w:r w:rsidR="00960AAC" w:rsidRPr="00BE17D5">
        <w:t>to support</w:t>
      </w:r>
      <w:r w:rsidR="00082E96" w:rsidRPr="00BE17D5">
        <w:t xml:space="preserve"> </w:t>
      </w:r>
      <w:r w:rsidR="00E92FC3">
        <w:t xml:space="preserve">the County’s </w:t>
      </w:r>
      <w:r w:rsidR="005248FE" w:rsidRPr="00BE17D5">
        <w:t xml:space="preserve">contention </w:t>
      </w:r>
      <w:r w:rsidRPr="00BE17D5">
        <w:t>that the</w:t>
      </w:r>
      <w:r w:rsidR="005248FE" w:rsidRPr="00BE17D5">
        <w:t xml:space="preserve"> </w:t>
      </w:r>
      <w:r w:rsidR="008C329B" w:rsidRPr="00BE17D5">
        <w:t>street</w:t>
      </w:r>
      <w:r w:rsidR="00933579" w:rsidRPr="00BE17D5">
        <w:t xml:space="preserve"> as proposed,</w:t>
      </w:r>
      <w:r w:rsidR="008C329B" w:rsidRPr="00BE17D5">
        <w:t xml:space="preserve"> is</w:t>
      </w:r>
      <w:r w:rsidRPr="00BE17D5">
        <w:t xml:space="preserve"> inefficient</w:t>
      </w:r>
      <w:r w:rsidR="00082E96" w:rsidRPr="00BE17D5">
        <w:t xml:space="preserve"> and would increase cost</w:t>
      </w:r>
      <w:r w:rsidR="007C02BC" w:rsidRPr="00BE17D5">
        <w:t xml:space="preserve"> to the County</w:t>
      </w:r>
      <w:r w:rsidR="00082E96" w:rsidRPr="00BE17D5">
        <w:t>.</w:t>
      </w:r>
      <w:r w:rsidR="008C329B" w:rsidRPr="00BE17D5">
        <w:t xml:space="preserve">  </w:t>
      </w:r>
      <w:r w:rsidR="00BE17D5">
        <w:t>Ms.</w:t>
      </w:r>
      <w:r w:rsidR="008C329B" w:rsidRPr="00BE17D5">
        <w:t xml:space="preserve"> Angrish</w:t>
      </w:r>
      <w:r w:rsidR="00E92FC3">
        <w:t xml:space="preserve">’s evidence was that </w:t>
      </w:r>
      <w:r w:rsidR="00E92FC3" w:rsidRPr="00BE17D5">
        <w:t>“</w:t>
      </w:r>
      <w:r w:rsidR="008C329B" w:rsidRPr="00BE17D5">
        <w:t>the County does not need additional</w:t>
      </w:r>
      <w:r w:rsidR="00F6693E" w:rsidRPr="00BE17D5">
        <w:t xml:space="preserve"> </w:t>
      </w:r>
      <w:r w:rsidR="008C329B" w:rsidRPr="00BE17D5">
        <w:t>infrastructure to maintain, grass cutting,</w:t>
      </w:r>
      <w:r w:rsidR="00933579" w:rsidRPr="00BE17D5">
        <w:t xml:space="preserve"> </w:t>
      </w:r>
      <w:r w:rsidR="008C329B" w:rsidRPr="00BE17D5">
        <w:t xml:space="preserve">refuse removal etc. at taxpayer’s costs”. </w:t>
      </w:r>
      <w:r w:rsidR="008C329B" w:rsidRPr="00BE17D5">
        <w:lastRenderedPageBreak/>
        <w:t>However, Ms. Angrish did not provide</w:t>
      </w:r>
      <w:r w:rsidR="00933579" w:rsidRPr="00BE17D5">
        <w:t xml:space="preserve"> </w:t>
      </w:r>
      <w:r w:rsidR="008C329B" w:rsidRPr="00BE17D5">
        <w:t xml:space="preserve">any explanation why servicing </w:t>
      </w:r>
      <w:r w:rsidR="00933579" w:rsidRPr="00BE17D5">
        <w:t xml:space="preserve">this </w:t>
      </w:r>
      <w:r w:rsidR="008C329B" w:rsidRPr="00BE17D5">
        <w:t>road would</w:t>
      </w:r>
      <w:r w:rsidR="00510DB4" w:rsidRPr="00BE17D5">
        <w:t xml:space="preserve"> require</w:t>
      </w:r>
      <w:r w:rsidR="008C329B" w:rsidRPr="00BE17D5">
        <w:t xml:space="preserve"> additional</w:t>
      </w:r>
      <w:r w:rsidR="00933579" w:rsidRPr="00BE17D5">
        <w:t xml:space="preserve"> maintenance </w:t>
      </w:r>
      <w:r w:rsidR="00F6693E" w:rsidRPr="00BE17D5">
        <w:t xml:space="preserve">and </w:t>
      </w:r>
      <w:r w:rsidR="00933579" w:rsidRPr="00BE17D5">
        <w:t>impose</w:t>
      </w:r>
      <w:r w:rsidR="008C329B" w:rsidRPr="00BE17D5">
        <w:t xml:space="preserve"> </w:t>
      </w:r>
      <w:r w:rsidR="00510DB4" w:rsidRPr="00BE17D5">
        <w:t xml:space="preserve">greater </w:t>
      </w:r>
      <w:r w:rsidR="008C329B" w:rsidRPr="00BE17D5">
        <w:t>costs on the County</w:t>
      </w:r>
      <w:r w:rsidR="007C02BC" w:rsidRPr="00BE17D5">
        <w:t xml:space="preserve">. </w:t>
      </w:r>
    </w:p>
    <w:p w14:paraId="5A075C45" w14:textId="61E78D32" w:rsidR="00222A76" w:rsidRDefault="00F6693E" w:rsidP="00222A76">
      <w:pPr>
        <w:pStyle w:val="DecisionBody"/>
      </w:pPr>
      <w:r w:rsidRPr="00BE17D5">
        <w:t xml:space="preserve">The Tribunal </w:t>
      </w:r>
      <w:r w:rsidR="003900D2" w:rsidRPr="00BE17D5">
        <w:t xml:space="preserve">accepts </w:t>
      </w:r>
      <w:r w:rsidRPr="00BE17D5">
        <w:t>Mr. Johns</w:t>
      </w:r>
      <w:r w:rsidR="00CD0AB9">
        <w:t>t</w:t>
      </w:r>
      <w:r w:rsidRPr="00BE17D5">
        <w:t>on’s opinion</w:t>
      </w:r>
      <w:r w:rsidR="003900D2" w:rsidRPr="00BE17D5">
        <w:t xml:space="preserve"> evidence</w:t>
      </w:r>
      <w:r w:rsidRPr="00BE17D5">
        <w:t xml:space="preserve"> that there is nothing in the layout of the Street “A” that would be at odds with </w:t>
      </w:r>
      <w:r w:rsidR="00CD0AB9">
        <w:t>O</w:t>
      </w:r>
      <w:r w:rsidRPr="00BE17D5">
        <w:t xml:space="preserve">fficial </w:t>
      </w:r>
      <w:r w:rsidR="00CD0AB9">
        <w:t>P</w:t>
      </w:r>
      <w:r w:rsidRPr="00BE17D5">
        <w:t>lan policies on character and street patterns</w:t>
      </w:r>
      <w:r w:rsidR="003900D2" w:rsidRPr="00BE17D5">
        <w:t xml:space="preserve">, or </w:t>
      </w:r>
      <w:r w:rsidR="00E92FC3">
        <w:t xml:space="preserve">with </w:t>
      </w:r>
      <w:r w:rsidR="003900D2" w:rsidRPr="00BE17D5">
        <w:t>any other planning document.</w:t>
      </w:r>
      <w:r w:rsidRPr="00BE17D5">
        <w:t xml:space="preserve"> </w:t>
      </w:r>
    </w:p>
    <w:p w14:paraId="7C61DC1A" w14:textId="7C3A8911" w:rsidR="00222A76" w:rsidRDefault="008C329B" w:rsidP="00222A76">
      <w:pPr>
        <w:pStyle w:val="DecisionBody"/>
      </w:pPr>
      <w:r w:rsidRPr="00222A76">
        <w:t>Based on</w:t>
      </w:r>
      <w:r w:rsidR="00E92FC3">
        <w:t xml:space="preserve"> all</w:t>
      </w:r>
      <w:r w:rsidRPr="00222A76">
        <w:t xml:space="preserve"> the</w:t>
      </w:r>
      <w:r w:rsidR="00E92FC3">
        <w:t xml:space="preserve"> evidence</w:t>
      </w:r>
      <w:r w:rsidRPr="00222A76">
        <w:t xml:space="preserve"> the </w:t>
      </w:r>
      <w:r w:rsidR="00CD0AB9">
        <w:t>T</w:t>
      </w:r>
      <w:r w:rsidRPr="00222A76">
        <w:t xml:space="preserve">ribunal finds that Street </w:t>
      </w:r>
      <w:r w:rsidR="001569A7" w:rsidRPr="00222A76">
        <w:t>“</w:t>
      </w:r>
      <w:r w:rsidR="00B8394E" w:rsidRPr="00222A76">
        <w:t xml:space="preserve">A” </w:t>
      </w:r>
      <w:r w:rsidR="00B8394E">
        <w:t>satisfies the criteria under</w:t>
      </w:r>
      <w:r w:rsidR="00B8394E" w:rsidRPr="00B8394E">
        <w:t xml:space="preserve"> </w:t>
      </w:r>
      <w:r w:rsidR="00B8394E">
        <w:t>s</w:t>
      </w:r>
      <w:r w:rsidR="00B8394E" w:rsidRPr="00DE59CF">
        <w:t xml:space="preserve">. 51(24) of the </w:t>
      </w:r>
      <w:r w:rsidR="00B8394E" w:rsidRPr="002A4F62">
        <w:rPr>
          <w:i/>
        </w:rPr>
        <w:t>Planning Act</w:t>
      </w:r>
      <w:r w:rsidR="006270EE">
        <w:t>;</w:t>
      </w:r>
      <w:r w:rsidR="00B8394E">
        <w:t xml:space="preserve"> </w:t>
      </w:r>
      <w:r w:rsidR="006270EE">
        <w:t>i</w:t>
      </w:r>
      <w:r w:rsidR="00B8394E">
        <w:t>t is</w:t>
      </w:r>
      <w:r w:rsidRPr="00222A76">
        <w:t xml:space="preserve"> adequate as a local road and </w:t>
      </w:r>
      <w:r w:rsidR="00510DB4" w:rsidRPr="00222A76">
        <w:t>its location</w:t>
      </w:r>
      <w:r w:rsidRPr="00222A76">
        <w:t xml:space="preserve"> and width are appropriate.  </w:t>
      </w:r>
    </w:p>
    <w:p w14:paraId="1EEF9302" w14:textId="3B3D791F" w:rsidR="00222A76" w:rsidRPr="00222A76" w:rsidRDefault="00222A76" w:rsidP="00222A76">
      <w:pPr>
        <w:pStyle w:val="DecisionBody"/>
        <w:numPr>
          <w:ilvl w:val="0"/>
          <w:numId w:val="0"/>
        </w:numPr>
        <w:rPr>
          <w:b/>
        </w:rPr>
      </w:pPr>
      <w:r w:rsidRPr="00222A76">
        <w:rPr>
          <w:b/>
        </w:rPr>
        <w:t>Is the Proposed Development Incompatible with the Legal Use of Parkland’s Facility?</w:t>
      </w:r>
    </w:p>
    <w:p w14:paraId="0A989871" w14:textId="3B76E3C7" w:rsidR="00222A76" w:rsidRDefault="00BA2F16" w:rsidP="00222A76">
      <w:pPr>
        <w:pStyle w:val="DecisionBody"/>
      </w:pPr>
      <w:r w:rsidRPr="00222A76">
        <w:t>Parkland</w:t>
      </w:r>
      <w:r w:rsidR="00077CE2" w:rsidRPr="00222A76">
        <w:t xml:space="preserve"> and Sparling</w:t>
      </w:r>
      <w:r w:rsidR="008D485C" w:rsidRPr="00222A76">
        <w:t xml:space="preserve"> operate two </w:t>
      </w:r>
      <w:r w:rsidR="00687597" w:rsidRPr="00222A76">
        <w:t>p</w:t>
      </w:r>
      <w:r w:rsidRPr="00222A76">
        <w:t>ropane</w:t>
      </w:r>
      <w:r w:rsidR="008D485C" w:rsidRPr="00222A76">
        <w:t xml:space="preserve"> storage facilities</w:t>
      </w:r>
      <w:r w:rsidRPr="00222A76">
        <w:t xml:space="preserve"> </w:t>
      </w:r>
      <w:r w:rsidR="004B1D69" w:rsidRPr="00222A76">
        <w:t>located</w:t>
      </w:r>
      <w:r w:rsidR="00EC233C" w:rsidRPr="00222A76">
        <w:t xml:space="preserve"> </w:t>
      </w:r>
      <w:r w:rsidR="004B1D69" w:rsidRPr="00222A76">
        <w:t xml:space="preserve">at 150 and 183 </w:t>
      </w:r>
      <w:r w:rsidR="00F4301F" w:rsidRPr="00222A76">
        <w:t>Industrial Boulevard</w:t>
      </w:r>
      <w:r w:rsidR="004B1D69" w:rsidRPr="00222A76">
        <w:t>, within the</w:t>
      </w:r>
      <w:r w:rsidRPr="00222A76">
        <w:t xml:space="preserve"> </w:t>
      </w:r>
      <w:r w:rsidR="004B1D69" w:rsidRPr="00222A76">
        <w:t xml:space="preserve">employment lands </w:t>
      </w:r>
      <w:r w:rsidR="003900D2" w:rsidRPr="00222A76">
        <w:t>s</w:t>
      </w:r>
      <w:r w:rsidR="004B1D69" w:rsidRPr="00222A76">
        <w:t>outh</w:t>
      </w:r>
      <w:r w:rsidR="00484FD6" w:rsidRPr="00222A76">
        <w:t>-</w:t>
      </w:r>
      <w:r w:rsidR="003900D2" w:rsidRPr="00222A76">
        <w:t>w</w:t>
      </w:r>
      <w:r w:rsidR="004B1D69" w:rsidRPr="00222A76">
        <w:t>est</w:t>
      </w:r>
      <w:r w:rsidR="00F75272" w:rsidRPr="00222A76">
        <w:t xml:space="preserve"> of the </w:t>
      </w:r>
      <w:r w:rsidR="00CD0AB9">
        <w:t>S</w:t>
      </w:r>
      <w:r w:rsidR="00F75272" w:rsidRPr="00222A76">
        <w:t xml:space="preserve">ubject </w:t>
      </w:r>
      <w:r w:rsidR="00CD0AB9">
        <w:t>Lands</w:t>
      </w:r>
      <w:r w:rsidR="00CC78C3" w:rsidRPr="00222A76">
        <w:t>.</w:t>
      </w:r>
    </w:p>
    <w:p w14:paraId="41AD887C" w14:textId="0A85D29B" w:rsidR="00222A76" w:rsidRDefault="00622582" w:rsidP="00222A76">
      <w:pPr>
        <w:pStyle w:val="DecisionBody"/>
      </w:pPr>
      <w:r w:rsidRPr="00222A76">
        <w:t xml:space="preserve">Propane </w:t>
      </w:r>
      <w:r w:rsidR="00BA2F16" w:rsidRPr="00222A76">
        <w:t xml:space="preserve">facilities are </w:t>
      </w:r>
      <w:r w:rsidR="00EC233C" w:rsidRPr="00222A76">
        <w:t xml:space="preserve">required </w:t>
      </w:r>
      <w:r w:rsidR="00CC78C3" w:rsidRPr="00222A76">
        <w:t xml:space="preserve">under the </w:t>
      </w:r>
      <w:r w:rsidR="00CC78C3" w:rsidRPr="00222A76">
        <w:rPr>
          <w:i/>
        </w:rPr>
        <w:t xml:space="preserve">Technical Standards and Safety </w:t>
      </w:r>
      <w:r w:rsidR="00E92FC3" w:rsidRPr="00222A76">
        <w:rPr>
          <w:i/>
        </w:rPr>
        <w:t>Act</w:t>
      </w:r>
      <w:r w:rsidR="00E92FC3" w:rsidRPr="00222A76">
        <w:t xml:space="preserve"> </w:t>
      </w:r>
      <w:r w:rsidR="00E92FC3">
        <w:t>and</w:t>
      </w:r>
      <w:r w:rsidR="00CC78C3" w:rsidRPr="00222A76">
        <w:t xml:space="preserve"> associated </w:t>
      </w:r>
      <w:r w:rsidR="00222A76">
        <w:t>r</w:t>
      </w:r>
      <w:r w:rsidR="00CC78C3" w:rsidRPr="00222A76">
        <w:t xml:space="preserve">egulations and </w:t>
      </w:r>
      <w:r w:rsidR="00222A76">
        <w:t>g</w:t>
      </w:r>
      <w:r w:rsidR="00CC78C3" w:rsidRPr="00222A76">
        <w:t xml:space="preserve">uidelines, </w:t>
      </w:r>
      <w:r w:rsidR="00EC233C" w:rsidRPr="00222A76">
        <w:t>to develop and</w:t>
      </w:r>
      <w:r w:rsidR="00DE048B" w:rsidRPr="00222A76">
        <w:t xml:space="preserve"> </w:t>
      </w:r>
      <w:r w:rsidR="00EC233C" w:rsidRPr="00222A76">
        <w:t>implement risk and safety</w:t>
      </w:r>
      <w:r w:rsidR="00CC78C3" w:rsidRPr="00222A76">
        <w:t xml:space="preserve"> </w:t>
      </w:r>
      <w:r w:rsidR="00EC233C" w:rsidRPr="00222A76">
        <w:t>management plans</w:t>
      </w:r>
      <w:r w:rsidR="00DE048B" w:rsidRPr="00222A76">
        <w:t xml:space="preserve"> </w:t>
      </w:r>
      <w:r w:rsidRPr="00222A76">
        <w:t xml:space="preserve">that </w:t>
      </w:r>
      <w:r w:rsidR="00EC233C" w:rsidRPr="00222A76">
        <w:t>identify a</w:t>
      </w:r>
      <w:r w:rsidRPr="00222A76">
        <w:t xml:space="preserve"> </w:t>
      </w:r>
      <w:r w:rsidR="00EC233C" w:rsidRPr="00222A76">
        <w:t>hazard distance associated with</w:t>
      </w:r>
      <w:r w:rsidRPr="00222A76">
        <w:t xml:space="preserve"> the</w:t>
      </w:r>
      <w:r w:rsidR="00EC233C" w:rsidRPr="00222A76">
        <w:t xml:space="preserve"> propane operations.  </w:t>
      </w:r>
      <w:r w:rsidR="004A6647" w:rsidRPr="00222A76">
        <w:t>In this case</w:t>
      </w:r>
      <w:r w:rsidRPr="00222A76">
        <w:t xml:space="preserve"> it was established that </w:t>
      </w:r>
      <w:r w:rsidR="004A6647" w:rsidRPr="00222A76">
        <w:t>the applicable hazard distance</w:t>
      </w:r>
      <w:r w:rsidR="00077CE2" w:rsidRPr="00222A76">
        <w:t xml:space="preserve"> </w:t>
      </w:r>
      <w:r w:rsidRPr="00222A76">
        <w:t xml:space="preserve">is </w:t>
      </w:r>
      <w:r w:rsidR="00077CE2" w:rsidRPr="00222A76">
        <w:t>874 m</w:t>
      </w:r>
      <w:r w:rsidRPr="00222A76">
        <w:t>.</w:t>
      </w:r>
    </w:p>
    <w:p w14:paraId="52AB0070" w14:textId="1F4073D6" w:rsidR="00222A76" w:rsidRDefault="00F4301F" w:rsidP="00222A76">
      <w:pPr>
        <w:pStyle w:val="DecisionBody"/>
      </w:pPr>
      <w:r w:rsidRPr="00222A76">
        <w:t>T</w:t>
      </w:r>
      <w:r w:rsidR="00DE048B" w:rsidRPr="00222A76">
        <w:t xml:space="preserve">he only </w:t>
      </w:r>
      <w:r w:rsidR="00622582" w:rsidRPr="00222A76">
        <w:t xml:space="preserve">area </w:t>
      </w:r>
      <w:r w:rsidRPr="00222A76">
        <w:t>o</w:t>
      </w:r>
      <w:r w:rsidR="00DE048B" w:rsidRPr="00222A76">
        <w:t xml:space="preserve">n the </w:t>
      </w:r>
      <w:r w:rsidR="00CD0AB9">
        <w:t>S</w:t>
      </w:r>
      <w:r w:rsidR="00DE048B" w:rsidRPr="00222A76">
        <w:t xml:space="preserve">ubject </w:t>
      </w:r>
      <w:r w:rsidR="00CD0AB9">
        <w:t>Lands</w:t>
      </w:r>
      <w:r w:rsidR="00DE048B" w:rsidRPr="00222A76">
        <w:t xml:space="preserve"> </w:t>
      </w:r>
      <w:r w:rsidR="000F3CA8" w:rsidRPr="00222A76">
        <w:t xml:space="preserve">affected by </w:t>
      </w:r>
      <w:r w:rsidRPr="00222A76">
        <w:t xml:space="preserve">the </w:t>
      </w:r>
      <w:r w:rsidR="00DE048B" w:rsidRPr="00222A76">
        <w:t>hazard zone</w:t>
      </w:r>
      <w:r w:rsidRPr="00222A76">
        <w:t xml:space="preserve"> is a triangle</w:t>
      </w:r>
      <w:r w:rsidR="002F20FD" w:rsidRPr="00222A76">
        <w:t xml:space="preserve"> of</w:t>
      </w:r>
      <w:r w:rsidRPr="00222A76">
        <w:t xml:space="preserve"> 28</w:t>
      </w:r>
      <w:r w:rsidR="00222A76">
        <w:t xml:space="preserve"> </w:t>
      </w:r>
      <w:r w:rsidRPr="00222A76">
        <w:t>x</w:t>
      </w:r>
      <w:r w:rsidR="00222A76">
        <w:t xml:space="preserve"> </w:t>
      </w:r>
      <w:r w:rsidR="002F20FD" w:rsidRPr="00222A76">
        <w:t>22 m</w:t>
      </w:r>
      <w:r w:rsidR="00622582" w:rsidRPr="00222A76">
        <w:t xml:space="preserve"> </w:t>
      </w:r>
      <w:r w:rsidR="000F3CA8" w:rsidRPr="00222A76">
        <w:t>of the</w:t>
      </w:r>
      <w:r w:rsidRPr="00222A76">
        <w:t xml:space="preserve"> school </w:t>
      </w:r>
      <w:r w:rsidR="00F75272" w:rsidRPr="00222A76">
        <w:t>block,</w:t>
      </w:r>
      <w:r w:rsidRPr="00222A76">
        <w:t xml:space="preserve"> </w:t>
      </w:r>
      <w:r w:rsidR="00CC78C3" w:rsidRPr="00222A76">
        <w:t xml:space="preserve">or </w:t>
      </w:r>
      <w:r w:rsidRPr="00222A76">
        <w:t>less than 1% of the overall property</w:t>
      </w:r>
      <w:r w:rsidR="00675335" w:rsidRPr="00222A76">
        <w:t>. Schools</w:t>
      </w:r>
      <w:r w:rsidR="00B8394E">
        <w:t>,</w:t>
      </w:r>
      <w:r w:rsidR="00675335" w:rsidRPr="00222A76">
        <w:t xml:space="preserve"> including school yards</w:t>
      </w:r>
      <w:r w:rsidR="00B8394E">
        <w:t>,</w:t>
      </w:r>
      <w:r w:rsidR="00675335" w:rsidRPr="00222A76">
        <w:t xml:space="preserve"> are considered sensitive places. </w:t>
      </w:r>
      <w:r w:rsidRPr="00222A76">
        <w:t xml:space="preserve"> </w:t>
      </w:r>
      <w:r w:rsidR="00DE048B" w:rsidRPr="00222A76">
        <w:t xml:space="preserve">  </w:t>
      </w:r>
    </w:p>
    <w:p w14:paraId="1B8971D9" w14:textId="7070008C" w:rsidR="00222A76" w:rsidRDefault="00484FD6" w:rsidP="00222A76">
      <w:pPr>
        <w:pStyle w:val="DecisionBody"/>
      </w:pPr>
      <w:r w:rsidRPr="00222A76">
        <w:t>The County’s</w:t>
      </w:r>
      <w:r w:rsidR="00622582" w:rsidRPr="00222A76">
        <w:t xml:space="preserve"> evidence</w:t>
      </w:r>
      <w:r w:rsidRPr="00222A76">
        <w:t xml:space="preserve"> is that</w:t>
      </w:r>
      <w:r w:rsidR="00675335" w:rsidRPr="00222A76">
        <w:t xml:space="preserve">, as </w:t>
      </w:r>
      <w:r w:rsidR="00D74E0D" w:rsidRPr="00222A76">
        <w:t>required,</w:t>
      </w:r>
      <w:r w:rsidR="00675335" w:rsidRPr="00222A76">
        <w:t xml:space="preserve"> it advised </w:t>
      </w:r>
      <w:r w:rsidR="00622582" w:rsidRPr="00222A76">
        <w:t xml:space="preserve">Parkland </w:t>
      </w:r>
      <w:r w:rsidRPr="00222A76">
        <w:t>of</w:t>
      </w:r>
      <w:r w:rsidR="00622582" w:rsidRPr="00222A76">
        <w:t xml:space="preserve"> the</w:t>
      </w:r>
      <w:r w:rsidR="00675335" w:rsidRPr="00222A76">
        <w:t xml:space="preserve"> </w:t>
      </w:r>
      <w:r w:rsidRPr="00222A76">
        <w:t>potential land use changes</w:t>
      </w:r>
      <w:r w:rsidR="00622582" w:rsidRPr="00222A76">
        <w:t xml:space="preserve"> from </w:t>
      </w:r>
      <w:r w:rsidRPr="00222A76">
        <w:t>urban residential,</w:t>
      </w:r>
      <w:r w:rsidR="00E92FC3">
        <w:t xml:space="preserve"> a designation</w:t>
      </w:r>
      <w:r w:rsidRPr="00222A76">
        <w:t xml:space="preserve"> </w:t>
      </w:r>
      <w:r w:rsidR="000F3CA8" w:rsidRPr="00222A76">
        <w:t xml:space="preserve">which </w:t>
      </w:r>
      <w:r w:rsidR="000452BD" w:rsidRPr="00222A76">
        <w:t xml:space="preserve">was </w:t>
      </w:r>
      <w:r w:rsidRPr="00222A76">
        <w:t>established on the</w:t>
      </w:r>
      <w:r w:rsidR="00960AAC" w:rsidRPr="00222A76">
        <w:t xml:space="preserve"> </w:t>
      </w:r>
      <w:r w:rsidR="00CD0AB9">
        <w:t>S</w:t>
      </w:r>
      <w:r w:rsidR="00960AAC" w:rsidRPr="00222A76">
        <w:t xml:space="preserve">ubject </w:t>
      </w:r>
      <w:r w:rsidR="00CD0AB9">
        <w:t>L</w:t>
      </w:r>
      <w:r w:rsidR="00960AAC" w:rsidRPr="00222A76">
        <w:t xml:space="preserve">ands </w:t>
      </w:r>
      <w:r w:rsidRPr="00222A76">
        <w:t>since 2008</w:t>
      </w:r>
      <w:r w:rsidR="000F3CA8" w:rsidRPr="00222A76">
        <w:t>, to Site Specific Policy Area Mixed Use to permit a residential plan of subdivision.</w:t>
      </w:r>
      <w:r w:rsidR="00902032" w:rsidRPr="00222A76">
        <w:t xml:space="preserve"> The County’s land use </w:t>
      </w:r>
      <w:r w:rsidR="00D74E0D" w:rsidRPr="00222A76">
        <w:t>planner, Ms.</w:t>
      </w:r>
      <w:r w:rsidR="00902032" w:rsidRPr="00222A76">
        <w:t xml:space="preserve"> Angrish </w:t>
      </w:r>
      <w:r w:rsidR="0082362A">
        <w:t xml:space="preserve">testified </w:t>
      </w:r>
      <w:r w:rsidR="00902032" w:rsidRPr="00222A76">
        <w:t xml:space="preserve">that the lands have been designated </w:t>
      </w:r>
      <w:r w:rsidR="0082362A" w:rsidRPr="00222A76">
        <w:t xml:space="preserve">in the Official Plan </w:t>
      </w:r>
      <w:r w:rsidR="00902032" w:rsidRPr="00222A76">
        <w:t>for future residential development since 2000</w:t>
      </w:r>
      <w:r w:rsidR="00D74E0D" w:rsidRPr="00222A76">
        <w:t>.</w:t>
      </w:r>
    </w:p>
    <w:p w14:paraId="4FC25E50" w14:textId="3B3F8B32" w:rsidR="00222A76" w:rsidRDefault="00312232" w:rsidP="00222A76">
      <w:pPr>
        <w:pStyle w:val="DecisionBody"/>
      </w:pPr>
      <w:r w:rsidRPr="00222A76">
        <w:lastRenderedPageBreak/>
        <w:t xml:space="preserve">Ms. Angrish, referred to </w:t>
      </w:r>
      <w:r w:rsidR="0082362A">
        <w:t xml:space="preserve">the </w:t>
      </w:r>
      <w:r w:rsidRPr="00222A76">
        <w:t>Fuel Safety Programs Advisory that was issued by the TSSA on January 10, 2010, which requires</w:t>
      </w:r>
      <w:r w:rsidR="00CC78C3" w:rsidRPr="00222A76">
        <w:t xml:space="preserve"> the </w:t>
      </w:r>
      <w:r w:rsidR="00222A76">
        <w:t>County</w:t>
      </w:r>
      <w:r w:rsidR="00CC78C3" w:rsidRPr="00222A76">
        <w:t xml:space="preserve"> to </w:t>
      </w:r>
      <w:r w:rsidRPr="00222A76">
        <w:t>advis</w:t>
      </w:r>
      <w:r w:rsidR="00CC78C3" w:rsidRPr="00222A76">
        <w:t>e</w:t>
      </w:r>
      <w:r w:rsidRPr="00222A76">
        <w:t xml:space="preserve"> propane operators of potential land use changes within the hazard distance </w:t>
      </w:r>
      <w:r w:rsidR="00676269" w:rsidRPr="00222A76">
        <w:t xml:space="preserve">that </w:t>
      </w:r>
      <w:r w:rsidRPr="00222A76">
        <w:t>may result in an increased</w:t>
      </w:r>
      <w:r w:rsidR="00CC78C3" w:rsidRPr="00222A76">
        <w:t xml:space="preserve"> </w:t>
      </w:r>
      <w:r w:rsidRPr="00222A76">
        <w:t>risk profile and may require a propane operator to institute additional mitigation</w:t>
      </w:r>
      <w:r w:rsidR="00222A76">
        <w:t xml:space="preserve"> </w:t>
      </w:r>
      <w:r w:rsidRPr="00222A76">
        <w:t>measures.</w:t>
      </w:r>
    </w:p>
    <w:p w14:paraId="3D8C5746" w14:textId="6E59A816" w:rsidR="00334345" w:rsidRDefault="0068665D" w:rsidP="00334345">
      <w:pPr>
        <w:pStyle w:val="DecisionBody"/>
      </w:pPr>
      <w:r w:rsidRPr="00222A76">
        <w:t>It is the County’s</w:t>
      </w:r>
      <w:r w:rsidR="003809C3" w:rsidRPr="00222A76">
        <w:t xml:space="preserve"> position that </w:t>
      </w:r>
      <w:r w:rsidR="0082362A">
        <w:t xml:space="preserve">the </w:t>
      </w:r>
      <w:r w:rsidRPr="00222A76">
        <w:t>propane operator</w:t>
      </w:r>
      <w:r w:rsidR="006270EE">
        <w:t xml:space="preserve"> has the</w:t>
      </w:r>
      <w:r w:rsidR="00CC78C3" w:rsidRPr="00222A76">
        <w:t xml:space="preserve"> </w:t>
      </w:r>
      <w:r w:rsidRPr="00222A76">
        <w:t>responsibility to review the existing and future land-use surrounding the propane facility as part of the licensing requirement</w:t>
      </w:r>
      <w:r w:rsidR="0082362A">
        <w:t>,</w:t>
      </w:r>
      <w:r w:rsidR="00D74E0D" w:rsidRPr="00222A76">
        <w:t xml:space="preserve"> </w:t>
      </w:r>
      <w:r w:rsidR="00CC78C3" w:rsidRPr="00222A76">
        <w:t>and</w:t>
      </w:r>
      <w:r w:rsidR="0082362A">
        <w:t xml:space="preserve"> it is </w:t>
      </w:r>
      <w:r w:rsidR="0082362A" w:rsidRPr="00222A76">
        <w:t>the</w:t>
      </w:r>
      <w:r w:rsidRPr="00222A76">
        <w:t xml:space="preserve"> propane operator </w:t>
      </w:r>
      <w:r w:rsidR="0082362A">
        <w:t xml:space="preserve">who </w:t>
      </w:r>
      <w:r w:rsidR="003809C3" w:rsidRPr="00222A76">
        <w:t>must</w:t>
      </w:r>
      <w:r w:rsidRPr="00222A76">
        <w:t xml:space="preserve"> upgrade </w:t>
      </w:r>
      <w:r w:rsidR="0082362A">
        <w:t xml:space="preserve">its </w:t>
      </w:r>
      <w:r w:rsidRPr="00222A76">
        <w:t>risk management</w:t>
      </w:r>
      <w:r w:rsidR="00222A76">
        <w:t xml:space="preserve"> </w:t>
      </w:r>
      <w:r w:rsidRPr="00222A76">
        <w:t>plan to address</w:t>
      </w:r>
      <w:r w:rsidR="0082362A">
        <w:t xml:space="preserve"> any</w:t>
      </w:r>
      <w:r w:rsidRPr="00222A76">
        <w:t xml:space="preserve"> risks associated with proposed residential development</w:t>
      </w:r>
      <w:r w:rsidR="00334345">
        <w:t>.</w:t>
      </w:r>
      <w:r w:rsidR="00420226" w:rsidRPr="00222A76">
        <w:t xml:space="preserve"> </w:t>
      </w:r>
      <w:r w:rsidR="00186CAC">
        <w:t xml:space="preserve">Empire </w:t>
      </w:r>
      <w:r w:rsidR="006270EE">
        <w:t xml:space="preserve">was in concurrence </w:t>
      </w:r>
      <w:r w:rsidR="00D74E0D" w:rsidRPr="00222A76">
        <w:t xml:space="preserve">with </w:t>
      </w:r>
      <w:r w:rsidR="00186CAC">
        <w:t>the County</w:t>
      </w:r>
      <w:r w:rsidR="006270EE">
        <w:t>’s position.</w:t>
      </w:r>
    </w:p>
    <w:p w14:paraId="11FD80D1" w14:textId="653F0F58" w:rsidR="00334345" w:rsidRDefault="00484FD6" w:rsidP="00334345">
      <w:pPr>
        <w:pStyle w:val="DecisionBody"/>
      </w:pPr>
      <w:r w:rsidRPr="00334345">
        <w:t>Empire</w:t>
      </w:r>
      <w:r w:rsidR="003809C3" w:rsidRPr="00334345">
        <w:t xml:space="preserve"> </w:t>
      </w:r>
      <w:r w:rsidR="0082362A">
        <w:t xml:space="preserve">further </w:t>
      </w:r>
      <w:r w:rsidR="00D74E0D" w:rsidRPr="00334345">
        <w:t xml:space="preserve">argued </w:t>
      </w:r>
      <w:r w:rsidR="000452BD" w:rsidRPr="00334345">
        <w:t>that the</w:t>
      </w:r>
      <w:r w:rsidR="00C6388B" w:rsidRPr="00334345">
        <w:t xml:space="preserve"> </w:t>
      </w:r>
      <w:r w:rsidR="00334345">
        <w:t>g</w:t>
      </w:r>
      <w:r w:rsidR="00C6388B" w:rsidRPr="00334345">
        <w:t>uidelines for the implementation of the level 2 Risk and Safety Management Plan apply</w:t>
      </w:r>
      <w:r w:rsidR="000452BD" w:rsidRPr="00334345">
        <w:t xml:space="preserve"> to operators and not to land owners</w:t>
      </w:r>
      <w:r w:rsidR="00186CAC">
        <w:t>.</w:t>
      </w:r>
      <w:r w:rsidR="0082362A">
        <w:t xml:space="preserve"> </w:t>
      </w:r>
      <w:r w:rsidR="00186CAC">
        <w:t>T</w:t>
      </w:r>
      <w:r w:rsidR="0082362A">
        <w:t>hat was conceded by Parkland.</w:t>
      </w:r>
      <w:r w:rsidR="00D74E0D" w:rsidRPr="00334345">
        <w:t xml:space="preserve"> </w:t>
      </w:r>
      <w:r w:rsidR="00C643B8" w:rsidRPr="00334345">
        <w:t>Empire rejected Parkland’s solution to</w:t>
      </w:r>
      <w:r w:rsidR="0082362A">
        <w:t xml:space="preserve"> rezone</w:t>
      </w:r>
      <w:r w:rsidR="00C643B8" w:rsidRPr="00334345">
        <w:t xml:space="preserve"> the affected triangle of land from the school block to Open Space and recoup the loss space from elsewhere</w:t>
      </w:r>
      <w:r w:rsidR="00186CAC">
        <w:t>,</w:t>
      </w:r>
      <w:r w:rsidR="00C643B8" w:rsidRPr="00334345">
        <w:t xml:space="preserve"> Empire</w:t>
      </w:r>
      <w:r w:rsidR="00291B3E" w:rsidRPr="00334345">
        <w:t xml:space="preserve"> argued that</w:t>
      </w:r>
      <w:r w:rsidR="00C643B8" w:rsidRPr="00334345">
        <w:t xml:space="preserve"> there is nothing in the TSSA that puts the burden of mitigation on the land use.</w:t>
      </w:r>
    </w:p>
    <w:p w14:paraId="0A989E07" w14:textId="3C74FFD8" w:rsidR="00334345" w:rsidRDefault="00427CE5" w:rsidP="00334345">
      <w:pPr>
        <w:pStyle w:val="DecisionBody"/>
      </w:pPr>
      <w:r w:rsidRPr="00334345">
        <w:t>Mr. Froussi</w:t>
      </w:r>
      <w:r w:rsidR="00CD0AB9">
        <w:t>o</w:t>
      </w:r>
      <w:r w:rsidRPr="00334345">
        <w:t xml:space="preserve">s opined that </w:t>
      </w:r>
      <w:r w:rsidR="00D84199" w:rsidRPr="00334345">
        <w:t>S</w:t>
      </w:r>
      <w:r w:rsidRPr="00334345">
        <w:t xml:space="preserve">chool </w:t>
      </w:r>
      <w:r w:rsidR="00D84199" w:rsidRPr="00334345">
        <w:t>B</w:t>
      </w:r>
      <w:r w:rsidRPr="00334345">
        <w:t>lock 75</w:t>
      </w:r>
      <w:r w:rsidR="00D84199" w:rsidRPr="00334345">
        <w:t>,</w:t>
      </w:r>
      <w:r w:rsidRPr="00334345">
        <w:t xml:space="preserve"> does not comply with the </w:t>
      </w:r>
      <w:r w:rsidR="00C643B8" w:rsidRPr="00334345">
        <w:t>P</w:t>
      </w:r>
      <w:r w:rsidR="00334345">
        <w:t xml:space="preserve">rovincial </w:t>
      </w:r>
      <w:r w:rsidR="00C643B8" w:rsidRPr="00334345">
        <w:t>P</w:t>
      </w:r>
      <w:r w:rsidR="00334345">
        <w:t xml:space="preserve">olicy </w:t>
      </w:r>
      <w:r w:rsidR="00C643B8" w:rsidRPr="00334345">
        <w:t>S</w:t>
      </w:r>
      <w:r w:rsidR="00334345">
        <w:t>tatement</w:t>
      </w:r>
      <w:r w:rsidR="00CE01A5">
        <w:t>,</w:t>
      </w:r>
      <w:r w:rsidR="00334345">
        <w:t xml:space="preserve"> 2014</w:t>
      </w:r>
      <w:r w:rsidR="00C643B8" w:rsidRPr="00334345">
        <w:t xml:space="preserve"> </w:t>
      </w:r>
      <w:r w:rsidR="00334345">
        <w:t xml:space="preserve">(“PPS”) </w:t>
      </w:r>
      <w:r w:rsidRPr="00334345">
        <w:t xml:space="preserve">which </w:t>
      </w:r>
      <w:r w:rsidR="00C643B8" w:rsidRPr="00334345">
        <w:t xml:space="preserve">provides development and land use patterns which may cause environmental or public health and safety </w:t>
      </w:r>
      <w:r w:rsidR="00676269" w:rsidRPr="00334345">
        <w:t xml:space="preserve">concerns </w:t>
      </w:r>
      <w:r w:rsidR="00334345">
        <w:t xml:space="preserve">which </w:t>
      </w:r>
      <w:r w:rsidR="00676269" w:rsidRPr="00334345">
        <w:t>should</w:t>
      </w:r>
      <w:r w:rsidR="00C643B8" w:rsidRPr="00334345">
        <w:t xml:space="preserve"> be avoided</w:t>
      </w:r>
      <w:r w:rsidR="00676269" w:rsidRPr="00334345">
        <w:t>. Similarly,</w:t>
      </w:r>
      <w:r w:rsidRPr="00334345">
        <w:t xml:space="preserve"> </w:t>
      </w:r>
      <w:r w:rsidR="00186CAC">
        <w:t xml:space="preserve">Mr. </w:t>
      </w:r>
      <w:r w:rsidR="00186CAC" w:rsidRPr="00334345">
        <w:t>Froussi</w:t>
      </w:r>
      <w:r w:rsidR="00186CAC">
        <w:t>o</w:t>
      </w:r>
      <w:r w:rsidR="00186CAC" w:rsidRPr="00334345">
        <w:t xml:space="preserve">s </w:t>
      </w:r>
      <w:r w:rsidR="00EF6F3B" w:rsidRPr="00334345">
        <w:t xml:space="preserve">opined that </w:t>
      </w:r>
      <w:r w:rsidR="003A0E04">
        <w:t xml:space="preserve">School Block 75 </w:t>
      </w:r>
      <w:r w:rsidRPr="00334345">
        <w:t xml:space="preserve">does not comply </w:t>
      </w:r>
      <w:r w:rsidR="00D84199" w:rsidRPr="00334345">
        <w:t>with the</w:t>
      </w:r>
      <w:r w:rsidR="00676269" w:rsidRPr="00334345">
        <w:t xml:space="preserve"> County’s O</w:t>
      </w:r>
      <w:r w:rsidR="00334345">
        <w:t xml:space="preserve">fficial </w:t>
      </w:r>
      <w:r w:rsidR="00676269" w:rsidRPr="00334345">
        <w:t>P</w:t>
      </w:r>
      <w:r w:rsidR="00334345">
        <w:t>lan</w:t>
      </w:r>
      <w:r w:rsidR="00676269" w:rsidRPr="00334345">
        <w:t xml:space="preserve"> </w:t>
      </w:r>
      <w:r w:rsidR="00EF6F3B" w:rsidRPr="00334345">
        <w:t xml:space="preserve">policy </w:t>
      </w:r>
      <w:r w:rsidR="00186CAC">
        <w:t xml:space="preserve">which speaks to </w:t>
      </w:r>
      <w:r w:rsidR="00676269" w:rsidRPr="00334345">
        <w:t>appropriate buffers and separation distances</w:t>
      </w:r>
      <w:r w:rsidR="00186CAC">
        <w:t xml:space="preserve"> to</w:t>
      </w:r>
      <w:r w:rsidR="00676269" w:rsidRPr="00334345">
        <w:t xml:space="preserve"> support public safety, and minimise negative impacts to resources, the environment and adjacent users.</w:t>
      </w:r>
      <w:r w:rsidR="00EF6F3B" w:rsidRPr="00334345">
        <w:t xml:space="preserve"> Empire maintained its position that</w:t>
      </w:r>
      <w:r w:rsidR="00906B1F" w:rsidRPr="00334345">
        <w:t xml:space="preserve"> the responsibility for mitigation</w:t>
      </w:r>
      <w:r w:rsidR="00EF6F3B" w:rsidRPr="00334345">
        <w:t xml:space="preserve"> </w:t>
      </w:r>
      <w:r w:rsidR="00F75272" w:rsidRPr="00334345">
        <w:t xml:space="preserve">is </w:t>
      </w:r>
      <w:r w:rsidR="00EF6F3B" w:rsidRPr="00334345">
        <w:t>only</w:t>
      </w:r>
      <w:r w:rsidR="00F75272" w:rsidRPr="00334345">
        <w:t xml:space="preserve"> </w:t>
      </w:r>
      <w:r w:rsidR="00EF6F3B" w:rsidRPr="00334345">
        <w:t>the propane operator</w:t>
      </w:r>
      <w:r w:rsidR="00906B1F" w:rsidRPr="00334345">
        <w:t>’s</w:t>
      </w:r>
      <w:r w:rsidR="00EF6F3B" w:rsidRPr="00334345">
        <w:t>; any suggestion that private lands</w:t>
      </w:r>
      <w:r w:rsidR="00906B1F" w:rsidRPr="00334345">
        <w:t xml:space="preserve"> are to</w:t>
      </w:r>
      <w:r w:rsidR="00EF6F3B" w:rsidRPr="00334345">
        <w:t xml:space="preserve"> be used as a buffer is </w:t>
      </w:r>
      <w:r w:rsidR="00A65F2E" w:rsidRPr="00334345">
        <w:t>n</w:t>
      </w:r>
      <w:r w:rsidR="00A65F2E">
        <w:t xml:space="preserve">either </w:t>
      </w:r>
      <w:r w:rsidR="00A65F2E" w:rsidRPr="00334345">
        <w:t>appropriate</w:t>
      </w:r>
      <w:r w:rsidR="00A65F2E">
        <w:t xml:space="preserve"> nor anticipated in those documents</w:t>
      </w:r>
      <w:r w:rsidR="00EF6F3B" w:rsidRPr="00334345">
        <w:t>.</w:t>
      </w:r>
      <w:r w:rsidR="00A65F2E">
        <w:t xml:space="preserve"> It was </w:t>
      </w:r>
      <w:r w:rsidR="00A65F2E" w:rsidRPr="00334345">
        <w:t>Mr.</w:t>
      </w:r>
      <w:r w:rsidR="00EF6F3B" w:rsidRPr="00334345">
        <w:t xml:space="preserve"> Johns</w:t>
      </w:r>
      <w:r w:rsidR="00CD0AB9">
        <w:t>t</w:t>
      </w:r>
      <w:r w:rsidR="00EF6F3B" w:rsidRPr="00334345">
        <w:t>on</w:t>
      </w:r>
      <w:r w:rsidR="00A65F2E">
        <w:t xml:space="preserve"> opinion</w:t>
      </w:r>
      <w:r w:rsidR="00EF6F3B" w:rsidRPr="00334345">
        <w:t xml:space="preserve"> that </w:t>
      </w:r>
      <w:r w:rsidR="00A65F2E">
        <w:t xml:space="preserve">there is </w:t>
      </w:r>
      <w:r w:rsidR="00EF6F3B" w:rsidRPr="00334345">
        <w:t>no polic</w:t>
      </w:r>
      <w:r w:rsidR="00A65F2E">
        <w:t>y</w:t>
      </w:r>
      <w:r w:rsidR="00EF6F3B" w:rsidRPr="00334345">
        <w:t xml:space="preserve"> in the PPS </w:t>
      </w:r>
      <w:r w:rsidR="00A65F2E">
        <w:t xml:space="preserve">that </w:t>
      </w:r>
      <w:r w:rsidR="00EF6F3B" w:rsidRPr="00334345">
        <w:t>support</w:t>
      </w:r>
      <w:r w:rsidR="00A65F2E">
        <w:t>s</w:t>
      </w:r>
      <w:r w:rsidR="00EF6F3B" w:rsidRPr="00334345">
        <w:t xml:space="preserve"> a reverse obligation under the TSSA. </w:t>
      </w:r>
    </w:p>
    <w:p w14:paraId="58BFAB68" w14:textId="00B136C2" w:rsidR="00334345" w:rsidRDefault="00BC5907" w:rsidP="00334345">
      <w:pPr>
        <w:pStyle w:val="DecisionBody"/>
      </w:pPr>
      <w:r w:rsidRPr="00334345">
        <w:lastRenderedPageBreak/>
        <w:t>Mr. Froussi</w:t>
      </w:r>
      <w:r w:rsidR="00CD0AB9">
        <w:t>o</w:t>
      </w:r>
      <w:r w:rsidRPr="00334345">
        <w:t xml:space="preserve">s took the </w:t>
      </w:r>
      <w:r w:rsidR="00334345">
        <w:t>T</w:t>
      </w:r>
      <w:r w:rsidRPr="00334345">
        <w:t xml:space="preserve">ribunal to the </w:t>
      </w:r>
      <w:r w:rsidR="00291B3E" w:rsidRPr="00334345">
        <w:t>general provision in the County’s O</w:t>
      </w:r>
      <w:r w:rsidR="00334345">
        <w:t xml:space="preserve">fficial </w:t>
      </w:r>
      <w:r w:rsidR="00291B3E" w:rsidRPr="00334345">
        <w:t>P</w:t>
      </w:r>
      <w:r w:rsidR="00334345">
        <w:t>lan</w:t>
      </w:r>
      <w:r w:rsidR="00291B3E" w:rsidRPr="00334345">
        <w:t xml:space="preserve"> which state</w:t>
      </w:r>
      <w:r w:rsidR="00906B1F" w:rsidRPr="00334345">
        <w:t>s</w:t>
      </w:r>
      <w:r w:rsidR="00291B3E" w:rsidRPr="00334345">
        <w:t xml:space="preserve"> that </w:t>
      </w:r>
      <w:r w:rsidR="00906B1F" w:rsidRPr="00334345">
        <w:t>p</w:t>
      </w:r>
      <w:r w:rsidR="00291B3E" w:rsidRPr="00334345">
        <w:t>ropane fuel storage and handling facilities shall comply with the T</w:t>
      </w:r>
      <w:r w:rsidR="00334345">
        <w:t>SSA</w:t>
      </w:r>
      <w:r w:rsidR="00291B3E" w:rsidRPr="00334345">
        <w:t xml:space="preserve"> requirements.</w:t>
      </w:r>
      <w:r w:rsidR="00D84199" w:rsidRPr="00334345">
        <w:t xml:space="preserve"> Mr.</w:t>
      </w:r>
      <w:r w:rsidR="00427CE5" w:rsidRPr="00334345">
        <w:t xml:space="preserve"> Froussi</w:t>
      </w:r>
      <w:r w:rsidR="00CD0AB9">
        <w:t>o</w:t>
      </w:r>
      <w:r w:rsidR="00427CE5" w:rsidRPr="00334345">
        <w:t xml:space="preserve">s </w:t>
      </w:r>
      <w:r w:rsidR="00A65F2E">
        <w:t xml:space="preserve">opined </w:t>
      </w:r>
      <w:r w:rsidR="00B962E8" w:rsidRPr="00334345">
        <w:t>that if</w:t>
      </w:r>
      <w:r w:rsidRPr="00334345">
        <w:t xml:space="preserve"> the necessary separation distance is not achieved and</w:t>
      </w:r>
      <w:r w:rsidR="00B962E8" w:rsidRPr="00334345">
        <w:t xml:space="preserve"> </w:t>
      </w:r>
      <w:r w:rsidRPr="00334345">
        <w:t>the facility no longer complies with the TSSA</w:t>
      </w:r>
      <w:r w:rsidR="00A65F2E">
        <w:t>,</w:t>
      </w:r>
      <w:r w:rsidRPr="00334345">
        <w:t xml:space="preserve"> it may have to</w:t>
      </w:r>
      <w:r w:rsidR="00A65F2E">
        <w:t xml:space="preserve"> be</w:t>
      </w:r>
      <w:r w:rsidRPr="00334345">
        <w:t xml:space="preserve"> shut down</w:t>
      </w:r>
      <w:r w:rsidR="00A65F2E">
        <w:t xml:space="preserve">. It was his </w:t>
      </w:r>
      <w:r w:rsidR="00B65413">
        <w:t xml:space="preserve">opinion that </w:t>
      </w:r>
      <w:r w:rsidR="00A65F2E" w:rsidRPr="00334345">
        <w:t>the</w:t>
      </w:r>
      <w:r w:rsidR="00906B1F" w:rsidRPr="00334345">
        <w:t xml:space="preserve"> facility </w:t>
      </w:r>
      <w:r w:rsidRPr="00334345">
        <w:t xml:space="preserve">should not be placed in </w:t>
      </w:r>
      <w:r w:rsidR="00334345">
        <w:t>j</w:t>
      </w:r>
      <w:r w:rsidRPr="00334345">
        <w:t>eopardy because of the proposed use</w:t>
      </w:r>
      <w:r w:rsidR="00A65F2E">
        <w:t>.</w:t>
      </w:r>
      <w:r w:rsidR="00A303E4" w:rsidRPr="00334345">
        <w:t xml:space="preserve"> </w:t>
      </w:r>
      <w:r w:rsidR="00B65413">
        <w:t>A</w:t>
      </w:r>
      <w:r w:rsidR="00B65413" w:rsidRPr="00334345">
        <w:t>gain,</w:t>
      </w:r>
      <w:r w:rsidRPr="00334345">
        <w:t xml:space="preserve"> he recommended excluding the school use from the triangle and amend</w:t>
      </w:r>
      <w:r w:rsidR="00186CAC">
        <w:t>ing</w:t>
      </w:r>
      <w:r w:rsidRPr="00334345">
        <w:t xml:space="preserve"> the zoning.</w:t>
      </w:r>
    </w:p>
    <w:p w14:paraId="20EE7E58" w14:textId="7B9A393D" w:rsidR="00334345" w:rsidRDefault="00582C4F" w:rsidP="00334345">
      <w:pPr>
        <w:pStyle w:val="DecisionBody"/>
      </w:pPr>
      <w:r w:rsidRPr="00334345">
        <w:t>The Tribunal</w:t>
      </w:r>
      <w:r w:rsidR="00B65413">
        <w:t xml:space="preserve"> has considered the evidence and submissions </w:t>
      </w:r>
      <w:r w:rsidR="00D62A0D">
        <w:t xml:space="preserve">and </w:t>
      </w:r>
      <w:r w:rsidR="00D62A0D" w:rsidRPr="00334345">
        <w:t>finds</w:t>
      </w:r>
      <w:r w:rsidRPr="00334345">
        <w:t xml:space="preserve"> that t</w:t>
      </w:r>
      <w:r w:rsidR="00906B1F" w:rsidRPr="00334345">
        <w:t xml:space="preserve">he </w:t>
      </w:r>
      <w:r w:rsidR="00F75272" w:rsidRPr="00334345">
        <w:t xml:space="preserve">intended use of the </w:t>
      </w:r>
      <w:r w:rsidR="00CD0AB9">
        <w:t>S</w:t>
      </w:r>
      <w:r w:rsidR="00F75272" w:rsidRPr="00334345">
        <w:t xml:space="preserve">ubject </w:t>
      </w:r>
      <w:r w:rsidR="00CD0AB9">
        <w:t>Lands</w:t>
      </w:r>
      <w:r w:rsidR="00906B1F" w:rsidRPr="00334345">
        <w:t xml:space="preserve"> for residential purposes was </w:t>
      </w:r>
      <w:r w:rsidR="00D62A0D">
        <w:t>established since 2000 and g</w:t>
      </w:r>
      <w:r w:rsidR="00B65413" w:rsidRPr="00334345">
        <w:t>iven the use</w:t>
      </w:r>
      <w:r w:rsidR="00B65413">
        <w:t>,</w:t>
      </w:r>
      <w:r w:rsidR="006943B8" w:rsidRPr="00334345">
        <w:t xml:space="preserve"> </w:t>
      </w:r>
      <w:r w:rsidR="00B65413">
        <w:t xml:space="preserve">Parkland </w:t>
      </w:r>
      <w:r w:rsidR="00906B1F" w:rsidRPr="00334345">
        <w:t>ought to have anticipated</w:t>
      </w:r>
      <w:r w:rsidR="00D62A0D">
        <w:t xml:space="preserve"> that</w:t>
      </w:r>
      <w:r w:rsidR="006943B8" w:rsidRPr="00334345">
        <w:t xml:space="preserve"> </w:t>
      </w:r>
      <w:r w:rsidR="00906B1F" w:rsidRPr="00334345">
        <w:t>there could be a need for additional precautionary measures</w:t>
      </w:r>
      <w:r w:rsidRPr="00334345">
        <w:t>. Parkland submits,</w:t>
      </w:r>
      <w:r w:rsidR="006943B8" w:rsidRPr="00334345">
        <w:t xml:space="preserve"> and the </w:t>
      </w:r>
      <w:r w:rsidR="00334345">
        <w:t>T</w:t>
      </w:r>
      <w:r w:rsidR="006943B8" w:rsidRPr="00334345">
        <w:t>ribunal agrees, that propane</w:t>
      </w:r>
      <w:r w:rsidRPr="00334345">
        <w:t xml:space="preserve"> operat</w:t>
      </w:r>
      <w:r w:rsidR="00D62A0D">
        <w:t>ors</w:t>
      </w:r>
      <w:r w:rsidRPr="00334345">
        <w:t xml:space="preserve"> have rights and require orderly development. </w:t>
      </w:r>
      <w:r w:rsidR="00D62A0D">
        <w:t xml:space="preserve">The Tribunal finds that there </w:t>
      </w:r>
      <w:r w:rsidR="002A4F62">
        <w:t xml:space="preserve">is no </w:t>
      </w:r>
      <w:r w:rsidR="00D62A0D">
        <w:t>evidence</w:t>
      </w:r>
      <w:r w:rsidR="002A4F62">
        <w:t xml:space="preserve"> that Empire or the County proceeded in a disorderly fashion.</w:t>
      </w:r>
      <w:r w:rsidR="00D62A0D">
        <w:t xml:space="preserve">  </w:t>
      </w:r>
    </w:p>
    <w:p w14:paraId="2E4A434C" w14:textId="0B36B6FC" w:rsidR="00334345" w:rsidRDefault="002A4F62" w:rsidP="00334345">
      <w:pPr>
        <w:pStyle w:val="DecisionBody"/>
      </w:pPr>
      <w:r>
        <w:t xml:space="preserve">The </w:t>
      </w:r>
      <w:r w:rsidR="00582C4F" w:rsidRPr="00334345">
        <w:t>Tribunal</w:t>
      </w:r>
      <w:r>
        <w:t xml:space="preserve"> finds </w:t>
      </w:r>
      <w:r w:rsidR="00186CAC">
        <w:t xml:space="preserve">that </w:t>
      </w:r>
      <w:r w:rsidR="00186CAC" w:rsidRPr="00334345">
        <w:t>the</w:t>
      </w:r>
      <w:r w:rsidR="00582C4F" w:rsidRPr="00334345">
        <w:t xml:space="preserve"> County fulfilled its obligation to advise </w:t>
      </w:r>
      <w:r w:rsidR="006943B8" w:rsidRPr="00334345">
        <w:t xml:space="preserve">Parkland </w:t>
      </w:r>
      <w:r w:rsidR="00582C4F" w:rsidRPr="00334345">
        <w:t xml:space="preserve">of </w:t>
      </w:r>
      <w:r w:rsidR="006943B8" w:rsidRPr="00334345">
        <w:t xml:space="preserve">the </w:t>
      </w:r>
      <w:r w:rsidR="00582C4F" w:rsidRPr="00334345">
        <w:t xml:space="preserve">potential land use changes within the hazard distance that </w:t>
      </w:r>
      <w:r w:rsidR="006943B8" w:rsidRPr="00334345">
        <w:t xml:space="preserve">could </w:t>
      </w:r>
      <w:r w:rsidR="00582C4F" w:rsidRPr="00334345">
        <w:t>result in an increased risk profile and require additional mitigation</w:t>
      </w:r>
      <w:r w:rsidR="006943B8" w:rsidRPr="00334345">
        <w:t xml:space="preserve"> </w:t>
      </w:r>
      <w:r w:rsidR="00582C4F" w:rsidRPr="00334345">
        <w:t>measures.</w:t>
      </w:r>
    </w:p>
    <w:p w14:paraId="317C6D49" w14:textId="76A22E46" w:rsidR="00CE01A5" w:rsidRDefault="002A4F62" w:rsidP="00CE01A5">
      <w:pPr>
        <w:pStyle w:val="DecisionBody"/>
      </w:pPr>
      <w:r>
        <w:t xml:space="preserve">The </w:t>
      </w:r>
      <w:r w:rsidR="006C2616" w:rsidRPr="00334345">
        <w:t>Tribunal finds</w:t>
      </w:r>
      <w:r w:rsidR="0018327C" w:rsidRPr="00334345">
        <w:t xml:space="preserve"> nothing in this case that would suggest </w:t>
      </w:r>
      <w:r>
        <w:t xml:space="preserve">a </w:t>
      </w:r>
      <w:r w:rsidR="0018327C" w:rsidRPr="00334345">
        <w:t xml:space="preserve">reason to shift the </w:t>
      </w:r>
      <w:r w:rsidR="006C2616" w:rsidRPr="00334345">
        <w:t>obligation</w:t>
      </w:r>
      <w:r w:rsidR="0018327C" w:rsidRPr="00334345">
        <w:t xml:space="preserve"> to mitigate from Parkland to Empire. </w:t>
      </w:r>
      <w:r>
        <w:t>That said,</w:t>
      </w:r>
      <w:r w:rsidR="006C2616" w:rsidRPr="00334345">
        <w:t xml:space="preserve"> </w:t>
      </w:r>
      <w:r w:rsidR="006943B8" w:rsidRPr="00334345">
        <w:t xml:space="preserve">Empire made </w:t>
      </w:r>
      <w:r w:rsidR="006C2616" w:rsidRPr="00334345">
        <w:t xml:space="preserve">changes to the </w:t>
      </w:r>
      <w:r w:rsidR="00FB3F32" w:rsidRPr="00334345">
        <w:t xml:space="preserve">draft </w:t>
      </w:r>
      <w:r w:rsidR="006C2616" w:rsidRPr="00334345">
        <w:t>plan of subdivision to</w:t>
      </w:r>
      <w:r w:rsidR="00FB3F32" w:rsidRPr="00334345">
        <w:t xml:space="preserve"> respond to Parkland’s concern</w:t>
      </w:r>
      <w:r>
        <w:t xml:space="preserve">; if there is </w:t>
      </w:r>
      <w:r w:rsidR="00FB3F32" w:rsidRPr="00334345">
        <w:t xml:space="preserve">a further </w:t>
      </w:r>
      <w:r w:rsidR="0018327C" w:rsidRPr="00334345">
        <w:t>opportunity to reduce</w:t>
      </w:r>
      <w:r w:rsidR="00FB3F32" w:rsidRPr="00334345">
        <w:t xml:space="preserve"> the impact on Parkland’s </w:t>
      </w:r>
      <w:r w:rsidR="00E60AB8" w:rsidRPr="00334345">
        <w:t>facility,</w:t>
      </w:r>
      <w:r w:rsidR="0018327C" w:rsidRPr="00334345">
        <w:t xml:space="preserve"> it ought to be</w:t>
      </w:r>
      <w:r w:rsidR="00FB3F32" w:rsidRPr="00334345">
        <w:t xml:space="preserve"> considered</w:t>
      </w:r>
      <w:r w:rsidR="0018327C" w:rsidRPr="00334345">
        <w:t>.</w:t>
      </w:r>
      <w:r w:rsidR="006C2616" w:rsidRPr="00334345">
        <w:t xml:space="preserve"> Both</w:t>
      </w:r>
      <w:r w:rsidR="0018327C" w:rsidRPr="00334345">
        <w:t xml:space="preserve"> Empire and Parkland agreed</w:t>
      </w:r>
      <w:r w:rsidR="006C2616" w:rsidRPr="00334345">
        <w:t xml:space="preserve"> that until there is a decision to build the school, the obligation to mitigate is not triggered.</w:t>
      </w:r>
    </w:p>
    <w:p w14:paraId="0D9CE3DF" w14:textId="5DA90C48" w:rsidR="00CE01A5" w:rsidRDefault="00BE601C" w:rsidP="00CE01A5">
      <w:pPr>
        <w:pStyle w:val="DecisionBody"/>
      </w:pPr>
      <w:r w:rsidRPr="00CE01A5">
        <w:t xml:space="preserve">Based on all the foregoing, the Tribunal finds that the proposed planning instruments, which would facilitate the development of the </w:t>
      </w:r>
      <w:r w:rsidR="00CD0AB9">
        <w:t>S</w:t>
      </w:r>
      <w:r w:rsidRPr="00CE01A5">
        <w:t xml:space="preserve">ubject </w:t>
      </w:r>
      <w:r w:rsidR="00CD0AB9">
        <w:t>L</w:t>
      </w:r>
      <w:r w:rsidRPr="00CE01A5">
        <w:t>ands</w:t>
      </w:r>
      <w:r w:rsidR="00D655A5" w:rsidRPr="00CE01A5">
        <w:t>,</w:t>
      </w:r>
      <w:r w:rsidRPr="00CE01A5">
        <w:t xml:space="preserve"> meet the requirements of the </w:t>
      </w:r>
      <w:r w:rsidRPr="002A4F62">
        <w:rPr>
          <w:i/>
        </w:rPr>
        <w:t>Planning Act</w:t>
      </w:r>
      <w:r w:rsidRPr="00CE01A5">
        <w:t>, conform to the County’s O</w:t>
      </w:r>
      <w:r w:rsidR="00CE01A5">
        <w:t xml:space="preserve">fficial </w:t>
      </w:r>
      <w:r w:rsidRPr="00CE01A5">
        <w:t>P</w:t>
      </w:r>
      <w:r w:rsidR="00CE01A5">
        <w:t>lan</w:t>
      </w:r>
      <w:r w:rsidRPr="00CE01A5">
        <w:t xml:space="preserve">, are consistent with the PPS, conform to the Growth Plan </w:t>
      </w:r>
      <w:r w:rsidR="00CE01A5">
        <w:t xml:space="preserve">for the Greater Golden Horseshoe, 2017 </w:t>
      </w:r>
      <w:r w:rsidRPr="00CE01A5">
        <w:t>and constitute good planning.</w:t>
      </w:r>
      <w:r w:rsidR="00D655A5" w:rsidRPr="00CE01A5">
        <w:t xml:space="preserve"> </w:t>
      </w:r>
    </w:p>
    <w:p w14:paraId="6B24F03E" w14:textId="03217051" w:rsidR="00CE01A5" w:rsidRDefault="00D655A5" w:rsidP="00CE01A5">
      <w:pPr>
        <w:pStyle w:val="DecisionBody"/>
      </w:pPr>
      <w:r w:rsidRPr="00CE01A5">
        <w:lastRenderedPageBreak/>
        <w:t>Accordingly:</w:t>
      </w:r>
    </w:p>
    <w:p w14:paraId="5543BC1D" w14:textId="77777777" w:rsidR="00CE01A5" w:rsidRDefault="00CE01A5" w:rsidP="00CE01A5">
      <w:pPr>
        <w:pStyle w:val="DecisionBody"/>
        <w:numPr>
          <w:ilvl w:val="0"/>
          <w:numId w:val="0"/>
        </w:numPr>
        <w:ind w:left="1440" w:hanging="720"/>
      </w:pPr>
      <w:r>
        <w:t>1.</w:t>
      </w:r>
      <w:r>
        <w:tab/>
      </w:r>
      <w:r w:rsidRPr="00930669">
        <w:t>The Amendment to the Official Plan of the County of Brant, presented as Exhibit 6 is approved.</w:t>
      </w:r>
    </w:p>
    <w:p w14:paraId="22947C0E" w14:textId="6F0E24F5" w:rsidR="00CE01A5" w:rsidRDefault="00CE01A5" w:rsidP="00CE01A5">
      <w:pPr>
        <w:pStyle w:val="DecisionBody"/>
        <w:numPr>
          <w:ilvl w:val="0"/>
          <w:numId w:val="0"/>
        </w:numPr>
        <w:ind w:left="1440" w:hanging="720"/>
      </w:pPr>
      <w:r>
        <w:t>2.</w:t>
      </w:r>
      <w:r>
        <w:tab/>
      </w:r>
      <w:r w:rsidRPr="00CE01A5">
        <w:t>By-law Number 61-16 for the County of Brant is amended in accordance with the Z</w:t>
      </w:r>
      <w:r w:rsidR="00CD0AB9">
        <w:t xml:space="preserve">oning </w:t>
      </w:r>
      <w:r w:rsidRPr="00CE01A5">
        <w:t>B</w:t>
      </w:r>
      <w:r w:rsidR="00CD0AB9">
        <w:t xml:space="preserve">y-law </w:t>
      </w:r>
      <w:r w:rsidRPr="00CE01A5">
        <w:t>A</w:t>
      </w:r>
      <w:r w:rsidR="00CD0AB9">
        <w:t>mendment</w:t>
      </w:r>
      <w:r w:rsidRPr="00CE01A5">
        <w:t xml:space="preserve"> presented as Exhibit 7</w:t>
      </w:r>
      <w:r>
        <w:t>.</w:t>
      </w:r>
    </w:p>
    <w:p w14:paraId="3567DE8F" w14:textId="77777777" w:rsidR="00CE01A5" w:rsidRPr="00930669" w:rsidRDefault="00CE01A5" w:rsidP="00CE01A5">
      <w:pPr>
        <w:pStyle w:val="DecisionBody"/>
        <w:numPr>
          <w:ilvl w:val="0"/>
          <w:numId w:val="0"/>
        </w:numPr>
        <w:ind w:left="1440" w:hanging="720"/>
      </w:pPr>
      <w:r>
        <w:t>3.</w:t>
      </w:r>
      <w:r>
        <w:tab/>
      </w:r>
      <w:r w:rsidRPr="00930669">
        <w:t>The Draft Plan of Subdivision is approved subject to the Draft Plan Conditions presented as Exhibit 8</w:t>
      </w:r>
    </w:p>
    <w:p w14:paraId="158151CE" w14:textId="3CE2FD87" w:rsidR="006943B8" w:rsidRPr="00CE01A5" w:rsidRDefault="00D655A5" w:rsidP="00CE01A5">
      <w:pPr>
        <w:pStyle w:val="DecisionBody"/>
      </w:pPr>
      <w:r w:rsidRPr="00CE01A5">
        <w:t>This is the Order of the Tribunal.</w:t>
      </w:r>
    </w:p>
    <w:p w14:paraId="7E33ABAD" w14:textId="1947FD7B" w:rsidR="00CE01A5" w:rsidRDefault="00CE01A5" w:rsidP="00CE01A5">
      <w:pPr>
        <w:pStyle w:val="DecisionBody"/>
        <w:numPr>
          <w:ilvl w:val="0"/>
          <w:numId w:val="0"/>
        </w:numPr>
        <w:spacing w:beforeLines="0" w:before="0" w:afterLines="0" w:after="0" w:line="240" w:lineRule="auto"/>
        <w:jc w:val="right"/>
      </w:pPr>
      <w:r>
        <w:t>“Karlene Hussey</w:t>
      </w:r>
      <w:r w:rsidRPr="00AC548D">
        <w:t>”</w:t>
      </w:r>
    </w:p>
    <w:p w14:paraId="18AD43F2" w14:textId="4A145835" w:rsidR="00CE01A5" w:rsidRDefault="00CE01A5" w:rsidP="00CE01A5">
      <w:pPr>
        <w:pStyle w:val="DecisionBody"/>
        <w:numPr>
          <w:ilvl w:val="0"/>
          <w:numId w:val="0"/>
        </w:numPr>
        <w:spacing w:beforeLines="0" w:before="0" w:afterLines="0" w:after="0" w:line="240" w:lineRule="auto"/>
        <w:jc w:val="right"/>
      </w:pPr>
    </w:p>
    <w:p w14:paraId="0988B310" w14:textId="77777777" w:rsidR="00CE01A5" w:rsidRPr="00AC548D" w:rsidRDefault="00CE01A5" w:rsidP="00CE01A5">
      <w:pPr>
        <w:pStyle w:val="DecisionBody"/>
        <w:numPr>
          <w:ilvl w:val="0"/>
          <w:numId w:val="0"/>
        </w:numPr>
        <w:spacing w:beforeLines="0" w:before="0" w:afterLines="0" w:after="0" w:line="240" w:lineRule="auto"/>
        <w:jc w:val="right"/>
      </w:pPr>
    </w:p>
    <w:p w14:paraId="57005C4E" w14:textId="54D52134" w:rsidR="00CE01A5" w:rsidRDefault="00CE01A5" w:rsidP="00CE01A5">
      <w:pPr>
        <w:pStyle w:val="DecisionBody"/>
        <w:numPr>
          <w:ilvl w:val="0"/>
          <w:numId w:val="0"/>
        </w:numPr>
        <w:spacing w:beforeLines="0" w:before="0" w:afterLines="0" w:after="0" w:line="240" w:lineRule="auto"/>
        <w:jc w:val="right"/>
      </w:pPr>
      <w:r>
        <w:t>KARLENE HUSSEY</w:t>
      </w:r>
    </w:p>
    <w:p w14:paraId="49828012" w14:textId="2FB2CEF0" w:rsidR="00CE01A5" w:rsidRPr="00AC548D" w:rsidRDefault="00CE01A5" w:rsidP="00CE01A5">
      <w:pPr>
        <w:pStyle w:val="DecisionBody"/>
        <w:numPr>
          <w:ilvl w:val="0"/>
          <w:numId w:val="0"/>
        </w:numPr>
        <w:spacing w:beforeLines="0" w:before="0" w:afterLines="0" w:after="0" w:line="240" w:lineRule="auto"/>
        <w:jc w:val="right"/>
      </w:pPr>
      <w:r>
        <w:t>VICE-CHAIR</w:t>
      </w:r>
    </w:p>
    <w:p w14:paraId="2E7807CF" w14:textId="77777777" w:rsidR="00CE01A5" w:rsidRPr="004E31D7" w:rsidRDefault="00CE01A5" w:rsidP="00CE01A5">
      <w:pPr>
        <w:pStyle w:val="DecisionBody"/>
        <w:numPr>
          <w:ilvl w:val="0"/>
          <w:numId w:val="0"/>
        </w:numPr>
      </w:pPr>
    </w:p>
    <w:p w14:paraId="4DD05ECC" w14:textId="77777777" w:rsidR="00CE01A5" w:rsidRPr="004E31D7" w:rsidRDefault="00CE01A5" w:rsidP="00CE01A5">
      <w:pPr>
        <w:pStyle w:val="DecisionBody"/>
        <w:numPr>
          <w:ilvl w:val="0"/>
          <w:numId w:val="0"/>
        </w:numPr>
      </w:pPr>
    </w:p>
    <w:p w14:paraId="76B1D206" w14:textId="77777777" w:rsidR="0040727E" w:rsidRDefault="0040727E" w:rsidP="00CE01A5">
      <w:pPr>
        <w:pStyle w:val="DecisionBody"/>
        <w:numPr>
          <w:ilvl w:val="0"/>
          <w:numId w:val="0"/>
        </w:numPr>
      </w:pPr>
    </w:p>
    <w:p w14:paraId="77A072E4" w14:textId="77777777" w:rsidR="00CE01A5" w:rsidRDefault="00CE01A5" w:rsidP="00CE01A5">
      <w:pPr>
        <w:pStyle w:val="DecisionBody"/>
        <w:numPr>
          <w:ilvl w:val="0"/>
          <w:numId w:val="0"/>
        </w:numPr>
      </w:pPr>
    </w:p>
    <w:p w14:paraId="19B7282B" w14:textId="77777777" w:rsidR="00CE01A5" w:rsidRDefault="00CE01A5" w:rsidP="00CE01A5">
      <w:pPr>
        <w:pStyle w:val="DecisionBody"/>
        <w:numPr>
          <w:ilvl w:val="0"/>
          <w:numId w:val="0"/>
        </w:numPr>
        <w:spacing w:beforeLines="0" w:before="0" w:afterLines="0" w:after="0" w:line="240" w:lineRule="auto"/>
        <w:jc w:val="center"/>
      </w:pPr>
      <w:r w:rsidRPr="00AC548D">
        <w:t>If there is an attachment referred to in this document,</w:t>
      </w:r>
      <w:r>
        <w:t xml:space="preserve"> </w:t>
      </w:r>
    </w:p>
    <w:p w14:paraId="532E0F5D" w14:textId="7CA67A85" w:rsidR="00CE01A5" w:rsidRDefault="00CE01A5" w:rsidP="00CE01A5">
      <w:pPr>
        <w:pStyle w:val="DecisionBody"/>
        <w:numPr>
          <w:ilvl w:val="0"/>
          <w:numId w:val="0"/>
        </w:numPr>
        <w:spacing w:beforeLines="0" w:before="0" w:afterLines="0" w:after="0" w:line="240" w:lineRule="auto"/>
        <w:jc w:val="center"/>
      </w:pPr>
      <w:r w:rsidRPr="00AC548D">
        <w:t>please visit www.elto.gov.on.ca to view the attachment in PDF format.</w:t>
      </w:r>
    </w:p>
    <w:p w14:paraId="2BCA3E30" w14:textId="08C079D4" w:rsidR="00CE01A5" w:rsidRDefault="00CE01A5" w:rsidP="00CE01A5">
      <w:pPr>
        <w:pStyle w:val="DecisionBody"/>
        <w:numPr>
          <w:ilvl w:val="0"/>
          <w:numId w:val="0"/>
        </w:numPr>
        <w:spacing w:beforeLines="0" w:before="0" w:afterLines="0" w:after="0" w:line="240" w:lineRule="auto"/>
        <w:jc w:val="center"/>
      </w:pPr>
    </w:p>
    <w:p w14:paraId="5B0E6AF1" w14:textId="77777777" w:rsidR="00CE01A5" w:rsidRPr="00AC548D" w:rsidRDefault="00CE01A5" w:rsidP="00CE01A5">
      <w:pPr>
        <w:pStyle w:val="DecisionBody"/>
        <w:numPr>
          <w:ilvl w:val="0"/>
          <w:numId w:val="0"/>
        </w:numPr>
        <w:spacing w:beforeLines="0" w:before="0" w:afterLines="0" w:after="0" w:line="240" w:lineRule="auto"/>
        <w:jc w:val="center"/>
      </w:pPr>
    </w:p>
    <w:p w14:paraId="29105713" w14:textId="77777777" w:rsidR="00CE01A5" w:rsidRPr="00AC548D" w:rsidRDefault="00CE01A5" w:rsidP="00CE01A5">
      <w:pPr>
        <w:pStyle w:val="DecisionBody"/>
        <w:numPr>
          <w:ilvl w:val="0"/>
          <w:numId w:val="0"/>
        </w:numPr>
        <w:spacing w:beforeLines="0" w:before="0" w:afterLines="0" w:after="0" w:line="240" w:lineRule="auto"/>
        <w:jc w:val="center"/>
      </w:pPr>
      <w:r w:rsidRPr="00AC548D">
        <w:t>Local Planning Appeal Tribunal</w:t>
      </w:r>
    </w:p>
    <w:p w14:paraId="7651077B" w14:textId="77777777" w:rsidR="00CE01A5" w:rsidRDefault="00CE01A5" w:rsidP="00CE01A5">
      <w:pPr>
        <w:pStyle w:val="DecisionBody"/>
        <w:numPr>
          <w:ilvl w:val="0"/>
          <w:numId w:val="0"/>
        </w:numPr>
        <w:spacing w:beforeLines="0" w:before="0" w:afterLines="0" w:after="0" w:line="240" w:lineRule="auto"/>
        <w:jc w:val="center"/>
      </w:pPr>
      <w:r w:rsidRPr="00AC548D">
        <w:t xml:space="preserve">A constituent tribunal of </w:t>
      </w:r>
      <w:r>
        <w:t>Tribunals Ontario - Environment and Land Division</w:t>
      </w:r>
    </w:p>
    <w:p w14:paraId="21BAD799" w14:textId="421337D0" w:rsidR="00F75272" w:rsidRDefault="00CE01A5" w:rsidP="00CE01A5">
      <w:pPr>
        <w:pStyle w:val="DecisionBody"/>
        <w:numPr>
          <w:ilvl w:val="0"/>
          <w:numId w:val="0"/>
        </w:numPr>
        <w:spacing w:beforeLines="0" w:before="0" w:afterLines="0" w:after="0" w:line="240" w:lineRule="auto"/>
        <w:jc w:val="center"/>
      </w:pPr>
      <w:r w:rsidRPr="00AC548D">
        <w:t>Website: www.elto.gov.on.ca  Telephone: 416-212-6349  Toll Free: 1-866-448-224</w:t>
      </w:r>
    </w:p>
    <w:p w14:paraId="12174D0B" w14:textId="22F34B35" w:rsidR="00F75272" w:rsidRDefault="00F75272" w:rsidP="00C643B8">
      <w:pPr>
        <w:pStyle w:val="paragraph"/>
        <w:spacing w:line="360" w:lineRule="auto"/>
        <w:ind w:left="0" w:firstLine="0"/>
        <w:jc w:val="left"/>
        <w:rPr>
          <w:rFonts w:ascii="Arial" w:hAnsi="Arial" w:cs="Arial"/>
          <w:sz w:val="24"/>
          <w:szCs w:val="24"/>
        </w:rPr>
      </w:pPr>
    </w:p>
    <w:sectPr w:rsidR="00F75272" w:rsidSect="00C0607A">
      <w:headerReference w:type="default" r:id="rId8"/>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3CD45" w14:textId="77777777" w:rsidR="000A03AB" w:rsidRDefault="000A03AB">
      <w:r>
        <w:separator/>
      </w:r>
    </w:p>
  </w:endnote>
  <w:endnote w:type="continuationSeparator" w:id="0">
    <w:p w14:paraId="4CD1AF25" w14:textId="77777777" w:rsidR="000A03AB" w:rsidRDefault="000A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AEFBE" w14:textId="275ABD25" w:rsidR="00A65F2E" w:rsidRDefault="00A65F2E">
    <w:pPr>
      <w:pStyle w:val="Footer"/>
      <w:jc w:val="center"/>
    </w:pPr>
  </w:p>
  <w:p w14:paraId="6CA865BD" w14:textId="18A6244A" w:rsidR="00A65F2E" w:rsidRPr="00035EA8" w:rsidRDefault="00A65F2E" w:rsidP="00035EA8">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9852E" w14:textId="77777777" w:rsidR="000A03AB" w:rsidRDefault="000A03AB">
      <w:r>
        <w:separator/>
      </w:r>
    </w:p>
  </w:footnote>
  <w:footnote w:type="continuationSeparator" w:id="0">
    <w:p w14:paraId="4B2276A7" w14:textId="77777777" w:rsidR="000A03AB" w:rsidRDefault="000A0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557874"/>
      <w:docPartObj>
        <w:docPartGallery w:val="Page Numbers (Top of Page)"/>
        <w:docPartUnique/>
      </w:docPartObj>
    </w:sdtPr>
    <w:sdtEndPr>
      <w:rPr>
        <w:noProof/>
      </w:rPr>
    </w:sdtEndPr>
    <w:sdtContent>
      <w:p w14:paraId="27897B17" w14:textId="326A461E" w:rsidR="00A65F2E" w:rsidRDefault="00A65F2E" w:rsidP="00C0607A">
        <w:pPr>
          <w:pStyle w:val="Header"/>
          <w:spacing w:line="240" w:lineRule="auto"/>
          <w:ind w:firstLine="4320"/>
          <w:jc w:val="center"/>
          <w:rPr>
            <w:rFonts w:ascii="Arial" w:hAnsi="Arial" w:cs="Arial"/>
            <w:noProof/>
          </w:rPr>
        </w:pPr>
        <w:r w:rsidRPr="00C0607A">
          <w:rPr>
            <w:rFonts w:ascii="Arial" w:hAnsi="Arial" w:cs="Arial"/>
          </w:rPr>
          <w:fldChar w:fldCharType="begin"/>
        </w:r>
        <w:r w:rsidRPr="00C0607A">
          <w:rPr>
            <w:rFonts w:ascii="Arial" w:hAnsi="Arial" w:cs="Arial"/>
          </w:rPr>
          <w:instrText xml:space="preserve"> PAGE   \* MERGEFORMAT </w:instrText>
        </w:r>
        <w:r w:rsidRPr="00C0607A">
          <w:rPr>
            <w:rFonts w:ascii="Arial" w:hAnsi="Arial" w:cs="Arial"/>
          </w:rPr>
          <w:fldChar w:fldCharType="separate"/>
        </w:r>
        <w:r w:rsidRPr="00C0607A">
          <w:rPr>
            <w:rFonts w:ascii="Arial" w:hAnsi="Arial" w:cs="Arial"/>
            <w:noProof/>
          </w:rPr>
          <w:t>2</w:t>
        </w:r>
        <w:r w:rsidRPr="00C0607A">
          <w:rPr>
            <w:rFonts w:ascii="Arial" w:hAnsi="Arial" w:cs="Arial"/>
            <w:noProof/>
          </w:rPr>
          <w:fldChar w:fldCharType="end"/>
        </w:r>
        <w:r>
          <w:rPr>
            <w:rFonts w:ascii="Arial" w:hAnsi="Arial" w:cs="Arial"/>
            <w:noProof/>
          </w:rPr>
          <w:tab/>
          <w:t>PL160641</w:t>
        </w:r>
      </w:p>
      <w:p w14:paraId="0876A39A" w14:textId="0685D3B5" w:rsidR="00A65F2E" w:rsidRDefault="00A65F2E" w:rsidP="00C0607A">
        <w:pPr>
          <w:pStyle w:val="Header"/>
          <w:spacing w:line="240" w:lineRule="auto"/>
          <w:jc w:val="center"/>
        </w:pPr>
        <w:r>
          <w:tab/>
        </w:r>
        <w:r>
          <w:tab/>
        </w:r>
        <w:r w:rsidRPr="00C0607A">
          <w:rPr>
            <w:rFonts w:ascii="Arial" w:hAnsi="Arial" w:cs="Arial"/>
          </w:rPr>
          <w:t>PL161164</w:t>
        </w:r>
      </w:p>
    </w:sdtContent>
  </w:sdt>
  <w:p w14:paraId="2D70B85C" w14:textId="77777777" w:rsidR="00A65F2E" w:rsidRDefault="00A65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26984"/>
    <w:multiLevelType w:val="hybridMultilevel"/>
    <w:tmpl w:val="515A7FB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13013C77"/>
    <w:multiLevelType w:val="hybridMultilevel"/>
    <w:tmpl w:val="E2AA254E"/>
    <w:lvl w:ilvl="0" w:tplc="92EC0910">
      <w:start w:val="11"/>
      <w:numFmt w:val="decimal"/>
      <w:lvlText w:val="[%1]"/>
      <w:lvlJc w:val="left"/>
      <w:pPr>
        <w:ind w:left="92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A07DA9"/>
    <w:multiLevelType w:val="hybridMultilevel"/>
    <w:tmpl w:val="265E40E8"/>
    <w:lvl w:ilvl="0" w:tplc="22846A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C6371E"/>
    <w:multiLevelType w:val="hybridMultilevel"/>
    <w:tmpl w:val="784C713E"/>
    <w:lvl w:ilvl="0" w:tplc="76C86D6C">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601FD1"/>
    <w:multiLevelType w:val="hybridMultilevel"/>
    <w:tmpl w:val="84E2353E"/>
    <w:lvl w:ilvl="0" w:tplc="22846A7A">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5" w15:restartNumberingAfterBreak="0">
    <w:nsid w:val="169F0B04"/>
    <w:multiLevelType w:val="hybridMultilevel"/>
    <w:tmpl w:val="B86481CE"/>
    <w:lvl w:ilvl="0" w:tplc="10090013">
      <w:start w:val="1"/>
      <w:numFmt w:val="upperRoman"/>
      <w:lvlText w:val="%1."/>
      <w:lvlJc w:val="right"/>
      <w:pPr>
        <w:ind w:left="927"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812199F"/>
    <w:multiLevelType w:val="hybridMultilevel"/>
    <w:tmpl w:val="A7282050"/>
    <w:lvl w:ilvl="0" w:tplc="561848A0">
      <w:start w:val="1"/>
      <w:numFmt w:val="decimal"/>
      <w:lvlText w:val="%1."/>
      <w:lvlJc w:val="left"/>
      <w:pPr>
        <w:ind w:left="643" w:hanging="360"/>
      </w:pPr>
      <w:rPr>
        <w:rFonts w:hint="default"/>
        <w:b/>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7" w15:restartNumberingAfterBreak="0">
    <w:nsid w:val="19C0094D"/>
    <w:multiLevelType w:val="hybridMultilevel"/>
    <w:tmpl w:val="B9E29468"/>
    <w:lvl w:ilvl="0" w:tplc="492CA390">
      <w:start w:val="12"/>
      <w:numFmt w:val="decimal"/>
      <w:lvlText w:val="[%1]"/>
      <w:lvlJc w:val="left"/>
      <w:pPr>
        <w:ind w:left="92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D9471E"/>
    <w:multiLevelType w:val="hybridMultilevel"/>
    <w:tmpl w:val="3FB673A8"/>
    <w:lvl w:ilvl="0" w:tplc="22846A7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1CC14147"/>
    <w:multiLevelType w:val="hybridMultilevel"/>
    <w:tmpl w:val="6180D44A"/>
    <w:lvl w:ilvl="0" w:tplc="21B2FD76">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DAA2D05"/>
    <w:multiLevelType w:val="hybridMultilevel"/>
    <w:tmpl w:val="3E8E361C"/>
    <w:lvl w:ilvl="0" w:tplc="620037B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EE3260E"/>
    <w:multiLevelType w:val="hybridMultilevel"/>
    <w:tmpl w:val="4FCE1E12"/>
    <w:lvl w:ilvl="0" w:tplc="C4C2FBD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208E1BA2"/>
    <w:multiLevelType w:val="hybridMultilevel"/>
    <w:tmpl w:val="B91628C2"/>
    <w:lvl w:ilvl="0" w:tplc="06EC05B0">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24B1588"/>
    <w:multiLevelType w:val="hybridMultilevel"/>
    <w:tmpl w:val="EFA65806"/>
    <w:lvl w:ilvl="0" w:tplc="3C365AB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1A2265"/>
    <w:multiLevelType w:val="hybridMultilevel"/>
    <w:tmpl w:val="70A63240"/>
    <w:lvl w:ilvl="0" w:tplc="13A27DD4">
      <w:start w:val="1"/>
      <w:numFmt w:val="decimal"/>
      <w:pStyle w:val="DecisionBody"/>
      <w:lvlText w:val="[%1]"/>
      <w:lvlJc w:val="left"/>
      <w:pPr>
        <w:ind w:left="720" w:hanging="360"/>
      </w:pPr>
      <w:rPr>
        <w:rFonts w:hint="default"/>
        <w:b w:val="0"/>
      </w:rPr>
    </w:lvl>
    <w:lvl w:ilvl="1" w:tplc="3982BE40">
      <w:start w:val="1"/>
      <w:numFmt w:val="decimal"/>
      <w:lvlText w:val="%2."/>
      <w:lvlJc w:val="left"/>
      <w:pPr>
        <w:ind w:left="1500" w:hanging="42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C3CCEFEE">
      <w:start w:val="1"/>
      <w:numFmt w:val="lowerLetter"/>
      <w:lvlText w:val="(%5)"/>
      <w:lvlJc w:val="left"/>
      <w:pPr>
        <w:ind w:left="3708" w:hanging="468"/>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35A324D"/>
    <w:multiLevelType w:val="hybridMultilevel"/>
    <w:tmpl w:val="963858CE"/>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6" w15:restartNumberingAfterBreak="0">
    <w:nsid w:val="429B750D"/>
    <w:multiLevelType w:val="hybridMultilevel"/>
    <w:tmpl w:val="C778EC70"/>
    <w:lvl w:ilvl="0" w:tplc="22846A7A">
      <w:start w:val="1"/>
      <w:numFmt w:val="decimal"/>
      <w:lvlText w:val="[%1]"/>
      <w:lvlJc w:val="left"/>
      <w:pPr>
        <w:ind w:left="720" w:hanging="360"/>
      </w:pPr>
      <w:rPr>
        <w:rFonts w:hint="default"/>
      </w:rPr>
    </w:lvl>
    <w:lvl w:ilvl="1" w:tplc="4ADE8018">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5BD3697"/>
    <w:multiLevelType w:val="hybridMultilevel"/>
    <w:tmpl w:val="F22E75B8"/>
    <w:lvl w:ilvl="0" w:tplc="22846A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DE106E1"/>
    <w:multiLevelType w:val="hybridMultilevel"/>
    <w:tmpl w:val="3D56733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538C6D6C"/>
    <w:multiLevelType w:val="hybridMultilevel"/>
    <w:tmpl w:val="6AD29508"/>
    <w:lvl w:ilvl="0" w:tplc="10090001">
      <w:start w:val="1"/>
      <w:numFmt w:val="bullet"/>
      <w:lvlText w:val=""/>
      <w:lvlJc w:val="left"/>
      <w:pPr>
        <w:ind w:left="1505" w:hanging="360"/>
      </w:pPr>
      <w:rPr>
        <w:rFonts w:ascii="Symbol" w:hAnsi="Symbol" w:hint="default"/>
      </w:rPr>
    </w:lvl>
    <w:lvl w:ilvl="1" w:tplc="10090003" w:tentative="1">
      <w:start w:val="1"/>
      <w:numFmt w:val="bullet"/>
      <w:lvlText w:val="o"/>
      <w:lvlJc w:val="left"/>
      <w:pPr>
        <w:ind w:left="2225" w:hanging="360"/>
      </w:pPr>
      <w:rPr>
        <w:rFonts w:ascii="Courier New" w:hAnsi="Courier New" w:cs="Courier New" w:hint="default"/>
      </w:rPr>
    </w:lvl>
    <w:lvl w:ilvl="2" w:tplc="10090005" w:tentative="1">
      <w:start w:val="1"/>
      <w:numFmt w:val="bullet"/>
      <w:lvlText w:val=""/>
      <w:lvlJc w:val="left"/>
      <w:pPr>
        <w:ind w:left="2945" w:hanging="360"/>
      </w:pPr>
      <w:rPr>
        <w:rFonts w:ascii="Wingdings" w:hAnsi="Wingdings" w:hint="default"/>
      </w:rPr>
    </w:lvl>
    <w:lvl w:ilvl="3" w:tplc="10090001" w:tentative="1">
      <w:start w:val="1"/>
      <w:numFmt w:val="bullet"/>
      <w:lvlText w:val=""/>
      <w:lvlJc w:val="left"/>
      <w:pPr>
        <w:ind w:left="3665" w:hanging="360"/>
      </w:pPr>
      <w:rPr>
        <w:rFonts w:ascii="Symbol" w:hAnsi="Symbol" w:hint="default"/>
      </w:rPr>
    </w:lvl>
    <w:lvl w:ilvl="4" w:tplc="10090003" w:tentative="1">
      <w:start w:val="1"/>
      <w:numFmt w:val="bullet"/>
      <w:lvlText w:val="o"/>
      <w:lvlJc w:val="left"/>
      <w:pPr>
        <w:ind w:left="4385" w:hanging="360"/>
      </w:pPr>
      <w:rPr>
        <w:rFonts w:ascii="Courier New" w:hAnsi="Courier New" w:cs="Courier New" w:hint="default"/>
      </w:rPr>
    </w:lvl>
    <w:lvl w:ilvl="5" w:tplc="10090005" w:tentative="1">
      <w:start w:val="1"/>
      <w:numFmt w:val="bullet"/>
      <w:lvlText w:val=""/>
      <w:lvlJc w:val="left"/>
      <w:pPr>
        <w:ind w:left="5105" w:hanging="360"/>
      </w:pPr>
      <w:rPr>
        <w:rFonts w:ascii="Wingdings" w:hAnsi="Wingdings" w:hint="default"/>
      </w:rPr>
    </w:lvl>
    <w:lvl w:ilvl="6" w:tplc="10090001" w:tentative="1">
      <w:start w:val="1"/>
      <w:numFmt w:val="bullet"/>
      <w:lvlText w:val=""/>
      <w:lvlJc w:val="left"/>
      <w:pPr>
        <w:ind w:left="5825" w:hanging="360"/>
      </w:pPr>
      <w:rPr>
        <w:rFonts w:ascii="Symbol" w:hAnsi="Symbol" w:hint="default"/>
      </w:rPr>
    </w:lvl>
    <w:lvl w:ilvl="7" w:tplc="10090003" w:tentative="1">
      <w:start w:val="1"/>
      <w:numFmt w:val="bullet"/>
      <w:lvlText w:val="o"/>
      <w:lvlJc w:val="left"/>
      <w:pPr>
        <w:ind w:left="6545" w:hanging="360"/>
      </w:pPr>
      <w:rPr>
        <w:rFonts w:ascii="Courier New" w:hAnsi="Courier New" w:cs="Courier New" w:hint="default"/>
      </w:rPr>
    </w:lvl>
    <w:lvl w:ilvl="8" w:tplc="10090005" w:tentative="1">
      <w:start w:val="1"/>
      <w:numFmt w:val="bullet"/>
      <w:lvlText w:val=""/>
      <w:lvlJc w:val="left"/>
      <w:pPr>
        <w:ind w:left="7265" w:hanging="360"/>
      </w:pPr>
      <w:rPr>
        <w:rFonts w:ascii="Wingdings" w:hAnsi="Wingdings" w:hint="default"/>
      </w:rPr>
    </w:lvl>
  </w:abstractNum>
  <w:abstractNum w:abstractNumId="20" w15:restartNumberingAfterBreak="0">
    <w:nsid w:val="56A12260"/>
    <w:multiLevelType w:val="hybridMultilevel"/>
    <w:tmpl w:val="D2882F0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70642C5"/>
    <w:multiLevelType w:val="hybridMultilevel"/>
    <w:tmpl w:val="A460A498"/>
    <w:lvl w:ilvl="0" w:tplc="066CCDF6">
      <w:start w:val="1"/>
      <w:numFmt w:val="upp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EBC1180"/>
    <w:multiLevelType w:val="hybridMultilevel"/>
    <w:tmpl w:val="0CD6EBB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0FD2090"/>
    <w:multiLevelType w:val="hybridMultilevel"/>
    <w:tmpl w:val="EDBCCF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22E3DAD"/>
    <w:multiLevelType w:val="hybridMultilevel"/>
    <w:tmpl w:val="9F029722"/>
    <w:lvl w:ilvl="0" w:tplc="FA7287FE">
      <w:start w:val="12"/>
      <w:numFmt w:val="decimal"/>
      <w:lvlText w:val="[%1]"/>
      <w:lvlJc w:val="left"/>
      <w:pPr>
        <w:ind w:left="92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2B754A5"/>
    <w:multiLevelType w:val="multilevel"/>
    <w:tmpl w:val="6BA89E96"/>
    <w:lvl w:ilvl="0">
      <w:start w:val="1"/>
      <w:numFmt w:val="decimal"/>
      <w:lvlText w:val="%1."/>
      <w:lvlJc w:val="left"/>
      <w:pPr>
        <w:tabs>
          <w:tab w:val="left" w:pos="288"/>
        </w:tabs>
      </w:pPr>
      <w:rPr>
        <w:rFonts w:ascii="Arial" w:eastAsia="Tahoma" w:hAnsi="Arial" w:cs="Arial"/>
        <w:strike w:val="0"/>
        <w:color w:val="000000"/>
        <w:spacing w:val="14"/>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2137AB"/>
    <w:multiLevelType w:val="hybridMultilevel"/>
    <w:tmpl w:val="BD669F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672260B2"/>
    <w:multiLevelType w:val="hybridMultilevel"/>
    <w:tmpl w:val="AE4E7B56"/>
    <w:lvl w:ilvl="0" w:tplc="22846A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B1008A9"/>
    <w:multiLevelType w:val="hybridMultilevel"/>
    <w:tmpl w:val="EAA0BC9C"/>
    <w:lvl w:ilvl="0" w:tplc="22846A7A">
      <w:start w:val="1"/>
      <w:numFmt w:val="decimal"/>
      <w:lvlText w:val="[%1]"/>
      <w:lvlJc w:val="left"/>
      <w:pPr>
        <w:ind w:left="1500" w:hanging="360"/>
      </w:pPr>
      <w:rPr>
        <w:rFonts w:hint="default"/>
      </w:r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29" w15:restartNumberingAfterBreak="0">
    <w:nsid w:val="6B6B3FB4"/>
    <w:multiLevelType w:val="hybridMultilevel"/>
    <w:tmpl w:val="3DB0DA22"/>
    <w:lvl w:ilvl="0" w:tplc="44106F22">
      <w:start w:val="11"/>
      <w:numFmt w:val="decimal"/>
      <w:lvlText w:val="[%1]"/>
      <w:lvlJc w:val="left"/>
      <w:pPr>
        <w:ind w:left="92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D0C39E1"/>
    <w:multiLevelType w:val="hybridMultilevel"/>
    <w:tmpl w:val="34400376"/>
    <w:lvl w:ilvl="0" w:tplc="22846A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4814343"/>
    <w:multiLevelType w:val="hybridMultilevel"/>
    <w:tmpl w:val="357EB58E"/>
    <w:lvl w:ilvl="0" w:tplc="22846A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3"/>
  </w:num>
  <w:num w:numId="3">
    <w:abstractNumId w:val="25"/>
  </w:num>
  <w:num w:numId="4">
    <w:abstractNumId w:val="15"/>
  </w:num>
  <w:num w:numId="5">
    <w:abstractNumId w:val="5"/>
  </w:num>
  <w:num w:numId="6">
    <w:abstractNumId w:val="12"/>
  </w:num>
  <w:num w:numId="7">
    <w:abstractNumId w:val="21"/>
  </w:num>
  <w:num w:numId="8">
    <w:abstractNumId w:val="21"/>
    <w:lvlOverride w:ilvl="0">
      <w:startOverride w:val="4"/>
    </w:lvlOverride>
  </w:num>
  <w:num w:numId="9">
    <w:abstractNumId w:val="0"/>
  </w:num>
  <w:num w:numId="10">
    <w:abstractNumId w:val="13"/>
  </w:num>
  <w:num w:numId="11">
    <w:abstractNumId w:val="13"/>
  </w:num>
  <w:num w:numId="12">
    <w:abstractNumId w:val="16"/>
  </w:num>
  <w:num w:numId="13">
    <w:abstractNumId w:val="23"/>
  </w:num>
  <w:num w:numId="14">
    <w:abstractNumId w:val="18"/>
  </w:num>
  <w:num w:numId="15">
    <w:abstractNumId w:val="26"/>
  </w:num>
  <w:num w:numId="16">
    <w:abstractNumId w:val="19"/>
  </w:num>
  <w:num w:numId="17">
    <w:abstractNumId w:val="22"/>
  </w:num>
  <w:num w:numId="18">
    <w:abstractNumId w:val="6"/>
  </w:num>
  <w:num w:numId="19">
    <w:abstractNumId w:val="10"/>
  </w:num>
  <w:num w:numId="20">
    <w:abstractNumId w:val="8"/>
  </w:num>
  <w:num w:numId="21">
    <w:abstractNumId w:val="28"/>
  </w:num>
  <w:num w:numId="22">
    <w:abstractNumId w:val="4"/>
  </w:num>
  <w:num w:numId="23">
    <w:abstractNumId w:val="7"/>
  </w:num>
  <w:num w:numId="24">
    <w:abstractNumId w:val="30"/>
  </w:num>
  <w:num w:numId="25">
    <w:abstractNumId w:val="17"/>
  </w:num>
  <w:num w:numId="26">
    <w:abstractNumId w:val="1"/>
  </w:num>
  <w:num w:numId="27">
    <w:abstractNumId w:val="2"/>
  </w:num>
  <w:num w:numId="28">
    <w:abstractNumId w:val="29"/>
  </w:num>
  <w:num w:numId="29">
    <w:abstractNumId w:val="24"/>
  </w:num>
  <w:num w:numId="30">
    <w:abstractNumId w:val="31"/>
  </w:num>
  <w:num w:numId="31">
    <w:abstractNumId w:val="3"/>
  </w:num>
  <w:num w:numId="32">
    <w:abstractNumId w:val="10"/>
    <w:lvlOverride w:ilvl="0">
      <w:startOverride w:val="14"/>
    </w:lvlOverride>
  </w:num>
  <w:num w:numId="33">
    <w:abstractNumId w:val="27"/>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4"/>
    <w:lvlOverride w:ilvl="0">
      <w:startOverride w:val="1"/>
    </w:lvlOverride>
    <w:lvlOverride w:ilvl="1">
      <w:startOverride w:val="2"/>
    </w:lvlOverride>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90CB08C-4D6D-482A-AD17-7F1839E7F9FC}"/>
    <w:docVar w:name="dgnword-eventsink" w:val="144692320"/>
  </w:docVars>
  <w:rsids>
    <w:rsidRoot w:val="007A5D53"/>
    <w:rsid w:val="00002AF7"/>
    <w:rsid w:val="00007167"/>
    <w:rsid w:val="00010CB7"/>
    <w:rsid w:val="00011399"/>
    <w:rsid w:val="000126F6"/>
    <w:rsid w:val="00013D8B"/>
    <w:rsid w:val="00015155"/>
    <w:rsid w:val="000169CA"/>
    <w:rsid w:val="0001776C"/>
    <w:rsid w:val="00020228"/>
    <w:rsid w:val="00021964"/>
    <w:rsid w:val="0002696A"/>
    <w:rsid w:val="000308F6"/>
    <w:rsid w:val="00032049"/>
    <w:rsid w:val="0003287A"/>
    <w:rsid w:val="00035EA8"/>
    <w:rsid w:val="00037613"/>
    <w:rsid w:val="00044512"/>
    <w:rsid w:val="000452BD"/>
    <w:rsid w:val="000453D8"/>
    <w:rsid w:val="00046192"/>
    <w:rsid w:val="0004784F"/>
    <w:rsid w:val="00054398"/>
    <w:rsid w:val="00054AA9"/>
    <w:rsid w:val="00055A98"/>
    <w:rsid w:val="0005607C"/>
    <w:rsid w:val="00056FC0"/>
    <w:rsid w:val="00060167"/>
    <w:rsid w:val="000662BB"/>
    <w:rsid w:val="000753B7"/>
    <w:rsid w:val="00077CE2"/>
    <w:rsid w:val="000819BF"/>
    <w:rsid w:val="00082E96"/>
    <w:rsid w:val="00083BCA"/>
    <w:rsid w:val="00090BF3"/>
    <w:rsid w:val="00092A14"/>
    <w:rsid w:val="000A03AB"/>
    <w:rsid w:val="000A2474"/>
    <w:rsid w:val="000A724F"/>
    <w:rsid w:val="000B1930"/>
    <w:rsid w:val="000B3552"/>
    <w:rsid w:val="000B42CD"/>
    <w:rsid w:val="000B5285"/>
    <w:rsid w:val="000C19CE"/>
    <w:rsid w:val="000C3B76"/>
    <w:rsid w:val="000C6383"/>
    <w:rsid w:val="000C6FDF"/>
    <w:rsid w:val="000C7194"/>
    <w:rsid w:val="000D128B"/>
    <w:rsid w:val="000D5FB4"/>
    <w:rsid w:val="000D6E3C"/>
    <w:rsid w:val="000E29F9"/>
    <w:rsid w:val="000E372D"/>
    <w:rsid w:val="000E3C56"/>
    <w:rsid w:val="000E5066"/>
    <w:rsid w:val="000E7379"/>
    <w:rsid w:val="000F1E94"/>
    <w:rsid w:val="000F2C05"/>
    <w:rsid w:val="000F36F1"/>
    <w:rsid w:val="000F3CA8"/>
    <w:rsid w:val="000F629E"/>
    <w:rsid w:val="000F75CE"/>
    <w:rsid w:val="000F7A99"/>
    <w:rsid w:val="0011590A"/>
    <w:rsid w:val="0011654C"/>
    <w:rsid w:val="001178BB"/>
    <w:rsid w:val="00117E03"/>
    <w:rsid w:val="001226C3"/>
    <w:rsid w:val="001252C4"/>
    <w:rsid w:val="00131E12"/>
    <w:rsid w:val="001328B1"/>
    <w:rsid w:val="00132918"/>
    <w:rsid w:val="00134552"/>
    <w:rsid w:val="00135C40"/>
    <w:rsid w:val="00135F10"/>
    <w:rsid w:val="00137B16"/>
    <w:rsid w:val="00141773"/>
    <w:rsid w:val="00142441"/>
    <w:rsid w:val="00147355"/>
    <w:rsid w:val="001551A5"/>
    <w:rsid w:val="00156303"/>
    <w:rsid w:val="001569A7"/>
    <w:rsid w:val="001616D5"/>
    <w:rsid w:val="00163716"/>
    <w:rsid w:val="00164D07"/>
    <w:rsid w:val="00171224"/>
    <w:rsid w:val="00173D29"/>
    <w:rsid w:val="00175D7C"/>
    <w:rsid w:val="00182382"/>
    <w:rsid w:val="0018327C"/>
    <w:rsid w:val="00185848"/>
    <w:rsid w:val="00186CAC"/>
    <w:rsid w:val="001921A2"/>
    <w:rsid w:val="0019320E"/>
    <w:rsid w:val="001934CE"/>
    <w:rsid w:val="00197468"/>
    <w:rsid w:val="001B4372"/>
    <w:rsid w:val="001B4442"/>
    <w:rsid w:val="001B45D0"/>
    <w:rsid w:val="001B486E"/>
    <w:rsid w:val="001C1727"/>
    <w:rsid w:val="001C2013"/>
    <w:rsid w:val="001C3A2B"/>
    <w:rsid w:val="001C64E5"/>
    <w:rsid w:val="001C6523"/>
    <w:rsid w:val="001C77A0"/>
    <w:rsid w:val="001D1EF3"/>
    <w:rsid w:val="001D204E"/>
    <w:rsid w:val="001E045A"/>
    <w:rsid w:val="001E3868"/>
    <w:rsid w:val="001E3A6F"/>
    <w:rsid w:val="001E3F6F"/>
    <w:rsid w:val="001E4969"/>
    <w:rsid w:val="001E60FD"/>
    <w:rsid w:val="001F2477"/>
    <w:rsid w:val="001F2CC8"/>
    <w:rsid w:val="001F55FB"/>
    <w:rsid w:val="001F6BD0"/>
    <w:rsid w:val="002040EA"/>
    <w:rsid w:val="0021065B"/>
    <w:rsid w:val="00212E1B"/>
    <w:rsid w:val="0021368C"/>
    <w:rsid w:val="00214AA3"/>
    <w:rsid w:val="00220720"/>
    <w:rsid w:val="00221841"/>
    <w:rsid w:val="00222A48"/>
    <w:rsid w:val="00222A76"/>
    <w:rsid w:val="00224F1E"/>
    <w:rsid w:val="00226CFC"/>
    <w:rsid w:val="0023005C"/>
    <w:rsid w:val="00231AFF"/>
    <w:rsid w:val="00234596"/>
    <w:rsid w:val="0023553C"/>
    <w:rsid w:val="00240692"/>
    <w:rsid w:val="00246615"/>
    <w:rsid w:val="00247768"/>
    <w:rsid w:val="00247DED"/>
    <w:rsid w:val="002549E0"/>
    <w:rsid w:val="00255B72"/>
    <w:rsid w:val="00255C0A"/>
    <w:rsid w:val="0025643B"/>
    <w:rsid w:val="00263FE2"/>
    <w:rsid w:val="00265F7D"/>
    <w:rsid w:val="00266410"/>
    <w:rsid w:val="00271307"/>
    <w:rsid w:val="00272F87"/>
    <w:rsid w:val="00273BBF"/>
    <w:rsid w:val="00275717"/>
    <w:rsid w:val="002772F5"/>
    <w:rsid w:val="00281861"/>
    <w:rsid w:val="002828B5"/>
    <w:rsid w:val="00283D48"/>
    <w:rsid w:val="00284FD2"/>
    <w:rsid w:val="002909AD"/>
    <w:rsid w:val="00291B3E"/>
    <w:rsid w:val="002936A6"/>
    <w:rsid w:val="002958DD"/>
    <w:rsid w:val="00296730"/>
    <w:rsid w:val="002A0BF3"/>
    <w:rsid w:val="002A10C1"/>
    <w:rsid w:val="002A4F62"/>
    <w:rsid w:val="002B12CC"/>
    <w:rsid w:val="002B6488"/>
    <w:rsid w:val="002C18A4"/>
    <w:rsid w:val="002C3911"/>
    <w:rsid w:val="002C50F8"/>
    <w:rsid w:val="002C6FDC"/>
    <w:rsid w:val="002D0D5E"/>
    <w:rsid w:val="002D2656"/>
    <w:rsid w:val="002D5BD2"/>
    <w:rsid w:val="002D6676"/>
    <w:rsid w:val="002D6E09"/>
    <w:rsid w:val="002D7AE4"/>
    <w:rsid w:val="002E6505"/>
    <w:rsid w:val="002F0B01"/>
    <w:rsid w:val="002F1416"/>
    <w:rsid w:val="002F1674"/>
    <w:rsid w:val="002F20FD"/>
    <w:rsid w:val="002F252D"/>
    <w:rsid w:val="002F2613"/>
    <w:rsid w:val="002F2862"/>
    <w:rsid w:val="002F5F3B"/>
    <w:rsid w:val="0030093B"/>
    <w:rsid w:val="00300B14"/>
    <w:rsid w:val="00301CB4"/>
    <w:rsid w:val="0030215C"/>
    <w:rsid w:val="0030235E"/>
    <w:rsid w:val="003052DF"/>
    <w:rsid w:val="00305C15"/>
    <w:rsid w:val="00307B07"/>
    <w:rsid w:val="00307DC0"/>
    <w:rsid w:val="00311078"/>
    <w:rsid w:val="00312232"/>
    <w:rsid w:val="00313A6F"/>
    <w:rsid w:val="00316695"/>
    <w:rsid w:val="003201D4"/>
    <w:rsid w:val="00321C32"/>
    <w:rsid w:val="00322E9C"/>
    <w:rsid w:val="00325922"/>
    <w:rsid w:val="003336A2"/>
    <w:rsid w:val="00334345"/>
    <w:rsid w:val="00336DB1"/>
    <w:rsid w:val="00337633"/>
    <w:rsid w:val="003415E3"/>
    <w:rsid w:val="00342BB3"/>
    <w:rsid w:val="00344308"/>
    <w:rsid w:val="003446A3"/>
    <w:rsid w:val="0034503B"/>
    <w:rsid w:val="00346D53"/>
    <w:rsid w:val="00347196"/>
    <w:rsid w:val="00350B7B"/>
    <w:rsid w:val="003533CC"/>
    <w:rsid w:val="00362EE3"/>
    <w:rsid w:val="003653FE"/>
    <w:rsid w:val="00370942"/>
    <w:rsid w:val="003809C3"/>
    <w:rsid w:val="00380D8E"/>
    <w:rsid w:val="00381A38"/>
    <w:rsid w:val="003837D0"/>
    <w:rsid w:val="00384CB9"/>
    <w:rsid w:val="003900D2"/>
    <w:rsid w:val="00396A88"/>
    <w:rsid w:val="003A0E04"/>
    <w:rsid w:val="003A6C64"/>
    <w:rsid w:val="003A6D93"/>
    <w:rsid w:val="003A77ED"/>
    <w:rsid w:val="003B0E00"/>
    <w:rsid w:val="003B3843"/>
    <w:rsid w:val="003B7B5A"/>
    <w:rsid w:val="003C08F5"/>
    <w:rsid w:val="003D107D"/>
    <w:rsid w:val="003D236B"/>
    <w:rsid w:val="003D2A96"/>
    <w:rsid w:val="003E1CA3"/>
    <w:rsid w:val="003E31B8"/>
    <w:rsid w:val="003E3EA2"/>
    <w:rsid w:val="003E772E"/>
    <w:rsid w:val="003F032D"/>
    <w:rsid w:val="003F67E2"/>
    <w:rsid w:val="00401529"/>
    <w:rsid w:val="004026CF"/>
    <w:rsid w:val="00402D5D"/>
    <w:rsid w:val="0040472C"/>
    <w:rsid w:val="00405D76"/>
    <w:rsid w:val="0040648F"/>
    <w:rsid w:val="0040727E"/>
    <w:rsid w:val="0040759C"/>
    <w:rsid w:val="00410EC6"/>
    <w:rsid w:val="00416D8D"/>
    <w:rsid w:val="00417045"/>
    <w:rsid w:val="00417405"/>
    <w:rsid w:val="00420226"/>
    <w:rsid w:val="004234FA"/>
    <w:rsid w:val="00427CE5"/>
    <w:rsid w:val="0043030C"/>
    <w:rsid w:val="00432596"/>
    <w:rsid w:val="00433206"/>
    <w:rsid w:val="004335E5"/>
    <w:rsid w:val="00440539"/>
    <w:rsid w:val="00445840"/>
    <w:rsid w:val="00453CB4"/>
    <w:rsid w:val="00460A5E"/>
    <w:rsid w:val="00460EEE"/>
    <w:rsid w:val="00465C6C"/>
    <w:rsid w:val="00477BE1"/>
    <w:rsid w:val="0048305C"/>
    <w:rsid w:val="00483CAA"/>
    <w:rsid w:val="00484650"/>
    <w:rsid w:val="00484FD6"/>
    <w:rsid w:val="00485979"/>
    <w:rsid w:val="004900CC"/>
    <w:rsid w:val="00490C17"/>
    <w:rsid w:val="0049117C"/>
    <w:rsid w:val="00491A82"/>
    <w:rsid w:val="004924AD"/>
    <w:rsid w:val="00493A2F"/>
    <w:rsid w:val="0049597E"/>
    <w:rsid w:val="00496329"/>
    <w:rsid w:val="004A1586"/>
    <w:rsid w:val="004A6647"/>
    <w:rsid w:val="004B1D69"/>
    <w:rsid w:val="004B64EA"/>
    <w:rsid w:val="004B794E"/>
    <w:rsid w:val="004C0FB2"/>
    <w:rsid w:val="004C1744"/>
    <w:rsid w:val="004C3A95"/>
    <w:rsid w:val="004D070C"/>
    <w:rsid w:val="004D5D5D"/>
    <w:rsid w:val="004D5D7B"/>
    <w:rsid w:val="004D5EB1"/>
    <w:rsid w:val="004E339C"/>
    <w:rsid w:val="004E5722"/>
    <w:rsid w:val="004E6427"/>
    <w:rsid w:val="004F1F87"/>
    <w:rsid w:val="004F440B"/>
    <w:rsid w:val="004F500A"/>
    <w:rsid w:val="004F601E"/>
    <w:rsid w:val="00500A4F"/>
    <w:rsid w:val="00500AEC"/>
    <w:rsid w:val="0050100E"/>
    <w:rsid w:val="00507E58"/>
    <w:rsid w:val="00510DB4"/>
    <w:rsid w:val="005120D0"/>
    <w:rsid w:val="00512FE6"/>
    <w:rsid w:val="00514929"/>
    <w:rsid w:val="005157BE"/>
    <w:rsid w:val="00517A13"/>
    <w:rsid w:val="00522830"/>
    <w:rsid w:val="00522E44"/>
    <w:rsid w:val="005248FE"/>
    <w:rsid w:val="00524B67"/>
    <w:rsid w:val="0053010D"/>
    <w:rsid w:val="00532025"/>
    <w:rsid w:val="0053777A"/>
    <w:rsid w:val="00540B16"/>
    <w:rsid w:val="00542EC7"/>
    <w:rsid w:val="00543612"/>
    <w:rsid w:val="005454CB"/>
    <w:rsid w:val="00546E82"/>
    <w:rsid w:val="00553604"/>
    <w:rsid w:val="00554886"/>
    <w:rsid w:val="005606F3"/>
    <w:rsid w:val="0056175E"/>
    <w:rsid w:val="005634B7"/>
    <w:rsid w:val="005711F8"/>
    <w:rsid w:val="00572B54"/>
    <w:rsid w:val="0057369F"/>
    <w:rsid w:val="00575FA3"/>
    <w:rsid w:val="005821E2"/>
    <w:rsid w:val="00582C4F"/>
    <w:rsid w:val="00583A99"/>
    <w:rsid w:val="00583F4A"/>
    <w:rsid w:val="00584129"/>
    <w:rsid w:val="00591769"/>
    <w:rsid w:val="005A2649"/>
    <w:rsid w:val="005A2A91"/>
    <w:rsid w:val="005A391E"/>
    <w:rsid w:val="005A5C72"/>
    <w:rsid w:val="005A780D"/>
    <w:rsid w:val="005B0BF7"/>
    <w:rsid w:val="005B0DC5"/>
    <w:rsid w:val="005B1657"/>
    <w:rsid w:val="005B48CD"/>
    <w:rsid w:val="005B79FA"/>
    <w:rsid w:val="005C5348"/>
    <w:rsid w:val="005C611E"/>
    <w:rsid w:val="005C7E05"/>
    <w:rsid w:val="005D47F1"/>
    <w:rsid w:val="005D4834"/>
    <w:rsid w:val="005D5AAC"/>
    <w:rsid w:val="005D5F75"/>
    <w:rsid w:val="005D691B"/>
    <w:rsid w:val="005E1B3D"/>
    <w:rsid w:val="005E2B46"/>
    <w:rsid w:val="005E38FD"/>
    <w:rsid w:val="005E7BEA"/>
    <w:rsid w:val="005F279B"/>
    <w:rsid w:val="005F4D6B"/>
    <w:rsid w:val="005F70AD"/>
    <w:rsid w:val="00604569"/>
    <w:rsid w:val="006059F9"/>
    <w:rsid w:val="00605AA0"/>
    <w:rsid w:val="00605B64"/>
    <w:rsid w:val="006068C7"/>
    <w:rsid w:val="00607C9A"/>
    <w:rsid w:val="00611880"/>
    <w:rsid w:val="006132E4"/>
    <w:rsid w:val="00616B96"/>
    <w:rsid w:val="00617AD0"/>
    <w:rsid w:val="00621054"/>
    <w:rsid w:val="00622582"/>
    <w:rsid w:val="00622A9E"/>
    <w:rsid w:val="006240A2"/>
    <w:rsid w:val="006270EE"/>
    <w:rsid w:val="00627BE8"/>
    <w:rsid w:val="006319C2"/>
    <w:rsid w:val="00631D11"/>
    <w:rsid w:val="00634724"/>
    <w:rsid w:val="006434B2"/>
    <w:rsid w:val="006453F2"/>
    <w:rsid w:val="00652812"/>
    <w:rsid w:val="006540C2"/>
    <w:rsid w:val="006552DE"/>
    <w:rsid w:val="006567C6"/>
    <w:rsid w:val="00666398"/>
    <w:rsid w:val="00667C9F"/>
    <w:rsid w:val="006704F9"/>
    <w:rsid w:val="0067155E"/>
    <w:rsid w:val="00673673"/>
    <w:rsid w:val="006739F6"/>
    <w:rsid w:val="00675335"/>
    <w:rsid w:val="00676269"/>
    <w:rsid w:val="0067738A"/>
    <w:rsid w:val="006777F8"/>
    <w:rsid w:val="00677EBF"/>
    <w:rsid w:val="00681D63"/>
    <w:rsid w:val="00686096"/>
    <w:rsid w:val="0068654E"/>
    <w:rsid w:val="0068665D"/>
    <w:rsid w:val="00687597"/>
    <w:rsid w:val="006915BB"/>
    <w:rsid w:val="00693732"/>
    <w:rsid w:val="006943B8"/>
    <w:rsid w:val="006A05E4"/>
    <w:rsid w:val="006A0F28"/>
    <w:rsid w:val="006A169B"/>
    <w:rsid w:val="006A42FF"/>
    <w:rsid w:val="006A7E04"/>
    <w:rsid w:val="006B3632"/>
    <w:rsid w:val="006B462B"/>
    <w:rsid w:val="006B5C14"/>
    <w:rsid w:val="006C1707"/>
    <w:rsid w:val="006C2616"/>
    <w:rsid w:val="006D1AD3"/>
    <w:rsid w:val="006D2BB6"/>
    <w:rsid w:val="006D7433"/>
    <w:rsid w:val="006D7C1D"/>
    <w:rsid w:val="006D7CA7"/>
    <w:rsid w:val="006E084C"/>
    <w:rsid w:val="006E1E9F"/>
    <w:rsid w:val="006E310E"/>
    <w:rsid w:val="006E5EF0"/>
    <w:rsid w:val="006F4BAC"/>
    <w:rsid w:val="007014E7"/>
    <w:rsid w:val="00701EE5"/>
    <w:rsid w:val="00705D9C"/>
    <w:rsid w:val="00707CB4"/>
    <w:rsid w:val="00716D7E"/>
    <w:rsid w:val="00716F38"/>
    <w:rsid w:val="007174CE"/>
    <w:rsid w:val="00726498"/>
    <w:rsid w:val="00732BF7"/>
    <w:rsid w:val="00741E23"/>
    <w:rsid w:val="00742427"/>
    <w:rsid w:val="007445AD"/>
    <w:rsid w:val="00744D3C"/>
    <w:rsid w:val="00745CBB"/>
    <w:rsid w:val="0074656C"/>
    <w:rsid w:val="00752793"/>
    <w:rsid w:val="00754599"/>
    <w:rsid w:val="007551B1"/>
    <w:rsid w:val="00756553"/>
    <w:rsid w:val="00756C04"/>
    <w:rsid w:val="00757CBE"/>
    <w:rsid w:val="007632D9"/>
    <w:rsid w:val="00763EED"/>
    <w:rsid w:val="007640FF"/>
    <w:rsid w:val="00766176"/>
    <w:rsid w:val="007674AC"/>
    <w:rsid w:val="007702AB"/>
    <w:rsid w:val="00776078"/>
    <w:rsid w:val="00777208"/>
    <w:rsid w:val="0077781A"/>
    <w:rsid w:val="007812A0"/>
    <w:rsid w:val="00781AA2"/>
    <w:rsid w:val="007832D8"/>
    <w:rsid w:val="00787FD1"/>
    <w:rsid w:val="00787FF6"/>
    <w:rsid w:val="00790235"/>
    <w:rsid w:val="007902DC"/>
    <w:rsid w:val="00797A6F"/>
    <w:rsid w:val="007A1654"/>
    <w:rsid w:val="007A5D53"/>
    <w:rsid w:val="007B0D73"/>
    <w:rsid w:val="007B364D"/>
    <w:rsid w:val="007B4248"/>
    <w:rsid w:val="007C02BC"/>
    <w:rsid w:val="007C1CFB"/>
    <w:rsid w:val="007C51E3"/>
    <w:rsid w:val="007D1B46"/>
    <w:rsid w:val="007D3A7C"/>
    <w:rsid w:val="007D45A5"/>
    <w:rsid w:val="007D491B"/>
    <w:rsid w:val="007D5B28"/>
    <w:rsid w:val="007E3539"/>
    <w:rsid w:val="007E47F0"/>
    <w:rsid w:val="007E5446"/>
    <w:rsid w:val="007E59F3"/>
    <w:rsid w:val="007F490D"/>
    <w:rsid w:val="008013E9"/>
    <w:rsid w:val="008023B7"/>
    <w:rsid w:val="00802BCB"/>
    <w:rsid w:val="00806118"/>
    <w:rsid w:val="0080747A"/>
    <w:rsid w:val="00810F91"/>
    <w:rsid w:val="00811409"/>
    <w:rsid w:val="00813069"/>
    <w:rsid w:val="00813B0B"/>
    <w:rsid w:val="008177CC"/>
    <w:rsid w:val="00821FF7"/>
    <w:rsid w:val="0082362A"/>
    <w:rsid w:val="00824768"/>
    <w:rsid w:val="008247E9"/>
    <w:rsid w:val="0082697D"/>
    <w:rsid w:val="00830BE5"/>
    <w:rsid w:val="0083111A"/>
    <w:rsid w:val="00831752"/>
    <w:rsid w:val="008335E2"/>
    <w:rsid w:val="00840008"/>
    <w:rsid w:val="008413FE"/>
    <w:rsid w:val="008428B8"/>
    <w:rsid w:val="00843D55"/>
    <w:rsid w:val="008462AD"/>
    <w:rsid w:val="00847977"/>
    <w:rsid w:val="00850262"/>
    <w:rsid w:val="00852DB7"/>
    <w:rsid w:val="008536ED"/>
    <w:rsid w:val="00865809"/>
    <w:rsid w:val="008669DE"/>
    <w:rsid w:val="00867BF9"/>
    <w:rsid w:val="008703D2"/>
    <w:rsid w:val="00870DDE"/>
    <w:rsid w:val="00872FCB"/>
    <w:rsid w:val="00880879"/>
    <w:rsid w:val="00882693"/>
    <w:rsid w:val="00883E6F"/>
    <w:rsid w:val="00884DD9"/>
    <w:rsid w:val="00885AA3"/>
    <w:rsid w:val="00891CDB"/>
    <w:rsid w:val="00893C3F"/>
    <w:rsid w:val="00895C3D"/>
    <w:rsid w:val="008968A4"/>
    <w:rsid w:val="008A0270"/>
    <w:rsid w:val="008A0963"/>
    <w:rsid w:val="008A1F19"/>
    <w:rsid w:val="008A3D84"/>
    <w:rsid w:val="008B00C0"/>
    <w:rsid w:val="008B3CDB"/>
    <w:rsid w:val="008C0DBA"/>
    <w:rsid w:val="008C329B"/>
    <w:rsid w:val="008C7BF7"/>
    <w:rsid w:val="008C7F3E"/>
    <w:rsid w:val="008D3471"/>
    <w:rsid w:val="008D3755"/>
    <w:rsid w:val="008D485C"/>
    <w:rsid w:val="008D64DC"/>
    <w:rsid w:val="008D6F22"/>
    <w:rsid w:val="008E0679"/>
    <w:rsid w:val="008E23DB"/>
    <w:rsid w:val="008E35F3"/>
    <w:rsid w:val="008F25CE"/>
    <w:rsid w:val="008F6A19"/>
    <w:rsid w:val="00900C4D"/>
    <w:rsid w:val="00900D0A"/>
    <w:rsid w:val="00902032"/>
    <w:rsid w:val="009024B1"/>
    <w:rsid w:val="00904B8D"/>
    <w:rsid w:val="00905635"/>
    <w:rsid w:val="00905AEE"/>
    <w:rsid w:val="00906B1F"/>
    <w:rsid w:val="009110AF"/>
    <w:rsid w:val="0091298F"/>
    <w:rsid w:val="00912A1D"/>
    <w:rsid w:val="009156D2"/>
    <w:rsid w:val="00920648"/>
    <w:rsid w:val="009213F0"/>
    <w:rsid w:val="009259AD"/>
    <w:rsid w:val="00930669"/>
    <w:rsid w:val="009311D3"/>
    <w:rsid w:val="00933090"/>
    <w:rsid w:val="00933579"/>
    <w:rsid w:val="009335C4"/>
    <w:rsid w:val="00937511"/>
    <w:rsid w:val="00941B0E"/>
    <w:rsid w:val="0094360E"/>
    <w:rsid w:val="009449CA"/>
    <w:rsid w:val="00945D08"/>
    <w:rsid w:val="00946AD8"/>
    <w:rsid w:val="009502C1"/>
    <w:rsid w:val="00951E91"/>
    <w:rsid w:val="00960AAC"/>
    <w:rsid w:val="009628D2"/>
    <w:rsid w:val="00962A5E"/>
    <w:rsid w:val="00963964"/>
    <w:rsid w:val="009652D2"/>
    <w:rsid w:val="00965A7F"/>
    <w:rsid w:val="00966B10"/>
    <w:rsid w:val="00972259"/>
    <w:rsid w:val="00973B3E"/>
    <w:rsid w:val="00974C0B"/>
    <w:rsid w:val="00977694"/>
    <w:rsid w:val="00981E8F"/>
    <w:rsid w:val="0098239F"/>
    <w:rsid w:val="009852AE"/>
    <w:rsid w:val="009857DA"/>
    <w:rsid w:val="00986A53"/>
    <w:rsid w:val="00990A4E"/>
    <w:rsid w:val="009928EF"/>
    <w:rsid w:val="00993834"/>
    <w:rsid w:val="00993C52"/>
    <w:rsid w:val="00993D79"/>
    <w:rsid w:val="00993FD4"/>
    <w:rsid w:val="0099564C"/>
    <w:rsid w:val="00995E44"/>
    <w:rsid w:val="00997B1B"/>
    <w:rsid w:val="00997F45"/>
    <w:rsid w:val="009A2972"/>
    <w:rsid w:val="009A3D74"/>
    <w:rsid w:val="009A6080"/>
    <w:rsid w:val="009B10D4"/>
    <w:rsid w:val="009B4CA7"/>
    <w:rsid w:val="009B58C4"/>
    <w:rsid w:val="009B5A5A"/>
    <w:rsid w:val="009B7D77"/>
    <w:rsid w:val="009C2158"/>
    <w:rsid w:val="009C29FF"/>
    <w:rsid w:val="009C4C4F"/>
    <w:rsid w:val="009C7C9F"/>
    <w:rsid w:val="009D417E"/>
    <w:rsid w:val="009D4424"/>
    <w:rsid w:val="009D4457"/>
    <w:rsid w:val="009D5793"/>
    <w:rsid w:val="009D64D9"/>
    <w:rsid w:val="009D6786"/>
    <w:rsid w:val="009E2AF3"/>
    <w:rsid w:val="00A01280"/>
    <w:rsid w:val="00A04B3F"/>
    <w:rsid w:val="00A050E4"/>
    <w:rsid w:val="00A05C4D"/>
    <w:rsid w:val="00A11DB5"/>
    <w:rsid w:val="00A145F2"/>
    <w:rsid w:val="00A2106A"/>
    <w:rsid w:val="00A26453"/>
    <w:rsid w:val="00A267C3"/>
    <w:rsid w:val="00A271B7"/>
    <w:rsid w:val="00A2726E"/>
    <w:rsid w:val="00A27B13"/>
    <w:rsid w:val="00A27D70"/>
    <w:rsid w:val="00A303E4"/>
    <w:rsid w:val="00A306B5"/>
    <w:rsid w:val="00A307B5"/>
    <w:rsid w:val="00A324ED"/>
    <w:rsid w:val="00A37305"/>
    <w:rsid w:val="00A40983"/>
    <w:rsid w:val="00A44F6F"/>
    <w:rsid w:val="00A46F43"/>
    <w:rsid w:val="00A47636"/>
    <w:rsid w:val="00A526B2"/>
    <w:rsid w:val="00A55644"/>
    <w:rsid w:val="00A60101"/>
    <w:rsid w:val="00A6065D"/>
    <w:rsid w:val="00A60BF4"/>
    <w:rsid w:val="00A615F0"/>
    <w:rsid w:val="00A6245A"/>
    <w:rsid w:val="00A65F2E"/>
    <w:rsid w:val="00A7362D"/>
    <w:rsid w:val="00A751E1"/>
    <w:rsid w:val="00A76C0E"/>
    <w:rsid w:val="00A8365B"/>
    <w:rsid w:val="00A96C44"/>
    <w:rsid w:val="00A97462"/>
    <w:rsid w:val="00AA0D96"/>
    <w:rsid w:val="00AA19A6"/>
    <w:rsid w:val="00AA1C59"/>
    <w:rsid w:val="00AA26B7"/>
    <w:rsid w:val="00AA5B46"/>
    <w:rsid w:val="00AA6D9E"/>
    <w:rsid w:val="00AA75BF"/>
    <w:rsid w:val="00AA7B85"/>
    <w:rsid w:val="00AB072A"/>
    <w:rsid w:val="00AB24A7"/>
    <w:rsid w:val="00AB3DCC"/>
    <w:rsid w:val="00AB532C"/>
    <w:rsid w:val="00AB7110"/>
    <w:rsid w:val="00AB75E5"/>
    <w:rsid w:val="00AB7BC0"/>
    <w:rsid w:val="00AB7BDA"/>
    <w:rsid w:val="00AB7C18"/>
    <w:rsid w:val="00AC4ED8"/>
    <w:rsid w:val="00AC72AE"/>
    <w:rsid w:val="00AD04FE"/>
    <w:rsid w:val="00AD275E"/>
    <w:rsid w:val="00AD2BFD"/>
    <w:rsid w:val="00AD448F"/>
    <w:rsid w:val="00AD5014"/>
    <w:rsid w:val="00AD68B1"/>
    <w:rsid w:val="00AE0A62"/>
    <w:rsid w:val="00AE1CB0"/>
    <w:rsid w:val="00AE2BBF"/>
    <w:rsid w:val="00AE5182"/>
    <w:rsid w:val="00AE57FC"/>
    <w:rsid w:val="00AE66BE"/>
    <w:rsid w:val="00AF10EA"/>
    <w:rsid w:val="00AF3669"/>
    <w:rsid w:val="00AF4BBA"/>
    <w:rsid w:val="00AF5390"/>
    <w:rsid w:val="00AF72DD"/>
    <w:rsid w:val="00B018DB"/>
    <w:rsid w:val="00B10ED2"/>
    <w:rsid w:val="00B110CA"/>
    <w:rsid w:val="00B1229E"/>
    <w:rsid w:val="00B15C8B"/>
    <w:rsid w:val="00B224ED"/>
    <w:rsid w:val="00B2377C"/>
    <w:rsid w:val="00B2456E"/>
    <w:rsid w:val="00B2556C"/>
    <w:rsid w:val="00B3121A"/>
    <w:rsid w:val="00B313AA"/>
    <w:rsid w:val="00B36A7B"/>
    <w:rsid w:val="00B44A00"/>
    <w:rsid w:val="00B44B91"/>
    <w:rsid w:val="00B46095"/>
    <w:rsid w:val="00B554BF"/>
    <w:rsid w:val="00B56783"/>
    <w:rsid w:val="00B62504"/>
    <w:rsid w:val="00B62A3C"/>
    <w:rsid w:val="00B64103"/>
    <w:rsid w:val="00B653A1"/>
    <w:rsid w:val="00B65413"/>
    <w:rsid w:val="00B75297"/>
    <w:rsid w:val="00B81677"/>
    <w:rsid w:val="00B81A9D"/>
    <w:rsid w:val="00B832C3"/>
    <w:rsid w:val="00B8394E"/>
    <w:rsid w:val="00B848E1"/>
    <w:rsid w:val="00B90831"/>
    <w:rsid w:val="00B91883"/>
    <w:rsid w:val="00B93A32"/>
    <w:rsid w:val="00B94A63"/>
    <w:rsid w:val="00B95CD5"/>
    <w:rsid w:val="00B962E8"/>
    <w:rsid w:val="00BA2AF2"/>
    <w:rsid w:val="00BA2F16"/>
    <w:rsid w:val="00BA5DFD"/>
    <w:rsid w:val="00BA733D"/>
    <w:rsid w:val="00BA7389"/>
    <w:rsid w:val="00BB384E"/>
    <w:rsid w:val="00BB3CEC"/>
    <w:rsid w:val="00BB608D"/>
    <w:rsid w:val="00BB6657"/>
    <w:rsid w:val="00BB6845"/>
    <w:rsid w:val="00BB72DA"/>
    <w:rsid w:val="00BC0484"/>
    <w:rsid w:val="00BC05FD"/>
    <w:rsid w:val="00BC257E"/>
    <w:rsid w:val="00BC445A"/>
    <w:rsid w:val="00BC5907"/>
    <w:rsid w:val="00BC71ED"/>
    <w:rsid w:val="00BC7711"/>
    <w:rsid w:val="00BD3DCD"/>
    <w:rsid w:val="00BD3F5B"/>
    <w:rsid w:val="00BD5443"/>
    <w:rsid w:val="00BD7951"/>
    <w:rsid w:val="00BE17D5"/>
    <w:rsid w:val="00BE2A2F"/>
    <w:rsid w:val="00BE2C04"/>
    <w:rsid w:val="00BE4CA5"/>
    <w:rsid w:val="00BE59AE"/>
    <w:rsid w:val="00BE601C"/>
    <w:rsid w:val="00BE611D"/>
    <w:rsid w:val="00BE6FCC"/>
    <w:rsid w:val="00BE7981"/>
    <w:rsid w:val="00BF053E"/>
    <w:rsid w:val="00BF108D"/>
    <w:rsid w:val="00BF199C"/>
    <w:rsid w:val="00BF4424"/>
    <w:rsid w:val="00BF61AA"/>
    <w:rsid w:val="00BF6B5E"/>
    <w:rsid w:val="00C0041C"/>
    <w:rsid w:val="00C02C2C"/>
    <w:rsid w:val="00C04B18"/>
    <w:rsid w:val="00C0607A"/>
    <w:rsid w:val="00C06233"/>
    <w:rsid w:val="00C14797"/>
    <w:rsid w:val="00C167F3"/>
    <w:rsid w:val="00C16D04"/>
    <w:rsid w:val="00C17D22"/>
    <w:rsid w:val="00C32E4A"/>
    <w:rsid w:val="00C33B97"/>
    <w:rsid w:val="00C35505"/>
    <w:rsid w:val="00C35E05"/>
    <w:rsid w:val="00C35E95"/>
    <w:rsid w:val="00C4051E"/>
    <w:rsid w:val="00C43C6D"/>
    <w:rsid w:val="00C44004"/>
    <w:rsid w:val="00C44F30"/>
    <w:rsid w:val="00C500FA"/>
    <w:rsid w:val="00C546C8"/>
    <w:rsid w:val="00C619DB"/>
    <w:rsid w:val="00C62FAE"/>
    <w:rsid w:val="00C6388B"/>
    <w:rsid w:val="00C640A4"/>
    <w:rsid w:val="00C643B8"/>
    <w:rsid w:val="00C72786"/>
    <w:rsid w:val="00C80871"/>
    <w:rsid w:val="00C861C1"/>
    <w:rsid w:val="00C90F92"/>
    <w:rsid w:val="00C91E23"/>
    <w:rsid w:val="00C93666"/>
    <w:rsid w:val="00C94135"/>
    <w:rsid w:val="00C943E7"/>
    <w:rsid w:val="00C965F9"/>
    <w:rsid w:val="00C974F3"/>
    <w:rsid w:val="00C9767E"/>
    <w:rsid w:val="00C977C6"/>
    <w:rsid w:val="00CA104F"/>
    <w:rsid w:val="00CA1095"/>
    <w:rsid w:val="00CA21E6"/>
    <w:rsid w:val="00CA3083"/>
    <w:rsid w:val="00CA4C4B"/>
    <w:rsid w:val="00CA4E59"/>
    <w:rsid w:val="00CA7D97"/>
    <w:rsid w:val="00CC276A"/>
    <w:rsid w:val="00CC2B0B"/>
    <w:rsid w:val="00CC78C3"/>
    <w:rsid w:val="00CC7947"/>
    <w:rsid w:val="00CD0AB9"/>
    <w:rsid w:val="00CD1159"/>
    <w:rsid w:val="00CD1B33"/>
    <w:rsid w:val="00CD2BD6"/>
    <w:rsid w:val="00CD3ABF"/>
    <w:rsid w:val="00CD59BE"/>
    <w:rsid w:val="00CD5D3E"/>
    <w:rsid w:val="00CE01A5"/>
    <w:rsid w:val="00CE0FC5"/>
    <w:rsid w:val="00CE2F85"/>
    <w:rsid w:val="00CE3EBD"/>
    <w:rsid w:val="00CE5F85"/>
    <w:rsid w:val="00CF0389"/>
    <w:rsid w:val="00CF07FF"/>
    <w:rsid w:val="00CF2FEF"/>
    <w:rsid w:val="00CF325A"/>
    <w:rsid w:val="00CF331D"/>
    <w:rsid w:val="00CF3E06"/>
    <w:rsid w:val="00CF588B"/>
    <w:rsid w:val="00CF645C"/>
    <w:rsid w:val="00CF6B71"/>
    <w:rsid w:val="00D0690E"/>
    <w:rsid w:val="00D10E26"/>
    <w:rsid w:val="00D11D75"/>
    <w:rsid w:val="00D13974"/>
    <w:rsid w:val="00D14132"/>
    <w:rsid w:val="00D166FC"/>
    <w:rsid w:val="00D20770"/>
    <w:rsid w:val="00D20847"/>
    <w:rsid w:val="00D26C21"/>
    <w:rsid w:val="00D27C2B"/>
    <w:rsid w:val="00D32D51"/>
    <w:rsid w:val="00D340BC"/>
    <w:rsid w:val="00D34231"/>
    <w:rsid w:val="00D348A2"/>
    <w:rsid w:val="00D34A0E"/>
    <w:rsid w:val="00D36B85"/>
    <w:rsid w:val="00D413F3"/>
    <w:rsid w:val="00D52B0C"/>
    <w:rsid w:val="00D55534"/>
    <w:rsid w:val="00D62A0D"/>
    <w:rsid w:val="00D633B1"/>
    <w:rsid w:val="00D63E5A"/>
    <w:rsid w:val="00D641C2"/>
    <w:rsid w:val="00D655A5"/>
    <w:rsid w:val="00D65661"/>
    <w:rsid w:val="00D66598"/>
    <w:rsid w:val="00D72880"/>
    <w:rsid w:val="00D735D8"/>
    <w:rsid w:val="00D74E0D"/>
    <w:rsid w:val="00D74E49"/>
    <w:rsid w:val="00D750D8"/>
    <w:rsid w:val="00D762D4"/>
    <w:rsid w:val="00D81E09"/>
    <w:rsid w:val="00D84199"/>
    <w:rsid w:val="00D8619E"/>
    <w:rsid w:val="00D8729C"/>
    <w:rsid w:val="00D905EB"/>
    <w:rsid w:val="00D93530"/>
    <w:rsid w:val="00D9358B"/>
    <w:rsid w:val="00D940BE"/>
    <w:rsid w:val="00D941C7"/>
    <w:rsid w:val="00D96C02"/>
    <w:rsid w:val="00DA0506"/>
    <w:rsid w:val="00DA06AB"/>
    <w:rsid w:val="00DA0F2F"/>
    <w:rsid w:val="00DA1712"/>
    <w:rsid w:val="00DA2BC4"/>
    <w:rsid w:val="00DA6F02"/>
    <w:rsid w:val="00DA7440"/>
    <w:rsid w:val="00DB42E9"/>
    <w:rsid w:val="00DB4944"/>
    <w:rsid w:val="00DB79B3"/>
    <w:rsid w:val="00DC05FB"/>
    <w:rsid w:val="00DC49BF"/>
    <w:rsid w:val="00DC626F"/>
    <w:rsid w:val="00DC7422"/>
    <w:rsid w:val="00DD1FAD"/>
    <w:rsid w:val="00DD3AAA"/>
    <w:rsid w:val="00DD5D49"/>
    <w:rsid w:val="00DD75F6"/>
    <w:rsid w:val="00DD7B3C"/>
    <w:rsid w:val="00DE048B"/>
    <w:rsid w:val="00DE13D7"/>
    <w:rsid w:val="00DE59CF"/>
    <w:rsid w:val="00DF26EC"/>
    <w:rsid w:val="00DF27A4"/>
    <w:rsid w:val="00DF5E49"/>
    <w:rsid w:val="00E009DC"/>
    <w:rsid w:val="00E033A2"/>
    <w:rsid w:val="00E04DF0"/>
    <w:rsid w:val="00E063F3"/>
    <w:rsid w:val="00E064DA"/>
    <w:rsid w:val="00E0663E"/>
    <w:rsid w:val="00E129BC"/>
    <w:rsid w:val="00E12C62"/>
    <w:rsid w:val="00E15FBB"/>
    <w:rsid w:val="00E165B3"/>
    <w:rsid w:val="00E23365"/>
    <w:rsid w:val="00E25A4A"/>
    <w:rsid w:val="00E27BFF"/>
    <w:rsid w:val="00E3191B"/>
    <w:rsid w:val="00E33570"/>
    <w:rsid w:val="00E40434"/>
    <w:rsid w:val="00E4134A"/>
    <w:rsid w:val="00E44A43"/>
    <w:rsid w:val="00E44B19"/>
    <w:rsid w:val="00E4545D"/>
    <w:rsid w:val="00E5317D"/>
    <w:rsid w:val="00E53A57"/>
    <w:rsid w:val="00E55283"/>
    <w:rsid w:val="00E557C0"/>
    <w:rsid w:val="00E57A12"/>
    <w:rsid w:val="00E57C3B"/>
    <w:rsid w:val="00E60AB8"/>
    <w:rsid w:val="00E6128B"/>
    <w:rsid w:val="00E61DBF"/>
    <w:rsid w:val="00E63B38"/>
    <w:rsid w:val="00E67067"/>
    <w:rsid w:val="00E74161"/>
    <w:rsid w:val="00E778D8"/>
    <w:rsid w:val="00E826E2"/>
    <w:rsid w:val="00E85BBE"/>
    <w:rsid w:val="00E86076"/>
    <w:rsid w:val="00E92217"/>
    <w:rsid w:val="00E92332"/>
    <w:rsid w:val="00E92FC3"/>
    <w:rsid w:val="00E93788"/>
    <w:rsid w:val="00E94E57"/>
    <w:rsid w:val="00E955DC"/>
    <w:rsid w:val="00E956B6"/>
    <w:rsid w:val="00EA4C1C"/>
    <w:rsid w:val="00EA68DC"/>
    <w:rsid w:val="00EB216F"/>
    <w:rsid w:val="00EB467F"/>
    <w:rsid w:val="00EB72CA"/>
    <w:rsid w:val="00EB7FBD"/>
    <w:rsid w:val="00EC233C"/>
    <w:rsid w:val="00EC2A85"/>
    <w:rsid w:val="00EC3FA1"/>
    <w:rsid w:val="00EC5CF3"/>
    <w:rsid w:val="00EC6873"/>
    <w:rsid w:val="00EC69F0"/>
    <w:rsid w:val="00EC7970"/>
    <w:rsid w:val="00ED03C3"/>
    <w:rsid w:val="00ED0AAB"/>
    <w:rsid w:val="00ED1161"/>
    <w:rsid w:val="00ED1D6C"/>
    <w:rsid w:val="00ED2A0B"/>
    <w:rsid w:val="00ED3CD3"/>
    <w:rsid w:val="00ED658C"/>
    <w:rsid w:val="00EE1052"/>
    <w:rsid w:val="00EF1E50"/>
    <w:rsid w:val="00EF4765"/>
    <w:rsid w:val="00EF4BDB"/>
    <w:rsid w:val="00EF4E00"/>
    <w:rsid w:val="00EF6F3B"/>
    <w:rsid w:val="00F03966"/>
    <w:rsid w:val="00F05591"/>
    <w:rsid w:val="00F06E58"/>
    <w:rsid w:val="00F1159D"/>
    <w:rsid w:val="00F13B8D"/>
    <w:rsid w:val="00F15309"/>
    <w:rsid w:val="00F167B4"/>
    <w:rsid w:val="00F20E7A"/>
    <w:rsid w:val="00F263C4"/>
    <w:rsid w:val="00F330EB"/>
    <w:rsid w:val="00F33E76"/>
    <w:rsid w:val="00F35FE4"/>
    <w:rsid w:val="00F36CE2"/>
    <w:rsid w:val="00F36F19"/>
    <w:rsid w:val="00F4301F"/>
    <w:rsid w:val="00F431C2"/>
    <w:rsid w:val="00F438E3"/>
    <w:rsid w:val="00F47FC6"/>
    <w:rsid w:val="00F51F56"/>
    <w:rsid w:val="00F524CD"/>
    <w:rsid w:val="00F54322"/>
    <w:rsid w:val="00F5501E"/>
    <w:rsid w:val="00F6582B"/>
    <w:rsid w:val="00F6693E"/>
    <w:rsid w:val="00F71E19"/>
    <w:rsid w:val="00F7397D"/>
    <w:rsid w:val="00F75272"/>
    <w:rsid w:val="00F83F89"/>
    <w:rsid w:val="00F84A1E"/>
    <w:rsid w:val="00F858BE"/>
    <w:rsid w:val="00F86884"/>
    <w:rsid w:val="00F92B33"/>
    <w:rsid w:val="00F94044"/>
    <w:rsid w:val="00F96952"/>
    <w:rsid w:val="00FA0C2F"/>
    <w:rsid w:val="00FA27C5"/>
    <w:rsid w:val="00FA5352"/>
    <w:rsid w:val="00FA5425"/>
    <w:rsid w:val="00FB32C3"/>
    <w:rsid w:val="00FB3EE3"/>
    <w:rsid w:val="00FB3F32"/>
    <w:rsid w:val="00FB4087"/>
    <w:rsid w:val="00FC0CD6"/>
    <w:rsid w:val="00FC34DE"/>
    <w:rsid w:val="00FC419F"/>
    <w:rsid w:val="00FC426A"/>
    <w:rsid w:val="00FC68E2"/>
    <w:rsid w:val="00FC7754"/>
    <w:rsid w:val="00FC7D0A"/>
    <w:rsid w:val="00FD7B54"/>
    <w:rsid w:val="00FE019C"/>
    <w:rsid w:val="00FE1BC3"/>
    <w:rsid w:val="00FF4A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A864B1"/>
  <w15:docId w15:val="{368F285D-9AE5-4070-811D-B8A6FF33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pPr>
        <w:spacing w:line="360"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5D53"/>
    <w:rPr>
      <w:sz w:val="24"/>
      <w:szCs w:val="24"/>
      <w:lang w:val="en-US" w:eastAsia="en-US"/>
    </w:rPr>
  </w:style>
  <w:style w:type="paragraph" w:styleId="Heading3">
    <w:name w:val="heading 3"/>
    <w:basedOn w:val="Normal"/>
    <w:next w:val="Normal"/>
    <w:link w:val="Heading3Char"/>
    <w:qFormat/>
    <w:rsid w:val="00263FE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rPr>
      <w:rFonts w:ascii="Arial" w:hAnsi="Arial" w:cs="Arial"/>
      <w:color w:val="auto"/>
      <w:sz w:val="20"/>
    </w:rPr>
  </w:style>
  <w:style w:type="character" w:customStyle="1" w:styleId="PersonalComposeStyle">
    <w:name w:val="Personal Compose Style"/>
    <w:rPr>
      <w:rFonts w:ascii="Arial" w:hAnsi="Arial" w:cs="Arial"/>
      <w:color w:val="auto"/>
      <w:sz w:val="20"/>
    </w:rPr>
  </w:style>
  <w:style w:type="table" w:styleId="TableGrid">
    <w:name w:val="Table Grid"/>
    <w:basedOn w:val="TableNormal"/>
    <w:rsid w:val="00BE7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85AA3"/>
    <w:pPr>
      <w:tabs>
        <w:tab w:val="center" w:pos="4320"/>
        <w:tab w:val="right" w:pos="8640"/>
      </w:tabs>
    </w:pPr>
  </w:style>
  <w:style w:type="paragraph" w:styleId="Footer">
    <w:name w:val="footer"/>
    <w:basedOn w:val="Normal"/>
    <w:link w:val="FooterChar"/>
    <w:uiPriority w:val="99"/>
    <w:rsid w:val="00885AA3"/>
    <w:pPr>
      <w:tabs>
        <w:tab w:val="center" w:pos="4320"/>
        <w:tab w:val="right" w:pos="8640"/>
      </w:tabs>
    </w:pPr>
  </w:style>
  <w:style w:type="paragraph" w:customStyle="1" w:styleId="DecisionBody">
    <w:name w:val="DecisionBody"/>
    <w:basedOn w:val="Normal"/>
    <w:autoRedefine/>
    <w:rsid w:val="00FA5425"/>
    <w:pPr>
      <w:widowControl w:val="0"/>
      <w:numPr>
        <w:numId w:val="35"/>
      </w:numPr>
      <w:spacing w:beforeLines="150" w:before="360" w:afterLines="150" w:after="360"/>
      <w:ind w:left="0" w:firstLine="0"/>
      <w:textAlignment w:val="baseline"/>
    </w:pPr>
    <w:rPr>
      <w:rFonts w:ascii="Arial" w:hAnsi="Arial" w:cs="Arial"/>
      <w:bCs/>
      <w:lang w:val="en-CA"/>
    </w:rPr>
  </w:style>
  <w:style w:type="paragraph" w:styleId="BodyText">
    <w:name w:val="Body Text"/>
    <w:basedOn w:val="Normal"/>
    <w:link w:val="BodyTextChar"/>
    <w:qFormat/>
    <w:rsid w:val="00037613"/>
    <w:pPr>
      <w:spacing w:after="240"/>
      <w:jc w:val="both"/>
    </w:pPr>
    <w:rPr>
      <w:rFonts w:ascii="Arial" w:eastAsia="Arial" w:hAnsi="Arial"/>
      <w:sz w:val="22"/>
      <w:szCs w:val="22"/>
      <w:lang w:val="en-CA" w:eastAsia="en-CA"/>
    </w:rPr>
  </w:style>
  <w:style w:type="character" w:customStyle="1" w:styleId="BodyTextChar">
    <w:name w:val="Body Text Char"/>
    <w:basedOn w:val="DefaultParagraphFont"/>
    <w:link w:val="BodyText"/>
    <w:rsid w:val="00037613"/>
    <w:rPr>
      <w:rFonts w:ascii="Arial" w:eastAsia="Arial" w:hAnsi="Arial"/>
      <w:sz w:val="22"/>
      <w:szCs w:val="22"/>
    </w:rPr>
  </w:style>
  <w:style w:type="character" w:styleId="Strong">
    <w:name w:val="Strong"/>
    <w:basedOn w:val="DefaultParagraphFont"/>
    <w:qFormat/>
    <w:rsid w:val="00FD7B54"/>
    <w:rPr>
      <w:b/>
      <w:bCs/>
    </w:rPr>
  </w:style>
  <w:style w:type="paragraph" w:styleId="ListParagraph">
    <w:name w:val="List Paragraph"/>
    <w:basedOn w:val="Normal"/>
    <w:uiPriority w:val="34"/>
    <w:qFormat/>
    <w:rsid w:val="00440539"/>
    <w:pPr>
      <w:ind w:left="720"/>
      <w:contextualSpacing/>
    </w:pPr>
  </w:style>
  <w:style w:type="character" w:customStyle="1" w:styleId="FooterChar">
    <w:name w:val="Footer Char"/>
    <w:basedOn w:val="DefaultParagraphFont"/>
    <w:link w:val="Footer"/>
    <w:uiPriority w:val="99"/>
    <w:rsid w:val="008C7F3E"/>
    <w:rPr>
      <w:sz w:val="24"/>
      <w:szCs w:val="24"/>
      <w:lang w:val="en-US" w:eastAsia="en-US"/>
    </w:rPr>
  </w:style>
  <w:style w:type="paragraph" w:customStyle="1" w:styleId="paragraph">
    <w:name w:val="paragraph"/>
    <w:rsid w:val="00DB42E9"/>
    <w:pPr>
      <w:tabs>
        <w:tab w:val="right" w:pos="418"/>
        <w:tab w:val="left" w:pos="538"/>
      </w:tabs>
      <w:spacing w:before="111" w:line="209" w:lineRule="exact"/>
      <w:ind w:left="538" w:hanging="538"/>
      <w:jc w:val="both"/>
    </w:pPr>
    <w:rPr>
      <w:lang w:eastAsia="en-US"/>
    </w:rPr>
  </w:style>
  <w:style w:type="paragraph" w:customStyle="1" w:styleId="subsection">
    <w:name w:val="subsection"/>
    <w:basedOn w:val="Normal"/>
    <w:link w:val="subsectionChar"/>
    <w:rsid w:val="00DB42E9"/>
    <w:pPr>
      <w:spacing w:before="100" w:line="209" w:lineRule="exact"/>
      <w:jc w:val="both"/>
    </w:pPr>
    <w:rPr>
      <w:sz w:val="20"/>
      <w:szCs w:val="20"/>
      <w:lang w:val="en-CA"/>
    </w:rPr>
  </w:style>
  <w:style w:type="character" w:customStyle="1" w:styleId="subsectionChar">
    <w:name w:val="subsection Char"/>
    <w:link w:val="subsection"/>
    <w:locked/>
    <w:rsid w:val="00DB42E9"/>
    <w:rPr>
      <w:lang w:eastAsia="en-US"/>
    </w:rPr>
  </w:style>
  <w:style w:type="paragraph" w:customStyle="1" w:styleId="headnote">
    <w:name w:val="headnote"/>
    <w:link w:val="headnoteChar"/>
    <w:rsid w:val="00DB42E9"/>
    <w:pPr>
      <w:keepNext/>
      <w:keepLines/>
      <w:tabs>
        <w:tab w:val="left" w:pos="0"/>
      </w:tabs>
      <w:suppressAutoHyphens/>
      <w:spacing w:before="120" w:line="180" w:lineRule="exact"/>
    </w:pPr>
    <w:rPr>
      <w:b/>
      <w:lang w:eastAsia="en-US"/>
    </w:rPr>
  </w:style>
  <w:style w:type="character" w:customStyle="1" w:styleId="headnoteChar">
    <w:name w:val="headnote Char"/>
    <w:link w:val="headnote"/>
    <w:rsid w:val="00DB42E9"/>
    <w:rPr>
      <w:b/>
      <w:lang w:eastAsia="en-US"/>
    </w:rPr>
  </w:style>
  <w:style w:type="character" w:customStyle="1" w:styleId="Heading3Char">
    <w:name w:val="Heading 3 Char"/>
    <w:basedOn w:val="DefaultParagraphFont"/>
    <w:link w:val="Heading3"/>
    <w:rsid w:val="00263FE2"/>
    <w:rPr>
      <w:rFonts w:ascii="Cambria" w:hAnsi="Cambria"/>
      <w:b/>
      <w:bCs/>
      <w:sz w:val="26"/>
      <w:szCs w:val="26"/>
      <w:lang w:val="en-US" w:eastAsia="en-US"/>
    </w:rPr>
  </w:style>
  <w:style w:type="character" w:styleId="LineNumber">
    <w:name w:val="line number"/>
    <w:basedOn w:val="DefaultParagraphFont"/>
    <w:semiHidden/>
    <w:unhideWhenUsed/>
    <w:rsid w:val="00960AAC"/>
  </w:style>
  <w:style w:type="character" w:customStyle="1" w:styleId="HeaderChar">
    <w:name w:val="Header Char"/>
    <w:basedOn w:val="DefaultParagraphFont"/>
    <w:link w:val="Header"/>
    <w:uiPriority w:val="99"/>
    <w:rsid w:val="00C0607A"/>
    <w:rPr>
      <w:sz w:val="24"/>
      <w:szCs w:val="24"/>
      <w:lang w:val="en-US" w:eastAsia="en-US"/>
    </w:rPr>
  </w:style>
  <w:style w:type="paragraph" w:styleId="BalloonText">
    <w:name w:val="Balloon Text"/>
    <w:basedOn w:val="Normal"/>
    <w:link w:val="BalloonTextChar"/>
    <w:rsid w:val="009306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930669"/>
    <w:rPr>
      <w:rFonts w:ascii="Segoe UI" w:hAnsi="Segoe UI" w:cs="Segoe UI"/>
      <w:sz w:val="18"/>
      <w:szCs w:val="18"/>
      <w:lang w:val="en-US" w:eastAsia="en-US"/>
    </w:rPr>
  </w:style>
  <w:style w:type="character" w:styleId="CommentReference">
    <w:name w:val="annotation reference"/>
    <w:basedOn w:val="DefaultParagraphFont"/>
    <w:semiHidden/>
    <w:unhideWhenUsed/>
    <w:rsid w:val="00334345"/>
    <w:rPr>
      <w:sz w:val="16"/>
      <w:szCs w:val="16"/>
    </w:rPr>
  </w:style>
  <w:style w:type="paragraph" w:styleId="CommentText">
    <w:name w:val="annotation text"/>
    <w:basedOn w:val="Normal"/>
    <w:link w:val="CommentTextChar"/>
    <w:semiHidden/>
    <w:unhideWhenUsed/>
    <w:rsid w:val="00334345"/>
    <w:pPr>
      <w:spacing w:line="240" w:lineRule="auto"/>
    </w:pPr>
    <w:rPr>
      <w:sz w:val="20"/>
      <w:szCs w:val="20"/>
    </w:rPr>
  </w:style>
  <w:style w:type="character" w:customStyle="1" w:styleId="CommentTextChar">
    <w:name w:val="Comment Text Char"/>
    <w:basedOn w:val="DefaultParagraphFont"/>
    <w:link w:val="CommentText"/>
    <w:semiHidden/>
    <w:rsid w:val="00334345"/>
    <w:rPr>
      <w:lang w:val="en-US" w:eastAsia="en-US"/>
    </w:rPr>
  </w:style>
  <w:style w:type="paragraph" w:styleId="CommentSubject">
    <w:name w:val="annotation subject"/>
    <w:basedOn w:val="CommentText"/>
    <w:next w:val="CommentText"/>
    <w:link w:val="CommentSubjectChar"/>
    <w:semiHidden/>
    <w:unhideWhenUsed/>
    <w:rsid w:val="00334345"/>
    <w:rPr>
      <w:b/>
      <w:bCs/>
    </w:rPr>
  </w:style>
  <w:style w:type="character" w:customStyle="1" w:styleId="CommentSubjectChar">
    <w:name w:val="Comment Subject Char"/>
    <w:basedOn w:val="CommentTextChar"/>
    <w:link w:val="CommentSubject"/>
    <w:semiHidden/>
    <w:rsid w:val="00334345"/>
    <w:rPr>
      <w:b/>
      <w:bCs/>
      <w:lang w:val="en-US" w:eastAsia="en-US"/>
    </w:rPr>
  </w:style>
  <w:style w:type="paragraph" w:customStyle="1" w:styleId="MemberSignature">
    <w:name w:val="Member Signature"/>
    <w:basedOn w:val="Normal"/>
    <w:qFormat/>
    <w:rsid w:val="00CE01A5"/>
    <w:pPr>
      <w:keepLines/>
      <w:spacing w:line="240" w:lineRule="auto"/>
      <w:ind w:left="5041"/>
      <w:jc w:val="right"/>
    </w:pPr>
    <w:rPr>
      <w:rFonts w:ascii="Arial" w:hAnsi="Arial"/>
      <w:i/>
      <w:lang w:val="en-CA"/>
    </w:rPr>
  </w:style>
  <w:style w:type="paragraph" w:customStyle="1" w:styleId="MemberSignatureNameandTitle">
    <w:name w:val="Member Signature Name and Title"/>
    <w:basedOn w:val="Normal"/>
    <w:qFormat/>
    <w:rsid w:val="00CE01A5"/>
    <w:pPr>
      <w:keepLines/>
      <w:spacing w:line="240" w:lineRule="auto"/>
      <w:ind w:left="5041"/>
      <w:jc w:val="right"/>
    </w:pPr>
    <w:rPr>
      <w:rFonts w:ascii="Arial" w:hAnsi="Arial"/>
      <w:caps/>
      <w:lang w:val="en-CA"/>
    </w:rPr>
  </w:style>
  <w:style w:type="paragraph" w:customStyle="1" w:styleId="AttachmentTextaboveFooter">
    <w:name w:val="Attachment Text above Footer"/>
    <w:basedOn w:val="Footer"/>
    <w:qFormat/>
    <w:rsid w:val="00CE01A5"/>
    <w:pPr>
      <w:spacing w:line="240" w:lineRule="auto"/>
      <w:jc w:val="center"/>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6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3641</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Hussey, Karlene (MAG)</dc:creator>
  <cp:lastModifiedBy>Pilon, Kelly (MAG)</cp:lastModifiedBy>
  <cp:revision>3</cp:revision>
  <cp:lastPrinted>2019-09-19T16:02:00Z</cp:lastPrinted>
  <dcterms:created xsi:type="dcterms:W3CDTF">2019-09-19T16:01:00Z</dcterms:created>
  <dcterms:modified xsi:type="dcterms:W3CDTF">2019-09-19T16:31:00Z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Karlene.Hussey@ontario.ca</vt:lpwstr>
  </property>
  <property fmtid="{D5CDD505-2E9C-101B-9397-08002B2CF9AE}" pid="5" name="MSIP_Label_034a106e-6316-442c-ad35-738afd673d2b_SetDate">
    <vt:lpwstr>2019-06-21T15:41:42.0846103Z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