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56" w:rsidRDefault="00204A56" w:rsidP="005A767F">
      <w:pPr>
        <w:rPr>
          <w:rFonts w:ascii="Arial" w:hAnsi="Arial" w:cs="Arial"/>
          <w:lang w:val="en-CA"/>
        </w:rPr>
      </w:pPr>
      <w:bookmarkStart w:id="0" w:name="Appearances"/>
    </w:p>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7B76AB" w:rsidRPr="001E764F" w:rsidTr="00AB6FEF">
        <w:trPr>
          <w:trHeight w:val="281"/>
        </w:trPr>
        <w:tc>
          <w:tcPr>
            <w:tcW w:w="5778" w:type="dxa"/>
          </w:tcPr>
          <w:p w:rsidR="007B76AB" w:rsidRPr="001E764F" w:rsidRDefault="007B76AB" w:rsidP="00AB6FEF">
            <w:pPr>
              <w:rPr>
                <w:rFonts w:ascii="Arial" w:hAnsi="Arial" w:cs="Arial"/>
                <w:b/>
                <w:sz w:val="16"/>
                <w:szCs w:val="16"/>
              </w:rPr>
            </w:pPr>
            <w:bookmarkStart w:id="1" w:name="DecisionDeliveredBy"/>
            <w:bookmarkEnd w:id="0"/>
          </w:p>
        </w:tc>
        <w:tc>
          <w:tcPr>
            <w:tcW w:w="3828" w:type="dxa"/>
            <w:vMerge w:val="restart"/>
          </w:tcPr>
          <w:p w:rsidR="007B76AB" w:rsidRPr="001E764F" w:rsidRDefault="007B76AB" w:rsidP="00AB6FEF">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61312" behindDoc="0" locked="0" layoutInCell="1" allowOverlap="1" wp14:anchorId="353BBE15" wp14:editId="4FF807A4">
                  <wp:simplePos x="0" y="0"/>
                  <wp:positionH relativeFrom="column">
                    <wp:align>center</wp:align>
                  </wp:positionH>
                  <wp:positionV relativeFrom="paragraph">
                    <wp:posOffset>80010</wp:posOffset>
                  </wp:positionV>
                  <wp:extent cx="1188720"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B76AB" w:rsidRPr="001E764F" w:rsidTr="00AB6FEF">
        <w:tc>
          <w:tcPr>
            <w:tcW w:w="5778" w:type="dxa"/>
          </w:tcPr>
          <w:p w:rsidR="007B76AB" w:rsidRPr="001E764F" w:rsidRDefault="007B76AB" w:rsidP="00AB6FEF">
            <w:pPr>
              <w:rPr>
                <w:rFonts w:ascii="Arial" w:hAnsi="Arial" w:cs="Arial"/>
                <w:b/>
                <w:sz w:val="32"/>
                <w:szCs w:val="32"/>
              </w:rPr>
            </w:pPr>
            <w:r w:rsidRPr="001E764F">
              <w:rPr>
                <w:rFonts w:ascii="Arial" w:hAnsi="Arial" w:cs="Arial"/>
                <w:b/>
                <w:sz w:val="32"/>
                <w:szCs w:val="32"/>
              </w:rPr>
              <w:t>Ontario Municipal Board</w:t>
            </w:r>
          </w:p>
        </w:tc>
        <w:tc>
          <w:tcPr>
            <w:tcW w:w="3828" w:type="dxa"/>
            <w:vMerge/>
          </w:tcPr>
          <w:p w:rsidR="007B76AB" w:rsidRPr="001E764F" w:rsidRDefault="007B76AB" w:rsidP="00AB6FEF">
            <w:pPr>
              <w:rPr>
                <w:rFonts w:ascii="Arial" w:hAnsi="Arial" w:cs="Arial"/>
                <w:b/>
                <w:sz w:val="32"/>
                <w:szCs w:val="32"/>
              </w:rPr>
            </w:pPr>
          </w:p>
        </w:tc>
      </w:tr>
      <w:tr w:rsidR="007B76AB" w:rsidRPr="00E527A3" w:rsidTr="00AB6FEF">
        <w:tc>
          <w:tcPr>
            <w:tcW w:w="5778" w:type="dxa"/>
          </w:tcPr>
          <w:p w:rsidR="007B76AB" w:rsidRPr="001E764F" w:rsidRDefault="007B76AB" w:rsidP="00AB6FEF">
            <w:pPr>
              <w:rPr>
                <w:rFonts w:ascii="Arial" w:hAnsi="Arial" w:cs="Arial"/>
                <w:sz w:val="32"/>
                <w:szCs w:val="32"/>
                <w:lang w:val="fr-CA"/>
              </w:rPr>
            </w:pPr>
            <w:r w:rsidRPr="001E764F">
              <w:rPr>
                <w:rFonts w:ascii="Arial" w:hAnsi="Arial" w:cs="Arial"/>
                <w:sz w:val="32"/>
                <w:szCs w:val="32"/>
                <w:lang w:val="fr-CA"/>
              </w:rPr>
              <w:t>Commission des affaires municipales</w:t>
            </w:r>
          </w:p>
          <w:p w:rsidR="007B76AB" w:rsidRPr="001E764F" w:rsidRDefault="007B76AB" w:rsidP="00AB6FEF">
            <w:pPr>
              <w:rPr>
                <w:rFonts w:ascii="Arial" w:hAnsi="Arial" w:cs="Arial"/>
                <w:sz w:val="32"/>
                <w:szCs w:val="32"/>
                <w:lang w:val="fr-CA"/>
              </w:rPr>
            </w:pPr>
            <w:r w:rsidRPr="001E764F">
              <w:rPr>
                <w:rFonts w:ascii="Arial" w:hAnsi="Arial" w:cs="Arial"/>
                <w:sz w:val="32"/>
                <w:szCs w:val="32"/>
                <w:lang w:val="fr-CA"/>
              </w:rPr>
              <w:t>de l’Ontario</w:t>
            </w:r>
          </w:p>
          <w:p w:rsidR="007B76AB" w:rsidRPr="001E764F" w:rsidRDefault="007B76AB" w:rsidP="00AB6FEF">
            <w:pPr>
              <w:rPr>
                <w:rFonts w:ascii="Arial" w:hAnsi="Arial" w:cs="Arial"/>
                <w:sz w:val="32"/>
                <w:szCs w:val="32"/>
                <w:lang w:val="fr-CA"/>
              </w:rPr>
            </w:pPr>
          </w:p>
          <w:p w:rsidR="007B76AB" w:rsidRPr="001E764F" w:rsidRDefault="007B76AB" w:rsidP="00AB6FEF">
            <w:pPr>
              <w:rPr>
                <w:rFonts w:ascii="Arial" w:hAnsi="Arial" w:cs="Arial"/>
                <w:sz w:val="32"/>
                <w:szCs w:val="32"/>
                <w:lang w:val="fr-CA"/>
              </w:rPr>
            </w:pPr>
          </w:p>
        </w:tc>
        <w:tc>
          <w:tcPr>
            <w:tcW w:w="3828" w:type="dxa"/>
            <w:vMerge/>
          </w:tcPr>
          <w:p w:rsidR="007B76AB" w:rsidRPr="001E764F" w:rsidRDefault="007B76AB" w:rsidP="00AB6FEF">
            <w:pPr>
              <w:rPr>
                <w:rFonts w:ascii="Arial" w:hAnsi="Arial" w:cs="Arial"/>
                <w:sz w:val="32"/>
                <w:szCs w:val="32"/>
                <w:lang w:val="fr-CA"/>
              </w:rPr>
            </w:pPr>
          </w:p>
        </w:tc>
      </w:tr>
    </w:tbl>
    <w:p w:rsidR="007B76AB" w:rsidRPr="00D8393F" w:rsidRDefault="007B76AB" w:rsidP="007B76AB">
      <w:pPr>
        <w:rPr>
          <w:rFonts w:ascii="Arial" w:hAnsi="Arial" w:cs="Arial"/>
          <w:sz w:val="32"/>
          <w:szCs w:val="32"/>
          <w:lang w:val="fr-CA"/>
        </w:rPr>
      </w:pPr>
    </w:p>
    <w:tbl>
      <w:tblPr>
        <w:tblpPr w:leftFromText="181" w:rightFromText="181" w:vertAnchor="text" w:horzAnchor="margin" w:tblpY="189"/>
        <w:tblW w:w="9464" w:type="dxa"/>
        <w:tblLook w:val="04A0" w:firstRow="1" w:lastRow="0" w:firstColumn="1" w:lastColumn="0" w:noHBand="0" w:noVBand="1"/>
      </w:tblPr>
      <w:tblGrid>
        <w:gridCol w:w="1818"/>
        <w:gridCol w:w="3960"/>
        <w:gridCol w:w="1843"/>
        <w:gridCol w:w="1843"/>
      </w:tblGrid>
      <w:tr w:rsidR="007B76AB" w:rsidRPr="004704FF" w:rsidTr="00AB6FEF">
        <w:tc>
          <w:tcPr>
            <w:tcW w:w="1818" w:type="dxa"/>
            <w:shd w:val="clear" w:color="auto" w:fill="auto"/>
          </w:tcPr>
          <w:p w:rsidR="007B76AB" w:rsidRPr="004704FF" w:rsidRDefault="007B76AB" w:rsidP="00AB6FEF">
            <w:pPr>
              <w:rPr>
                <w:rFonts w:ascii="Arial" w:hAnsi="Arial" w:cs="Arial"/>
                <w:lang w:val="en-CA"/>
              </w:rPr>
            </w:pPr>
            <w:r w:rsidRPr="004704FF">
              <w:rPr>
                <w:rFonts w:ascii="Arial" w:hAnsi="Arial" w:cs="Arial"/>
                <w:b/>
                <w:lang w:val="en-CA"/>
              </w:rPr>
              <w:t>ISSUE DATE</w:t>
            </w:r>
            <w:r w:rsidRPr="004704FF">
              <w:rPr>
                <w:rFonts w:ascii="Arial" w:hAnsi="Arial" w:cs="Arial"/>
                <w:lang w:val="en-CA"/>
              </w:rPr>
              <w:t>:</w:t>
            </w:r>
          </w:p>
        </w:tc>
        <w:tc>
          <w:tcPr>
            <w:tcW w:w="3960" w:type="dxa"/>
            <w:shd w:val="clear" w:color="auto" w:fill="auto"/>
          </w:tcPr>
          <w:p w:rsidR="007B76AB" w:rsidRPr="00E527A3" w:rsidRDefault="00E527A3" w:rsidP="00AB6FEF">
            <w:pPr>
              <w:rPr>
                <w:rFonts w:ascii="Arial" w:hAnsi="Arial" w:cs="Arial"/>
                <w:lang w:val="en-CA"/>
              </w:rPr>
            </w:pPr>
            <w:r>
              <w:rPr>
                <w:rFonts w:ascii="Arial" w:hAnsi="Arial" w:cs="Arial"/>
                <w:lang w:val="en-CA"/>
              </w:rPr>
              <w:t>August 1, 2017</w:t>
            </w:r>
          </w:p>
        </w:tc>
        <w:tc>
          <w:tcPr>
            <w:tcW w:w="1843" w:type="dxa"/>
            <w:shd w:val="clear" w:color="auto" w:fill="auto"/>
          </w:tcPr>
          <w:p w:rsidR="007B76AB" w:rsidRPr="004704FF" w:rsidRDefault="007B76AB" w:rsidP="00AB6FEF">
            <w:pPr>
              <w:rPr>
                <w:rFonts w:ascii="Arial" w:hAnsi="Arial" w:cs="Arial"/>
                <w:b/>
                <w:lang w:val="en-CA"/>
              </w:rPr>
            </w:pPr>
            <w:r w:rsidRPr="004704FF">
              <w:rPr>
                <w:rFonts w:ascii="Arial" w:hAnsi="Arial" w:cs="Arial"/>
                <w:lang w:val="en-CA"/>
              </w:rPr>
              <w:fldChar w:fldCharType="begin"/>
            </w:r>
            <w:r w:rsidRPr="004704FF">
              <w:rPr>
                <w:rFonts w:ascii="Arial" w:hAnsi="Arial" w:cs="Arial"/>
                <w:lang w:val="en-CA"/>
              </w:rPr>
              <w:instrText xml:space="preserve"> SEQ CHAPTER \h \r 1</w:instrText>
            </w:r>
            <w:r w:rsidRPr="004704FF">
              <w:rPr>
                <w:rFonts w:ascii="Arial" w:hAnsi="Arial" w:cs="Arial"/>
                <w:lang w:val="en-CA"/>
              </w:rPr>
              <w:fldChar w:fldCharType="end"/>
            </w:r>
            <w:r w:rsidRPr="004704FF">
              <w:rPr>
                <w:rFonts w:ascii="Arial" w:hAnsi="Arial" w:cs="Arial"/>
                <w:b/>
                <w:lang w:val="en-CA"/>
              </w:rPr>
              <w:t>CASE NO(S)</w:t>
            </w:r>
            <w:proofErr w:type="gramStart"/>
            <w:r w:rsidRPr="004704FF">
              <w:rPr>
                <w:rFonts w:ascii="Arial" w:hAnsi="Arial" w:cs="Arial"/>
                <w:b/>
                <w:lang w:val="en-CA"/>
              </w:rPr>
              <w:t>.:</w:t>
            </w:r>
            <w:proofErr w:type="gramEnd"/>
          </w:p>
        </w:tc>
        <w:tc>
          <w:tcPr>
            <w:tcW w:w="1843" w:type="dxa"/>
            <w:shd w:val="clear" w:color="auto" w:fill="auto"/>
            <w:vAlign w:val="center"/>
          </w:tcPr>
          <w:p w:rsidR="007B76AB" w:rsidRPr="004704FF" w:rsidRDefault="008A41DC" w:rsidP="00AB6FEF">
            <w:pPr>
              <w:jc w:val="center"/>
              <w:rPr>
                <w:rFonts w:ascii="Arial" w:hAnsi="Arial" w:cs="Arial"/>
                <w:lang w:val="en-CA"/>
              </w:rPr>
            </w:pPr>
            <w:r>
              <w:rPr>
                <w:rFonts w:ascii="Arial" w:hAnsi="Arial" w:cs="Arial"/>
                <w:lang w:val="en-CA"/>
              </w:rPr>
              <w:t>PL170076</w:t>
            </w:r>
          </w:p>
        </w:tc>
      </w:tr>
    </w:tbl>
    <w:p w:rsidR="007B76AB" w:rsidRDefault="007B76AB" w:rsidP="007B76AB">
      <w:pPr>
        <w:pStyle w:val="Header"/>
        <w:tabs>
          <w:tab w:val="left" w:pos="720"/>
        </w:tabs>
        <w:rPr>
          <w:rFonts w:ascii="Arial" w:hAnsi="Arial" w:cs="Arial"/>
          <w:b/>
          <w:lang w:val="en-CA"/>
        </w:rPr>
      </w:pPr>
    </w:p>
    <w:p w:rsidR="00397A2C" w:rsidRDefault="00397A2C" w:rsidP="007B76AB">
      <w:pPr>
        <w:pStyle w:val="Header"/>
        <w:tabs>
          <w:tab w:val="left" w:pos="720"/>
        </w:tabs>
        <w:rPr>
          <w:rFonts w:ascii="Arial" w:hAnsi="Arial" w:cs="Arial"/>
          <w:b/>
          <w:lang w:val="en-CA"/>
        </w:rPr>
      </w:pPr>
    </w:p>
    <w:tbl>
      <w:tblPr>
        <w:tblW w:w="10068" w:type="dxa"/>
        <w:tblLook w:val="0000" w:firstRow="0" w:lastRow="0" w:firstColumn="0" w:lastColumn="0" w:noHBand="0" w:noVBand="0"/>
      </w:tblPr>
      <w:tblGrid>
        <w:gridCol w:w="3468"/>
        <w:gridCol w:w="6600"/>
      </w:tblGrid>
      <w:tr w:rsidR="008A41DC" w:rsidRPr="008A41DC" w:rsidTr="006C545C">
        <w:trPr>
          <w:cantSplit/>
          <w:trHeight w:val="732"/>
        </w:trPr>
        <w:tc>
          <w:tcPr>
            <w:tcW w:w="10068" w:type="dxa"/>
            <w:gridSpan w:val="2"/>
          </w:tcPr>
          <w:p w:rsidR="008A41DC" w:rsidRPr="008A41DC" w:rsidRDefault="008A41DC" w:rsidP="006C545C">
            <w:pPr>
              <w:rPr>
                <w:rFonts w:ascii="Arial" w:hAnsi="Arial" w:cs="Arial"/>
              </w:rPr>
            </w:pPr>
            <w:r w:rsidRPr="008A41DC">
              <w:rPr>
                <w:rFonts w:ascii="Arial" w:hAnsi="Arial" w:cs="Arial"/>
                <w:b/>
              </w:rPr>
              <w:t xml:space="preserve">PROCEEDING COMMENCED UNDER </w:t>
            </w:r>
            <w:r w:rsidRPr="008A41DC">
              <w:rPr>
                <w:rFonts w:ascii="Arial" w:hAnsi="Arial" w:cs="Arial"/>
              </w:rPr>
              <w:t xml:space="preserve">subsection 34(11) of the </w:t>
            </w:r>
            <w:r w:rsidRPr="008A41DC">
              <w:rPr>
                <w:rFonts w:ascii="Arial" w:hAnsi="Arial" w:cs="Arial"/>
                <w:i/>
              </w:rPr>
              <w:t>Planning Act</w:t>
            </w:r>
            <w:r w:rsidRPr="008A41DC">
              <w:rPr>
                <w:rFonts w:ascii="Arial" w:hAnsi="Arial" w:cs="Arial"/>
              </w:rPr>
              <w:t>, R.S.O. 1990, c. P.13, as amended</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Applicant and Appellant:</w:t>
            </w:r>
          </w:p>
        </w:tc>
        <w:tc>
          <w:tcPr>
            <w:tcW w:w="6600" w:type="dxa"/>
          </w:tcPr>
          <w:p w:rsidR="008A41DC" w:rsidRPr="008A41DC" w:rsidRDefault="008A41DC" w:rsidP="001D5927">
            <w:pPr>
              <w:ind w:left="785"/>
              <w:rPr>
                <w:rFonts w:ascii="Arial" w:hAnsi="Arial" w:cs="Arial"/>
              </w:rPr>
            </w:pPr>
            <w:r w:rsidRPr="008A41DC">
              <w:rPr>
                <w:rFonts w:ascii="Arial" w:hAnsi="Arial" w:cs="Arial"/>
              </w:rPr>
              <w:t>Wellington House Inc.</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Subject:</w:t>
            </w:r>
          </w:p>
        </w:tc>
        <w:tc>
          <w:tcPr>
            <w:tcW w:w="6600" w:type="dxa"/>
          </w:tcPr>
          <w:p w:rsidR="008A41DC" w:rsidRPr="008A41DC" w:rsidRDefault="008A41DC" w:rsidP="001D5927">
            <w:pPr>
              <w:ind w:left="785"/>
              <w:rPr>
                <w:rFonts w:ascii="Arial" w:hAnsi="Arial" w:cs="Arial"/>
              </w:rPr>
            </w:pPr>
            <w:r w:rsidRPr="008A41DC">
              <w:rPr>
                <w:rFonts w:ascii="Arial" w:hAnsi="Arial" w:cs="Arial"/>
              </w:rPr>
              <w:t>Application to amend Zoning By-law No. 438-86 - Refusal or neglect of City of Toronto to make a decision</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Existing Zoning:</w:t>
            </w:r>
          </w:p>
        </w:tc>
        <w:tc>
          <w:tcPr>
            <w:tcW w:w="6600" w:type="dxa"/>
          </w:tcPr>
          <w:p w:rsidR="008A41DC" w:rsidRPr="008A41DC" w:rsidRDefault="008A41DC" w:rsidP="001D5927">
            <w:pPr>
              <w:ind w:left="785"/>
              <w:rPr>
                <w:rFonts w:ascii="Arial" w:hAnsi="Arial" w:cs="Arial"/>
              </w:rPr>
            </w:pPr>
            <w:r w:rsidRPr="008A41DC">
              <w:rPr>
                <w:rFonts w:ascii="Arial" w:hAnsi="Arial" w:cs="Arial"/>
              </w:rPr>
              <w:t>RA</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 xml:space="preserve">Proposed Zoning: </w:t>
            </w:r>
          </w:p>
        </w:tc>
        <w:tc>
          <w:tcPr>
            <w:tcW w:w="6600" w:type="dxa"/>
          </w:tcPr>
          <w:p w:rsidR="008A41DC" w:rsidRPr="008A41DC" w:rsidRDefault="008A41DC" w:rsidP="001D5927">
            <w:pPr>
              <w:ind w:left="785"/>
              <w:rPr>
                <w:rFonts w:ascii="Arial" w:hAnsi="Arial" w:cs="Arial"/>
              </w:rPr>
            </w:pPr>
            <w:r w:rsidRPr="008A41DC">
              <w:rPr>
                <w:rFonts w:ascii="Arial" w:hAnsi="Arial" w:cs="Arial"/>
              </w:rPr>
              <w:t>Site Specific (To be determined)</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 xml:space="preserve">Purpose: </w:t>
            </w:r>
          </w:p>
        </w:tc>
        <w:tc>
          <w:tcPr>
            <w:tcW w:w="6600" w:type="dxa"/>
          </w:tcPr>
          <w:p w:rsidR="008A41DC" w:rsidRPr="008A41DC" w:rsidRDefault="008A41DC" w:rsidP="001D5927">
            <w:pPr>
              <w:ind w:left="785"/>
              <w:rPr>
                <w:rFonts w:ascii="Arial" w:hAnsi="Arial" w:cs="Arial"/>
              </w:rPr>
            </w:pPr>
            <w:r w:rsidRPr="008A41DC">
              <w:rPr>
                <w:rFonts w:ascii="Arial" w:hAnsi="Arial" w:cs="Arial"/>
              </w:rPr>
              <w:t>To permit the development of a 23-storey tower containing 1,428 square</w:t>
            </w:r>
            <w:r w:rsidRPr="00D12497">
              <w:rPr>
                <w:rFonts w:ascii="Arial" w:hAnsi="Arial" w:cs="Arial"/>
                <w:lang w:val="en-CA"/>
              </w:rPr>
              <w:t xml:space="preserve"> metres</w:t>
            </w:r>
            <w:r w:rsidRPr="008A41DC">
              <w:rPr>
                <w:rFonts w:ascii="Arial" w:hAnsi="Arial" w:cs="Arial"/>
              </w:rPr>
              <w:t xml:space="preserve"> of office and retail uses and 129 dwellings units</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 xml:space="preserve">Property Address/Description: </w:t>
            </w:r>
          </w:p>
        </w:tc>
        <w:tc>
          <w:tcPr>
            <w:tcW w:w="6600" w:type="dxa"/>
          </w:tcPr>
          <w:p w:rsidR="008A41DC" w:rsidRPr="008A41DC" w:rsidRDefault="008A41DC" w:rsidP="001D5927">
            <w:pPr>
              <w:ind w:left="785"/>
              <w:rPr>
                <w:rFonts w:ascii="Arial" w:hAnsi="Arial" w:cs="Arial"/>
              </w:rPr>
            </w:pPr>
            <w:bookmarkStart w:id="2" w:name="_GoBack"/>
            <w:r w:rsidRPr="008A41DC">
              <w:rPr>
                <w:rFonts w:ascii="Arial" w:hAnsi="Arial" w:cs="Arial"/>
              </w:rPr>
              <w:t>422-424 Wellington Street West</w:t>
            </w:r>
            <w:bookmarkEnd w:id="2"/>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 xml:space="preserve">Municipality: </w:t>
            </w:r>
          </w:p>
        </w:tc>
        <w:tc>
          <w:tcPr>
            <w:tcW w:w="6600" w:type="dxa"/>
          </w:tcPr>
          <w:p w:rsidR="008A41DC" w:rsidRPr="008A41DC" w:rsidRDefault="008A41DC" w:rsidP="001D5927">
            <w:pPr>
              <w:ind w:left="785"/>
              <w:rPr>
                <w:rFonts w:ascii="Arial" w:hAnsi="Arial" w:cs="Arial"/>
              </w:rPr>
            </w:pPr>
            <w:r w:rsidRPr="008A41DC">
              <w:rPr>
                <w:rFonts w:ascii="Arial" w:hAnsi="Arial" w:cs="Arial"/>
              </w:rPr>
              <w:t>City of Toronto</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 xml:space="preserve">Municipality File No.: </w:t>
            </w:r>
          </w:p>
        </w:tc>
        <w:tc>
          <w:tcPr>
            <w:tcW w:w="6600" w:type="dxa"/>
          </w:tcPr>
          <w:p w:rsidR="008A41DC" w:rsidRPr="008A41DC" w:rsidRDefault="008A41DC" w:rsidP="001D5927">
            <w:pPr>
              <w:ind w:left="785"/>
              <w:rPr>
                <w:rFonts w:ascii="Arial" w:hAnsi="Arial" w:cs="Arial"/>
              </w:rPr>
            </w:pPr>
            <w:r w:rsidRPr="008A41DC">
              <w:rPr>
                <w:rFonts w:ascii="Arial" w:hAnsi="Arial" w:cs="Arial"/>
              </w:rPr>
              <w:t>16 213925 STE 20 OZ</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 xml:space="preserve">OMB Case No.: </w:t>
            </w:r>
          </w:p>
        </w:tc>
        <w:tc>
          <w:tcPr>
            <w:tcW w:w="6600" w:type="dxa"/>
          </w:tcPr>
          <w:p w:rsidR="008A41DC" w:rsidRPr="008A41DC" w:rsidRDefault="008A41DC" w:rsidP="001D5927">
            <w:pPr>
              <w:ind w:left="785"/>
              <w:rPr>
                <w:rFonts w:ascii="Arial" w:hAnsi="Arial" w:cs="Arial"/>
              </w:rPr>
            </w:pPr>
            <w:r w:rsidRPr="008A41DC">
              <w:rPr>
                <w:rFonts w:ascii="Arial" w:hAnsi="Arial" w:cs="Arial"/>
              </w:rPr>
              <w:t>PL170076</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 xml:space="preserve">OMB File No.: </w:t>
            </w:r>
          </w:p>
        </w:tc>
        <w:tc>
          <w:tcPr>
            <w:tcW w:w="6600" w:type="dxa"/>
          </w:tcPr>
          <w:p w:rsidR="008A41DC" w:rsidRPr="008A41DC" w:rsidRDefault="008A41DC" w:rsidP="001D5927">
            <w:pPr>
              <w:ind w:left="785"/>
              <w:rPr>
                <w:rFonts w:ascii="Arial" w:hAnsi="Arial" w:cs="Arial"/>
              </w:rPr>
            </w:pPr>
            <w:r w:rsidRPr="008A41DC">
              <w:rPr>
                <w:rFonts w:ascii="Arial" w:hAnsi="Arial" w:cs="Arial"/>
              </w:rPr>
              <w:t>PL170076</w:t>
            </w:r>
          </w:p>
        </w:tc>
      </w:tr>
      <w:tr w:rsidR="008A41DC" w:rsidRPr="008A41DC" w:rsidTr="006C545C">
        <w:tc>
          <w:tcPr>
            <w:tcW w:w="3468" w:type="dxa"/>
          </w:tcPr>
          <w:p w:rsidR="008A41DC" w:rsidRPr="008A41DC" w:rsidRDefault="008A41DC" w:rsidP="006C545C">
            <w:pPr>
              <w:rPr>
                <w:rFonts w:ascii="Arial" w:hAnsi="Arial" w:cs="Arial"/>
              </w:rPr>
            </w:pPr>
            <w:r w:rsidRPr="008A41DC">
              <w:rPr>
                <w:rFonts w:ascii="Arial" w:hAnsi="Arial" w:cs="Arial"/>
              </w:rPr>
              <w:t xml:space="preserve">OMB Case Name: </w:t>
            </w:r>
          </w:p>
        </w:tc>
        <w:tc>
          <w:tcPr>
            <w:tcW w:w="6600" w:type="dxa"/>
          </w:tcPr>
          <w:p w:rsidR="008A41DC" w:rsidRPr="008A41DC" w:rsidRDefault="008A41DC" w:rsidP="001D5927">
            <w:pPr>
              <w:ind w:left="785"/>
              <w:rPr>
                <w:rFonts w:ascii="Arial" w:hAnsi="Arial" w:cs="Arial"/>
              </w:rPr>
            </w:pPr>
            <w:r w:rsidRPr="008A41DC">
              <w:rPr>
                <w:rFonts w:ascii="Arial" w:hAnsi="Arial" w:cs="Arial"/>
              </w:rPr>
              <w:t>Wellington House Inc. v. Toronto (City)</w:t>
            </w:r>
          </w:p>
        </w:tc>
      </w:tr>
    </w:tbl>
    <w:p w:rsidR="003918DD" w:rsidRDefault="003918DD" w:rsidP="007B76AB">
      <w:pPr>
        <w:rPr>
          <w:rFonts w:ascii="Arial" w:hAnsi="Arial" w:cs="Arial"/>
          <w:lang w:val="en-CA"/>
        </w:rPr>
      </w:pPr>
    </w:p>
    <w:p w:rsidR="00397A2C" w:rsidRDefault="00397A2C" w:rsidP="007B76AB">
      <w:pPr>
        <w:rPr>
          <w:rFonts w:ascii="Arial" w:hAnsi="Arial" w:cs="Arial"/>
          <w:lang w:val="en-CA"/>
        </w:rPr>
      </w:pPr>
    </w:p>
    <w:tbl>
      <w:tblPr>
        <w:tblpPr w:leftFromText="180" w:rightFromText="180" w:vertAnchor="text" w:horzAnchor="margin" w:tblpY="-70"/>
        <w:tblW w:w="9464" w:type="dxa"/>
        <w:tblLook w:val="0000" w:firstRow="0" w:lastRow="0" w:firstColumn="0" w:lastColumn="0" w:noHBand="0" w:noVBand="0"/>
      </w:tblPr>
      <w:tblGrid>
        <w:gridCol w:w="4248"/>
        <w:gridCol w:w="5216"/>
      </w:tblGrid>
      <w:tr w:rsidR="007B76AB" w:rsidRPr="005A767F" w:rsidTr="00AB6FEF">
        <w:tc>
          <w:tcPr>
            <w:tcW w:w="4248" w:type="dxa"/>
          </w:tcPr>
          <w:p w:rsidR="007B76AB" w:rsidRPr="005A767F" w:rsidRDefault="007B76AB" w:rsidP="00AB6FEF">
            <w:pPr>
              <w:rPr>
                <w:rFonts w:ascii="Arial" w:hAnsi="Arial" w:cs="Arial"/>
              </w:rPr>
            </w:pPr>
            <w:r>
              <w:rPr>
                <w:rFonts w:ascii="Arial" w:hAnsi="Arial" w:cs="Arial"/>
              </w:rPr>
              <w:t>Heard:</w:t>
            </w:r>
          </w:p>
        </w:tc>
        <w:tc>
          <w:tcPr>
            <w:tcW w:w="5216" w:type="dxa"/>
          </w:tcPr>
          <w:p w:rsidR="007B76AB" w:rsidRPr="005A767F" w:rsidRDefault="008A41DC" w:rsidP="008A41DC">
            <w:pPr>
              <w:rPr>
                <w:rFonts w:ascii="Arial" w:hAnsi="Arial" w:cs="Arial"/>
              </w:rPr>
            </w:pPr>
            <w:r>
              <w:rPr>
                <w:rFonts w:ascii="Arial" w:hAnsi="Arial" w:cs="Arial"/>
              </w:rPr>
              <w:t>July 27, 2017 in Toronto,</w:t>
            </w:r>
            <w:r w:rsidR="007B76AB">
              <w:rPr>
                <w:rFonts w:ascii="Arial" w:hAnsi="Arial" w:cs="Arial"/>
              </w:rPr>
              <w:t xml:space="preserve"> Ontario</w:t>
            </w:r>
          </w:p>
        </w:tc>
      </w:tr>
    </w:tbl>
    <w:p w:rsidR="007B76AB" w:rsidRPr="007C245D" w:rsidRDefault="007B76AB" w:rsidP="007B76AB">
      <w:pPr>
        <w:rPr>
          <w:vanish/>
        </w:rPr>
      </w:pPr>
    </w:p>
    <w:tbl>
      <w:tblPr>
        <w:tblW w:w="9464" w:type="dxa"/>
        <w:tblLook w:val="0000" w:firstRow="0" w:lastRow="0" w:firstColumn="0" w:lastColumn="0" w:noHBand="0" w:noVBand="0"/>
      </w:tblPr>
      <w:tblGrid>
        <w:gridCol w:w="4248"/>
        <w:gridCol w:w="5216"/>
      </w:tblGrid>
      <w:tr w:rsidR="007B76AB" w:rsidRPr="004704FF" w:rsidTr="00AB6FEF">
        <w:tc>
          <w:tcPr>
            <w:tcW w:w="4248" w:type="dxa"/>
          </w:tcPr>
          <w:p w:rsidR="00397A2C" w:rsidRDefault="00397A2C" w:rsidP="00AB6FEF">
            <w:pPr>
              <w:rPr>
                <w:rFonts w:ascii="Arial" w:hAnsi="Arial" w:cs="Arial"/>
                <w:b/>
                <w:lang w:val="en-CA"/>
              </w:rPr>
            </w:pPr>
          </w:p>
          <w:p w:rsidR="007B76AB" w:rsidRPr="004704FF" w:rsidRDefault="007B76AB" w:rsidP="00AB6FEF">
            <w:pPr>
              <w:rPr>
                <w:rFonts w:ascii="Arial" w:hAnsi="Arial" w:cs="Arial"/>
                <w:b/>
                <w:u w:val="single"/>
                <w:lang w:val="en-CA"/>
              </w:rPr>
            </w:pPr>
            <w:r w:rsidRPr="004704FF">
              <w:rPr>
                <w:rFonts w:ascii="Arial" w:hAnsi="Arial" w:cs="Arial"/>
                <w:b/>
                <w:lang w:val="en-CA"/>
              </w:rPr>
              <w:t>APPEARANCES:</w:t>
            </w:r>
          </w:p>
        </w:tc>
        <w:tc>
          <w:tcPr>
            <w:tcW w:w="5216" w:type="dxa"/>
          </w:tcPr>
          <w:p w:rsidR="007B76AB" w:rsidRPr="004704FF" w:rsidRDefault="007B76AB" w:rsidP="00AB6FEF">
            <w:pPr>
              <w:tabs>
                <w:tab w:val="left" w:pos="3402"/>
              </w:tabs>
              <w:rPr>
                <w:rFonts w:ascii="Arial" w:hAnsi="Arial" w:cs="Arial"/>
                <w:b/>
                <w:u w:val="single"/>
                <w:lang w:val="en-CA"/>
              </w:rPr>
            </w:pPr>
          </w:p>
        </w:tc>
      </w:tr>
      <w:tr w:rsidR="007B76AB" w:rsidRPr="004704FF" w:rsidTr="00AB6FEF">
        <w:tc>
          <w:tcPr>
            <w:tcW w:w="4248" w:type="dxa"/>
          </w:tcPr>
          <w:p w:rsidR="007B76AB" w:rsidRPr="004704FF" w:rsidRDefault="007B76AB" w:rsidP="00AB6FEF">
            <w:pPr>
              <w:tabs>
                <w:tab w:val="left" w:pos="3402"/>
              </w:tabs>
              <w:rPr>
                <w:rFonts w:ascii="Arial" w:hAnsi="Arial" w:cs="Arial"/>
                <w:b/>
                <w:u w:val="single"/>
                <w:lang w:val="en-CA"/>
              </w:rPr>
            </w:pPr>
          </w:p>
        </w:tc>
        <w:tc>
          <w:tcPr>
            <w:tcW w:w="5216" w:type="dxa"/>
          </w:tcPr>
          <w:p w:rsidR="007B76AB" w:rsidRPr="004704FF" w:rsidRDefault="007B76AB" w:rsidP="00AB6FEF">
            <w:pPr>
              <w:tabs>
                <w:tab w:val="left" w:pos="3402"/>
              </w:tabs>
              <w:rPr>
                <w:rFonts w:ascii="Arial" w:hAnsi="Arial" w:cs="Arial"/>
                <w:b/>
                <w:u w:val="single"/>
                <w:lang w:val="en-CA"/>
              </w:rPr>
            </w:pPr>
          </w:p>
        </w:tc>
      </w:tr>
      <w:tr w:rsidR="007B76AB" w:rsidRPr="004704FF" w:rsidTr="00AB6FEF">
        <w:tc>
          <w:tcPr>
            <w:tcW w:w="4248" w:type="dxa"/>
          </w:tcPr>
          <w:p w:rsidR="007B76AB" w:rsidRPr="004704FF" w:rsidRDefault="007B76AB" w:rsidP="00AB6FEF">
            <w:pPr>
              <w:tabs>
                <w:tab w:val="left" w:pos="3402"/>
              </w:tabs>
              <w:rPr>
                <w:rFonts w:ascii="Arial" w:hAnsi="Arial" w:cs="Arial"/>
                <w:b/>
                <w:u w:val="single"/>
                <w:lang w:val="en-CA"/>
              </w:rPr>
            </w:pPr>
            <w:bookmarkStart w:id="3" w:name="Parties"/>
            <w:r w:rsidRPr="004704FF">
              <w:rPr>
                <w:rFonts w:ascii="Arial" w:hAnsi="Arial" w:cs="Arial"/>
                <w:b/>
                <w:u w:val="single"/>
                <w:lang w:val="en-CA"/>
              </w:rPr>
              <w:t>Parties</w:t>
            </w:r>
            <w:bookmarkEnd w:id="3"/>
          </w:p>
        </w:tc>
        <w:tc>
          <w:tcPr>
            <w:tcW w:w="5216" w:type="dxa"/>
          </w:tcPr>
          <w:p w:rsidR="007B76AB" w:rsidRPr="004704FF" w:rsidRDefault="007B76AB" w:rsidP="00AB6FEF">
            <w:pPr>
              <w:tabs>
                <w:tab w:val="left" w:pos="3402"/>
              </w:tabs>
              <w:rPr>
                <w:rFonts w:ascii="Arial" w:hAnsi="Arial" w:cs="Arial"/>
                <w:b/>
                <w:u w:val="single"/>
                <w:lang w:val="en-CA"/>
              </w:rPr>
            </w:pPr>
            <w:bookmarkStart w:id="4" w:name="CounselAgent"/>
            <w:r w:rsidRPr="004704FF">
              <w:rPr>
                <w:rFonts w:ascii="Arial" w:hAnsi="Arial" w:cs="Arial"/>
                <w:b/>
                <w:u w:val="single"/>
                <w:lang w:val="en-CA"/>
              </w:rPr>
              <w:t>Counsel</w:t>
            </w:r>
            <w:bookmarkEnd w:id="4"/>
            <w:r w:rsidR="00EC7649">
              <w:rPr>
                <w:rFonts w:ascii="Arial" w:hAnsi="Arial" w:cs="Arial"/>
                <w:b/>
                <w:u w:val="single"/>
                <w:lang w:val="en-CA"/>
              </w:rPr>
              <w:t>*/Representative</w:t>
            </w:r>
          </w:p>
        </w:tc>
      </w:tr>
      <w:tr w:rsidR="007B76AB" w:rsidRPr="004704FF" w:rsidTr="00AB6FEF">
        <w:tc>
          <w:tcPr>
            <w:tcW w:w="4248" w:type="dxa"/>
          </w:tcPr>
          <w:p w:rsidR="007B76AB" w:rsidRPr="004704FF" w:rsidRDefault="007B76AB" w:rsidP="00AB6FEF">
            <w:pPr>
              <w:pStyle w:val="PartiesCounselAgent"/>
              <w:tabs>
                <w:tab w:val="left" w:pos="3402"/>
              </w:tabs>
              <w:rPr>
                <w:rFonts w:cs="Arial"/>
                <w:lang w:eastAsia="en-CA"/>
              </w:rPr>
            </w:pPr>
          </w:p>
        </w:tc>
        <w:tc>
          <w:tcPr>
            <w:tcW w:w="5216" w:type="dxa"/>
          </w:tcPr>
          <w:p w:rsidR="007B76AB" w:rsidRPr="004704FF" w:rsidRDefault="007B76AB" w:rsidP="00AB6FEF">
            <w:pPr>
              <w:pStyle w:val="PartiesCounselAgent"/>
              <w:tabs>
                <w:tab w:val="left" w:pos="3402"/>
              </w:tabs>
              <w:rPr>
                <w:rFonts w:cs="Arial"/>
                <w:lang w:eastAsia="en-CA"/>
              </w:rPr>
            </w:pPr>
          </w:p>
        </w:tc>
      </w:tr>
      <w:tr w:rsidR="007B76AB" w:rsidRPr="004704FF" w:rsidTr="00AB6FEF">
        <w:tc>
          <w:tcPr>
            <w:tcW w:w="4248" w:type="dxa"/>
          </w:tcPr>
          <w:p w:rsidR="007B76AB" w:rsidRPr="004704FF" w:rsidRDefault="003E4024" w:rsidP="00AB6FEF">
            <w:pPr>
              <w:pStyle w:val="PartiesCounselAgent"/>
              <w:tabs>
                <w:tab w:val="left" w:pos="3402"/>
              </w:tabs>
              <w:rPr>
                <w:rFonts w:cs="Arial"/>
              </w:rPr>
            </w:pPr>
            <w:r>
              <w:rPr>
                <w:rFonts w:cs="Arial"/>
              </w:rPr>
              <w:t>Wellington House Inc.</w:t>
            </w:r>
          </w:p>
        </w:tc>
        <w:tc>
          <w:tcPr>
            <w:tcW w:w="5216" w:type="dxa"/>
          </w:tcPr>
          <w:p w:rsidR="007B76AB" w:rsidRDefault="003E4024" w:rsidP="00AB6FEF">
            <w:pPr>
              <w:pStyle w:val="PartiesCounselAgent"/>
              <w:tabs>
                <w:tab w:val="left" w:pos="3402"/>
              </w:tabs>
              <w:rPr>
                <w:rFonts w:cs="Arial"/>
              </w:rPr>
            </w:pPr>
            <w:r>
              <w:rPr>
                <w:rFonts w:cs="Arial"/>
              </w:rPr>
              <w:t>K. Kovar</w:t>
            </w:r>
            <w:r w:rsidR="00EC7649">
              <w:rPr>
                <w:rFonts w:cs="Arial"/>
              </w:rPr>
              <w:t>*</w:t>
            </w:r>
          </w:p>
          <w:p w:rsidR="00EC7649" w:rsidRPr="004704FF" w:rsidRDefault="00EC7649" w:rsidP="00AB6FEF">
            <w:pPr>
              <w:pStyle w:val="PartiesCounselAgent"/>
              <w:tabs>
                <w:tab w:val="left" w:pos="3402"/>
              </w:tabs>
              <w:rPr>
                <w:rFonts w:cs="Arial"/>
              </w:rPr>
            </w:pPr>
            <w:r>
              <w:rPr>
                <w:rFonts w:cs="Arial"/>
              </w:rPr>
              <w:t>A. Skinner*</w:t>
            </w:r>
          </w:p>
        </w:tc>
      </w:tr>
      <w:tr w:rsidR="007B76AB" w:rsidRPr="004704FF" w:rsidTr="00AB6FEF">
        <w:tc>
          <w:tcPr>
            <w:tcW w:w="4248" w:type="dxa"/>
          </w:tcPr>
          <w:p w:rsidR="007B76AB" w:rsidRDefault="007B76AB" w:rsidP="00AB6FEF">
            <w:pPr>
              <w:tabs>
                <w:tab w:val="left" w:pos="3402"/>
              </w:tabs>
              <w:rPr>
                <w:rFonts w:ascii="Arial" w:hAnsi="Arial" w:cs="Arial"/>
                <w:lang w:val="en-CA" w:eastAsia="en-CA"/>
              </w:rPr>
            </w:pPr>
          </w:p>
          <w:p w:rsidR="003E4024" w:rsidRPr="004704FF" w:rsidRDefault="003E4024" w:rsidP="00AB6FEF">
            <w:pPr>
              <w:tabs>
                <w:tab w:val="left" w:pos="3402"/>
              </w:tabs>
              <w:rPr>
                <w:rFonts w:ascii="Arial" w:hAnsi="Arial" w:cs="Arial"/>
                <w:lang w:val="en-CA" w:eastAsia="en-CA"/>
              </w:rPr>
            </w:pPr>
            <w:r>
              <w:rPr>
                <w:rFonts w:ascii="Arial" w:hAnsi="Arial" w:cs="Arial"/>
                <w:lang w:val="en-CA" w:eastAsia="en-CA"/>
              </w:rPr>
              <w:t>City of Toronto</w:t>
            </w:r>
          </w:p>
        </w:tc>
        <w:tc>
          <w:tcPr>
            <w:tcW w:w="5216" w:type="dxa"/>
          </w:tcPr>
          <w:p w:rsidR="007B76AB" w:rsidRDefault="007B76AB" w:rsidP="00AB6FEF">
            <w:pPr>
              <w:pStyle w:val="PartiesCounselAgent"/>
              <w:tabs>
                <w:tab w:val="left" w:pos="3402"/>
              </w:tabs>
              <w:rPr>
                <w:rFonts w:cs="Arial"/>
              </w:rPr>
            </w:pPr>
          </w:p>
          <w:p w:rsidR="003E4024" w:rsidRPr="004704FF" w:rsidRDefault="00EC7649" w:rsidP="00EC7649">
            <w:pPr>
              <w:pStyle w:val="PartiesCounselAgent"/>
              <w:tabs>
                <w:tab w:val="left" w:pos="3402"/>
              </w:tabs>
              <w:rPr>
                <w:rFonts w:cs="Arial"/>
              </w:rPr>
            </w:pPr>
            <w:r>
              <w:rPr>
                <w:rFonts w:cs="Arial"/>
              </w:rPr>
              <w:t>A. Moscovich*</w:t>
            </w:r>
          </w:p>
        </w:tc>
      </w:tr>
      <w:tr w:rsidR="00EC7649" w:rsidRPr="004704FF" w:rsidTr="00AB6FEF">
        <w:tc>
          <w:tcPr>
            <w:tcW w:w="4248" w:type="dxa"/>
          </w:tcPr>
          <w:p w:rsidR="00EC7649" w:rsidRDefault="00EC7649" w:rsidP="00AB6FEF">
            <w:pPr>
              <w:tabs>
                <w:tab w:val="left" w:pos="3402"/>
              </w:tabs>
              <w:rPr>
                <w:rFonts w:ascii="Arial" w:hAnsi="Arial" w:cs="Arial"/>
                <w:lang w:val="en-CA" w:eastAsia="en-CA"/>
              </w:rPr>
            </w:pPr>
          </w:p>
          <w:p w:rsidR="001D5927" w:rsidRDefault="001D5927" w:rsidP="00AB6FEF">
            <w:pPr>
              <w:tabs>
                <w:tab w:val="left" w:pos="3402"/>
              </w:tabs>
              <w:rPr>
                <w:rFonts w:ascii="Arial" w:hAnsi="Arial" w:cs="Arial"/>
                <w:lang w:val="en-CA" w:eastAsia="en-CA"/>
              </w:rPr>
            </w:pPr>
          </w:p>
          <w:p w:rsidR="00EC7649" w:rsidRDefault="00EC7649" w:rsidP="00AB6FEF">
            <w:pPr>
              <w:tabs>
                <w:tab w:val="left" w:pos="3402"/>
              </w:tabs>
              <w:rPr>
                <w:rFonts w:ascii="Arial" w:hAnsi="Arial" w:cs="Arial"/>
                <w:lang w:val="en-CA" w:eastAsia="en-CA"/>
              </w:rPr>
            </w:pPr>
            <w:r>
              <w:rPr>
                <w:rFonts w:ascii="Arial" w:hAnsi="Arial" w:cs="Arial"/>
                <w:lang w:val="en-CA" w:eastAsia="en-CA"/>
              </w:rPr>
              <w:lastRenderedPageBreak/>
              <w:t>Wellington Place Neighbourhood Association</w:t>
            </w:r>
          </w:p>
        </w:tc>
        <w:tc>
          <w:tcPr>
            <w:tcW w:w="5216" w:type="dxa"/>
          </w:tcPr>
          <w:p w:rsidR="00EC7649" w:rsidRDefault="00EC7649" w:rsidP="00AB6FEF">
            <w:pPr>
              <w:pStyle w:val="PartiesCounselAgent"/>
              <w:tabs>
                <w:tab w:val="left" w:pos="3402"/>
              </w:tabs>
              <w:rPr>
                <w:rFonts w:cs="Arial"/>
              </w:rPr>
            </w:pPr>
          </w:p>
          <w:p w:rsidR="001D5927" w:rsidRDefault="001D5927" w:rsidP="00AB6FEF">
            <w:pPr>
              <w:pStyle w:val="PartiesCounselAgent"/>
              <w:tabs>
                <w:tab w:val="left" w:pos="3402"/>
              </w:tabs>
              <w:rPr>
                <w:rFonts w:cs="Arial"/>
              </w:rPr>
            </w:pPr>
          </w:p>
          <w:p w:rsidR="00EC7649" w:rsidRDefault="00EC7649" w:rsidP="00AB6FEF">
            <w:pPr>
              <w:pStyle w:val="PartiesCounselAgent"/>
              <w:tabs>
                <w:tab w:val="left" w:pos="3402"/>
              </w:tabs>
              <w:rPr>
                <w:rFonts w:cs="Arial"/>
              </w:rPr>
            </w:pPr>
            <w:r>
              <w:rPr>
                <w:rFonts w:cs="Arial"/>
              </w:rPr>
              <w:lastRenderedPageBreak/>
              <w:t>A. Biggart*</w:t>
            </w:r>
          </w:p>
        </w:tc>
      </w:tr>
      <w:tr w:rsidR="00EC7649" w:rsidRPr="004704FF" w:rsidTr="00AB6FEF">
        <w:tc>
          <w:tcPr>
            <w:tcW w:w="4248" w:type="dxa"/>
          </w:tcPr>
          <w:p w:rsidR="00EC7649" w:rsidRDefault="00EC7649" w:rsidP="00AB6FEF">
            <w:pPr>
              <w:tabs>
                <w:tab w:val="left" w:pos="3402"/>
              </w:tabs>
              <w:rPr>
                <w:rFonts w:ascii="Arial" w:hAnsi="Arial" w:cs="Arial"/>
                <w:lang w:val="en-CA" w:eastAsia="en-CA"/>
              </w:rPr>
            </w:pPr>
          </w:p>
          <w:p w:rsidR="00EC7649" w:rsidRDefault="00EC7649" w:rsidP="00AB6FEF">
            <w:pPr>
              <w:tabs>
                <w:tab w:val="left" w:pos="3402"/>
              </w:tabs>
              <w:rPr>
                <w:rFonts w:ascii="Arial" w:hAnsi="Arial" w:cs="Arial"/>
                <w:lang w:val="en-CA" w:eastAsia="en-CA"/>
              </w:rPr>
            </w:pPr>
            <w:r>
              <w:rPr>
                <w:rFonts w:ascii="Arial" w:hAnsi="Arial" w:cs="Arial"/>
                <w:lang w:val="en-CA" w:eastAsia="en-CA"/>
              </w:rPr>
              <w:t>432 Wellington Street West Holdings Inc.</w:t>
            </w:r>
          </w:p>
        </w:tc>
        <w:tc>
          <w:tcPr>
            <w:tcW w:w="5216" w:type="dxa"/>
          </w:tcPr>
          <w:p w:rsidR="00EC7649" w:rsidRDefault="00EC7649" w:rsidP="00AB6FEF">
            <w:pPr>
              <w:pStyle w:val="PartiesCounselAgent"/>
              <w:tabs>
                <w:tab w:val="left" w:pos="3402"/>
              </w:tabs>
              <w:rPr>
                <w:rFonts w:cs="Arial"/>
              </w:rPr>
            </w:pPr>
          </w:p>
          <w:p w:rsidR="00EC7649" w:rsidRDefault="00EC7649" w:rsidP="00AB6FEF">
            <w:pPr>
              <w:pStyle w:val="PartiesCounselAgent"/>
              <w:tabs>
                <w:tab w:val="left" w:pos="3402"/>
              </w:tabs>
              <w:rPr>
                <w:rFonts w:cs="Arial"/>
              </w:rPr>
            </w:pPr>
            <w:r>
              <w:rPr>
                <w:rFonts w:cs="Arial"/>
              </w:rPr>
              <w:t>M. Flowers*</w:t>
            </w:r>
          </w:p>
          <w:p w:rsidR="00EC7649" w:rsidRDefault="00EC7649" w:rsidP="00AB6FEF">
            <w:pPr>
              <w:pStyle w:val="PartiesCounselAgent"/>
              <w:tabs>
                <w:tab w:val="left" w:pos="3402"/>
              </w:tabs>
              <w:rPr>
                <w:rFonts w:cs="Arial"/>
              </w:rPr>
            </w:pPr>
            <w:r>
              <w:rPr>
                <w:rFonts w:cs="Arial"/>
              </w:rPr>
              <w:t>A. Margaritis*</w:t>
            </w:r>
          </w:p>
        </w:tc>
      </w:tr>
      <w:tr w:rsidR="00EC7649" w:rsidRPr="004704FF" w:rsidTr="00AB6FEF">
        <w:tc>
          <w:tcPr>
            <w:tcW w:w="4248" w:type="dxa"/>
          </w:tcPr>
          <w:p w:rsidR="00EC7649" w:rsidRDefault="00EC7649" w:rsidP="00AB6FEF">
            <w:pPr>
              <w:tabs>
                <w:tab w:val="left" w:pos="3402"/>
              </w:tabs>
              <w:rPr>
                <w:rFonts w:ascii="Arial" w:hAnsi="Arial" w:cs="Arial"/>
                <w:lang w:val="en-CA" w:eastAsia="en-CA"/>
              </w:rPr>
            </w:pPr>
          </w:p>
          <w:p w:rsidR="00EC7649" w:rsidRDefault="00E858C1" w:rsidP="00166742">
            <w:pPr>
              <w:tabs>
                <w:tab w:val="left" w:pos="3402"/>
              </w:tabs>
              <w:rPr>
                <w:rFonts w:ascii="Arial" w:hAnsi="Arial" w:cs="Arial"/>
                <w:lang w:val="en-CA" w:eastAsia="en-CA"/>
              </w:rPr>
            </w:pPr>
            <w:r>
              <w:rPr>
                <w:rFonts w:ascii="Arial" w:hAnsi="Arial" w:cs="Arial"/>
                <w:lang w:val="en-CA" w:eastAsia="en-CA"/>
              </w:rPr>
              <w:t>Mart</w:t>
            </w:r>
            <w:r w:rsidR="00166742">
              <w:rPr>
                <w:rFonts w:ascii="Arial" w:hAnsi="Arial" w:cs="Arial"/>
                <w:lang w:val="en-CA" w:eastAsia="en-CA"/>
              </w:rPr>
              <w:t>y</w:t>
            </w:r>
            <w:r>
              <w:rPr>
                <w:rFonts w:ascii="Arial" w:hAnsi="Arial" w:cs="Arial"/>
                <w:lang w:val="en-CA" w:eastAsia="en-CA"/>
              </w:rPr>
              <w:t>n</w:t>
            </w:r>
            <w:r w:rsidR="00EC7649">
              <w:rPr>
                <w:rFonts w:ascii="Arial" w:hAnsi="Arial" w:cs="Arial"/>
                <w:lang w:val="en-CA" w:eastAsia="en-CA"/>
              </w:rPr>
              <w:t xml:space="preserve"> </w:t>
            </w:r>
            <w:proofErr w:type="spellStart"/>
            <w:r w:rsidR="00EC7649">
              <w:rPr>
                <w:rFonts w:ascii="Arial" w:hAnsi="Arial" w:cs="Arial"/>
                <w:lang w:val="en-CA" w:eastAsia="en-CA"/>
              </w:rPr>
              <w:t>Stollar</w:t>
            </w:r>
            <w:proofErr w:type="spellEnd"/>
          </w:p>
        </w:tc>
        <w:tc>
          <w:tcPr>
            <w:tcW w:w="5216" w:type="dxa"/>
          </w:tcPr>
          <w:p w:rsidR="00EC7649" w:rsidRDefault="00EC7649" w:rsidP="00AB6FEF">
            <w:pPr>
              <w:pStyle w:val="PartiesCounselAgent"/>
              <w:tabs>
                <w:tab w:val="left" w:pos="3402"/>
              </w:tabs>
              <w:rPr>
                <w:rFonts w:cs="Arial"/>
              </w:rPr>
            </w:pPr>
          </w:p>
          <w:p w:rsidR="00EC7649" w:rsidRDefault="00EC7649" w:rsidP="00AB6FEF">
            <w:pPr>
              <w:pStyle w:val="PartiesCounselAgent"/>
              <w:tabs>
                <w:tab w:val="left" w:pos="3402"/>
              </w:tabs>
              <w:rPr>
                <w:rFonts w:cs="Arial"/>
              </w:rPr>
            </w:pPr>
            <w:r>
              <w:rPr>
                <w:rFonts w:cs="Arial"/>
              </w:rPr>
              <w:t>Self-represented</w:t>
            </w:r>
          </w:p>
        </w:tc>
      </w:tr>
    </w:tbl>
    <w:p w:rsidR="007B76AB" w:rsidRDefault="007B76AB" w:rsidP="007B76AB">
      <w:pPr>
        <w:pStyle w:val="DecisionDeliveredby"/>
        <w:pBdr>
          <w:bottom w:val="single" w:sz="4" w:space="1" w:color="auto"/>
        </w:pBdr>
        <w:rPr>
          <w:rFonts w:cs="Arial"/>
        </w:rPr>
      </w:pPr>
    </w:p>
    <w:p w:rsidR="001D5927" w:rsidRDefault="001D5927" w:rsidP="007B76AB">
      <w:pPr>
        <w:pStyle w:val="DecisionDeliveredby"/>
        <w:pBdr>
          <w:bottom w:val="single" w:sz="4" w:space="1" w:color="auto"/>
        </w:pBdr>
        <w:rPr>
          <w:rFonts w:cs="Arial"/>
        </w:rPr>
      </w:pPr>
    </w:p>
    <w:p w:rsidR="007B76AB" w:rsidRDefault="007B76AB" w:rsidP="007B76AB">
      <w:pPr>
        <w:pStyle w:val="DecisionDeliveredby"/>
        <w:pBdr>
          <w:bottom w:val="single" w:sz="4" w:space="1" w:color="auto"/>
        </w:pBdr>
        <w:rPr>
          <w:rFonts w:cs="Arial"/>
        </w:rPr>
      </w:pPr>
      <w:r w:rsidRPr="00EC7649">
        <w:rPr>
          <w:rFonts w:cs="Arial"/>
        </w:rPr>
        <w:t>MEM</w:t>
      </w:r>
      <w:r w:rsidRPr="004704FF">
        <w:rPr>
          <w:rFonts w:cs="Arial"/>
        </w:rPr>
        <w:t xml:space="preserve">ORANDUM OF ORAL DECISION DELIVERED BY SUSAN de AVELLAR SCHILLER </w:t>
      </w:r>
      <w:r>
        <w:rPr>
          <w:rFonts w:cs="Arial"/>
        </w:rPr>
        <w:t xml:space="preserve">ON </w:t>
      </w:r>
      <w:r w:rsidR="00EC7649">
        <w:rPr>
          <w:rFonts w:cs="Arial"/>
        </w:rPr>
        <w:t>JULY 27, 2017</w:t>
      </w:r>
      <w:r w:rsidRPr="004704FF">
        <w:rPr>
          <w:rFonts w:cs="Arial"/>
        </w:rPr>
        <w:t xml:space="preserve"> AND</w:t>
      </w:r>
      <w:r>
        <w:rPr>
          <w:rFonts w:cs="Arial"/>
        </w:rPr>
        <w:t xml:space="preserve"> ORDER OF THE BOARD</w:t>
      </w:r>
    </w:p>
    <w:p w:rsidR="009D45D2" w:rsidRDefault="009D45D2" w:rsidP="00E4180B">
      <w:pPr>
        <w:pStyle w:val="DecisionDeliveredby"/>
        <w:spacing w:beforeLines="150" w:before="360" w:afterLines="50" w:after="120"/>
        <w:rPr>
          <w:rFonts w:cs="Arial"/>
        </w:rPr>
      </w:pPr>
      <w:r>
        <w:rPr>
          <w:rFonts w:cs="Arial"/>
        </w:rPr>
        <w:t>INTRODUCTION</w:t>
      </w:r>
    </w:p>
    <w:p w:rsidR="007B76AB" w:rsidRPr="004704FF" w:rsidRDefault="009D45D2" w:rsidP="00E4180B">
      <w:pPr>
        <w:pStyle w:val="DecisionDeliveredby"/>
        <w:spacing w:beforeLines="150" w:before="360" w:afterLines="50" w:after="120"/>
        <w:rPr>
          <w:rFonts w:cs="Arial"/>
          <w:b w:val="0"/>
        </w:rPr>
      </w:pPr>
      <w:r>
        <w:rPr>
          <w:rFonts w:cs="Arial"/>
        </w:rPr>
        <w:t>Background</w:t>
      </w:r>
    </w:p>
    <w:p w:rsidR="002E0009" w:rsidRDefault="002E0009" w:rsidP="007B76AB">
      <w:pPr>
        <w:pStyle w:val="DecisionBody"/>
        <w:spacing w:beforeLines="150" w:before="360" w:afterLines="150" w:after="360"/>
        <w:rPr>
          <w:rFonts w:cs="Arial"/>
        </w:rPr>
      </w:pPr>
      <w:r>
        <w:rPr>
          <w:rFonts w:cs="Arial"/>
        </w:rPr>
        <w:t>Wellington House Inc. (“Wellington”) wishes to develop a 23-storey mixed use building at 422-424 Wellington Street West (“Subject Site”) containing commercial and residential uses. In support of this intention, Wellington filed an application for a zoning by-law amendment to permit the development.</w:t>
      </w:r>
    </w:p>
    <w:p w:rsidR="00D00247" w:rsidRDefault="002E0009" w:rsidP="007B76AB">
      <w:pPr>
        <w:pStyle w:val="DecisionBody"/>
        <w:spacing w:beforeLines="150" w:before="360" w:afterLines="150" w:after="360"/>
        <w:rPr>
          <w:rFonts w:cs="Arial"/>
        </w:rPr>
      </w:pPr>
      <w:r>
        <w:rPr>
          <w:rFonts w:cs="Arial"/>
        </w:rPr>
        <w:t>The Subject Site is on the north side of Wellington Street West, west of Spadina Avenue. It is in the West Precinct of the King-Spadina</w:t>
      </w:r>
      <w:r w:rsidR="00C313F7">
        <w:rPr>
          <w:rFonts w:cs="Arial"/>
        </w:rPr>
        <w:t xml:space="preserve"> Secondary Plan area.</w:t>
      </w:r>
      <w:r w:rsidR="00D00247">
        <w:rPr>
          <w:rFonts w:cs="Arial"/>
        </w:rPr>
        <w:t xml:space="preserve"> A semi-detached house form building on the Subject Site is listed in the City of Toronto (“City”) Heritage Register.</w:t>
      </w:r>
    </w:p>
    <w:p w:rsidR="002E0009" w:rsidRDefault="00FA2570" w:rsidP="007B76AB">
      <w:pPr>
        <w:pStyle w:val="DecisionBody"/>
        <w:spacing w:beforeLines="150" w:before="360" w:afterLines="150" w:after="360"/>
        <w:rPr>
          <w:rFonts w:cs="Arial"/>
        </w:rPr>
      </w:pPr>
      <w:r>
        <w:rPr>
          <w:rFonts w:cs="Arial"/>
        </w:rPr>
        <w:t xml:space="preserve">The City has failed to make a decision on the proposal and </w:t>
      </w:r>
      <w:r w:rsidR="00D00247">
        <w:rPr>
          <w:rFonts w:cs="Arial"/>
        </w:rPr>
        <w:t>Wellington has appealed its proposed zoning</w:t>
      </w:r>
      <w:r>
        <w:rPr>
          <w:rFonts w:cs="Arial"/>
        </w:rPr>
        <w:t xml:space="preserve"> by-law amendment to this Board.</w:t>
      </w:r>
    </w:p>
    <w:p w:rsidR="00AC0831" w:rsidRDefault="00AC0831" w:rsidP="007B76AB">
      <w:pPr>
        <w:pStyle w:val="DecisionBody"/>
        <w:spacing w:beforeLines="150" w:before="360" w:afterLines="150" w:after="360"/>
        <w:rPr>
          <w:rFonts w:cs="Arial"/>
        </w:rPr>
      </w:pPr>
      <w:r>
        <w:rPr>
          <w:rFonts w:cs="Arial"/>
        </w:rPr>
        <w:t>This is the first prehearing in this matter.</w:t>
      </w:r>
    </w:p>
    <w:p w:rsidR="009D45D2" w:rsidRPr="009D45D2" w:rsidRDefault="009D45D2" w:rsidP="009D45D2">
      <w:pPr>
        <w:pStyle w:val="DecisionBody"/>
        <w:numPr>
          <w:ilvl w:val="0"/>
          <w:numId w:val="0"/>
        </w:numPr>
        <w:spacing w:beforeLines="150" w:before="360" w:afterLines="150" w:after="360"/>
        <w:rPr>
          <w:rStyle w:val="Strong"/>
        </w:rPr>
      </w:pPr>
      <w:r>
        <w:rPr>
          <w:rStyle w:val="Strong"/>
        </w:rPr>
        <w:t>Addition of Parties and Participant</w:t>
      </w:r>
    </w:p>
    <w:p w:rsidR="002E0009" w:rsidRDefault="00E858C1" w:rsidP="007B76AB">
      <w:pPr>
        <w:pStyle w:val="DecisionBody"/>
        <w:spacing w:beforeLines="150" w:before="360" w:afterLines="150" w:after="360"/>
        <w:rPr>
          <w:rFonts w:cs="Arial"/>
        </w:rPr>
      </w:pPr>
      <w:r>
        <w:rPr>
          <w:rFonts w:cs="Arial"/>
        </w:rPr>
        <w:t>The Board added the following interests as parties to these proceedings:</w:t>
      </w:r>
    </w:p>
    <w:p w:rsidR="00E858C1" w:rsidRDefault="00E858C1" w:rsidP="001D5927">
      <w:pPr>
        <w:pStyle w:val="DecisionBody"/>
        <w:numPr>
          <w:ilvl w:val="1"/>
          <w:numId w:val="11"/>
        </w:numPr>
        <w:spacing w:beforeLines="150" w:before="360" w:afterLines="150" w:after="360"/>
        <w:ind w:left="1134"/>
        <w:rPr>
          <w:rFonts w:cs="Arial"/>
        </w:rPr>
      </w:pPr>
      <w:r>
        <w:rPr>
          <w:rFonts w:cs="Arial"/>
        </w:rPr>
        <w:t>Wellington Place Neighbourhood Association (“WPNA”)</w:t>
      </w:r>
    </w:p>
    <w:p w:rsidR="00E858C1" w:rsidRDefault="00E858C1" w:rsidP="001D5927">
      <w:pPr>
        <w:pStyle w:val="DecisionBody"/>
        <w:numPr>
          <w:ilvl w:val="1"/>
          <w:numId w:val="11"/>
        </w:numPr>
        <w:spacing w:beforeLines="150" w:before="360" w:afterLines="150" w:after="360"/>
        <w:ind w:left="1134"/>
        <w:rPr>
          <w:rFonts w:cs="Arial"/>
        </w:rPr>
      </w:pPr>
      <w:r>
        <w:rPr>
          <w:rFonts w:cs="Arial"/>
        </w:rPr>
        <w:lastRenderedPageBreak/>
        <w:t>432 Wellington Street West Holdings Inc. (“432”)</w:t>
      </w:r>
    </w:p>
    <w:p w:rsidR="00E858C1" w:rsidRDefault="00E858C1" w:rsidP="001D5927">
      <w:pPr>
        <w:pStyle w:val="DecisionBody"/>
        <w:numPr>
          <w:ilvl w:val="1"/>
          <w:numId w:val="11"/>
        </w:numPr>
        <w:spacing w:beforeLines="150" w:before="360" w:afterLines="150" w:after="360"/>
        <w:ind w:left="1134"/>
        <w:rPr>
          <w:rFonts w:cs="Arial"/>
        </w:rPr>
      </w:pPr>
      <w:r>
        <w:rPr>
          <w:rFonts w:cs="Arial"/>
        </w:rPr>
        <w:t>Mart</w:t>
      </w:r>
      <w:r w:rsidR="001D5927">
        <w:rPr>
          <w:rFonts w:cs="Arial"/>
        </w:rPr>
        <w:t>y</w:t>
      </w:r>
      <w:r>
        <w:rPr>
          <w:rFonts w:cs="Arial"/>
        </w:rPr>
        <w:t>n Stollar</w:t>
      </w:r>
    </w:p>
    <w:p w:rsidR="004B6DAF" w:rsidRDefault="004B6DAF" w:rsidP="007B76AB">
      <w:pPr>
        <w:pStyle w:val="DecisionBody"/>
        <w:spacing w:beforeLines="150" w:before="360" w:afterLines="150" w:after="360"/>
        <w:rPr>
          <w:rFonts w:cs="Arial"/>
        </w:rPr>
      </w:pPr>
      <w:r>
        <w:rPr>
          <w:rFonts w:cs="Arial"/>
        </w:rPr>
        <w:t>The Board received one request for participant status and added Gregory Rogers as a participant in these proceedings.</w:t>
      </w:r>
    </w:p>
    <w:p w:rsidR="009D45D2" w:rsidRPr="009D45D2" w:rsidRDefault="009D45D2" w:rsidP="009D45D2">
      <w:pPr>
        <w:pStyle w:val="DecisionBody"/>
        <w:numPr>
          <w:ilvl w:val="0"/>
          <w:numId w:val="0"/>
        </w:numPr>
        <w:spacing w:beforeLines="150" w:before="360" w:afterLines="150" w:after="360"/>
        <w:rPr>
          <w:rStyle w:val="Strong"/>
        </w:rPr>
      </w:pPr>
      <w:r>
        <w:rPr>
          <w:rStyle w:val="Strong"/>
        </w:rPr>
        <w:t xml:space="preserve">Amended </w:t>
      </w:r>
      <w:r w:rsidR="00F72FA7">
        <w:rPr>
          <w:rStyle w:val="Strong"/>
        </w:rPr>
        <w:t>A</w:t>
      </w:r>
      <w:r>
        <w:rPr>
          <w:rStyle w:val="Strong"/>
        </w:rPr>
        <w:t>pplication</w:t>
      </w:r>
    </w:p>
    <w:p w:rsidR="009D45D2" w:rsidRDefault="009D45D2" w:rsidP="009D45D2">
      <w:pPr>
        <w:pStyle w:val="DecisionBody"/>
        <w:spacing w:beforeLines="150" w:before="360" w:afterLines="150" w:after="360"/>
        <w:rPr>
          <w:rFonts w:cs="Arial"/>
        </w:rPr>
      </w:pPr>
      <w:r>
        <w:rPr>
          <w:rFonts w:cs="Arial"/>
        </w:rPr>
        <w:t>The Board was advised that Wellington filed an amended application on July 4, 2017. Counsel for Wellington advised the Board that the proposed 23 storeys have now been reduced to a proposed 19 storeys. The number of residential units has been reduced from 129 to 115 and there has been a reduction in the amount of commercial space being proposed. A level of the garage has been deleted and the number of parking spaces has been reduced from 72 to 35.</w:t>
      </w:r>
    </w:p>
    <w:p w:rsidR="005F7C08" w:rsidRPr="005F7C08" w:rsidRDefault="005F7C08" w:rsidP="005F7C08">
      <w:pPr>
        <w:pStyle w:val="DecisionBody"/>
        <w:spacing w:beforeLines="150" w:before="360" w:afterLines="150" w:after="360"/>
        <w:rPr>
          <w:rFonts w:cs="Arial"/>
        </w:rPr>
      </w:pPr>
      <w:r>
        <w:rPr>
          <w:rFonts w:cs="Arial"/>
        </w:rPr>
        <w:t>While some of the matters in dispute between the parties are known generally, there has been no little opportunity to review the revised proposal and distil of the matters that are generally in dispute into a concise issue list for the hearing.</w:t>
      </w:r>
    </w:p>
    <w:p w:rsidR="00E858C1" w:rsidRDefault="00E858C1" w:rsidP="007B76AB">
      <w:pPr>
        <w:pStyle w:val="DecisionBody"/>
        <w:spacing w:beforeLines="150" w:before="360" w:afterLines="150" w:after="360"/>
        <w:rPr>
          <w:rFonts w:cs="Arial"/>
        </w:rPr>
      </w:pPr>
      <w:r>
        <w:rPr>
          <w:rFonts w:cs="Arial"/>
        </w:rPr>
        <w:t>Mr. Stollar advised the Board that he was in the process of retaining counsel and expected to call an expert planning witness.</w:t>
      </w:r>
    </w:p>
    <w:p w:rsidR="00E858C1" w:rsidRDefault="003F5555" w:rsidP="007B76AB">
      <w:pPr>
        <w:pStyle w:val="DecisionBody"/>
        <w:spacing w:beforeLines="150" w:before="360" w:afterLines="150" w:after="360"/>
        <w:rPr>
          <w:rFonts w:cs="Arial"/>
        </w:rPr>
      </w:pPr>
      <w:r>
        <w:rPr>
          <w:rFonts w:cs="Arial"/>
        </w:rPr>
        <w:t xml:space="preserve">Counsel </w:t>
      </w:r>
      <w:r w:rsidR="00F72FA7">
        <w:rPr>
          <w:rFonts w:cs="Arial"/>
        </w:rPr>
        <w:t>for</w:t>
      </w:r>
      <w:r w:rsidR="00E858C1">
        <w:rPr>
          <w:rFonts w:cs="Arial"/>
        </w:rPr>
        <w:t xml:space="preserve"> 432 indicated that he required further time to discuss the revised proposal with his client and was unable at this appearance to </w:t>
      </w:r>
      <w:r w:rsidR="004B6DAF">
        <w:rPr>
          <w:rFonts w:cs="Arial"/>
        </w:rPr>
        <w:t xml:space="preserve">provide any </w:t>
      </w:r>
      <w:r w:rsidR="00E858C1">
        <w:rPr>
          <w:rFonts w:cs="Arial"/>
        </w:rPr>
        <w:t>advi</w:t>
      </w:r>
      <w:r w:rsidR="004B6DAF">
        <w:rPr>
          <w:rFonts w:cs="Arial"/>
        </w:rPr>
        <w:t>c</w:t>
      </w:r>
      <w:r w:rsidR="00E858C1">
        <w:rPr>
          <w:rFonts w:cs="Arial"/>
        </w:rPr>
        <w:t xml:space="preserve">e </w:t>
      </w:r>
      <w:r w:rsidR="004B6DAF">
        <w:rPr>
          <w:rFonts w:cs="Arial"/>
        </w:rPr>
        <w:t>to the Board regarding the possible number and area of expertise of witnesses he might call.</w:t>
      </w:r>
    </w:p>
    <w:p w:rsidR="00856869" w:rsidRDefault="00856869" w:rsidP="007B76AB">
      <w:pPr>
        <w:pStyle w:val="DecisionBody"/>
        <w:spacing w:beforeLines="150" w:before="360" w:afterLines="150" w:after="360"/>
        <w:rPr>
          <w:rFonts w:cs="Arial"/>
        </w:rPr>
      </w:pPr>
      <w:r>
        <w:rPr>
          <w:rFonts w:cs="Arial"/>
        </w:rPr>
        <w:t xml:space="preserve">The City and </w:t>
      </w:r>
      <w:r>
        <w:rPr>
          <w:rFonts w:cs="Arial"/>
        </w:rPr>
        <w:tab/>
        <w:t xml:space="preserve">WPNA also agreed that it would be appropriate to provide some additional time to consider the revised proposal and refine an </w:t>
      </w:r>
      <w:r w:rsidR="00F72FA7">
        <w:rPr>
          <w:rFonts w:cs="Arial"/>
        </w:rPr>
        <w:t>I</w:t>
      </w:r>
      <w:r>
        <w:rPr>
          <w:rFonts w:cs="Arial"/>
        </w:rPr>
        <w:t xml:space="preserve">ssue </w:t>
      </w:r>
      <w:r w:rsidR="00F72FA7">
        <w:rPr>
          <w:rFonts w:cs="Arial"/>
        </w:rPr>
        <w:t>L</w:t>
      </w:r>
      <w:r>
        <w:rPr>
          <w:rFonts w:cs="Arial"/>
        </w:rPr>
        <w:t>ist.</w:t>
      </w:r>
    </w:p>
    <w:p w:rsidR="004B6DAF" w:rsidRDefault="004B6DAF" w:rsidP="007B76AB">
      <w:pPr>
        <w:pStyle w:val="DecisionBody"/>
        <w:spacing w:beforeLines="150" w:before="360" w:afterLines="150" w:after="360"/>
        <w:rPr>
          <w:rFonts w:cs="Arial"/>
        </w:rPr>
      </w:pPr>
      <w:r>
        <w:rPr>
          <w:rFonts w:cs="Arial"/>
        </w:rPr>
        <w:t xml:space="preserve">Wellington asked the Board to set a hearing date in July 2018, for a hearing with an estimated length of three weeks. With no final </w:t>
      </w:r>
      <w:r w:rsidR="00F72FA7">
        <w:rPr>
          <w:rFonts w:cs="Arial"/>
        </w:rPr>
        <w:t>I</w:t>
      </w:r>
      <w:r>
        <w:rPr>
          <w:rFonts w:cs="Arial"/>
        </w:rPr>
        <w:t xml:space="preserve">ssue </w:t>
      </w:r>
      <w:r w:rsidR="00F72FA7">
        <w:rPr>
          <w:rFonts w:cs="Arial"/>
        </w:rPr>
        <w:t>L</w:t>
      </w:r>
      <w:r>
        <w:rPr>
          <w:rFonts w:cs="Arial"/>
        </w:rPr>
        <w:t xml:space="preserve">ist and no final count of the </w:t>
      </w:r>
      <w:r>
        <w:rPr>
          <w:rFonts w:cs="Arial"/>
        </w:rPr>
        <w:lastRenderedPageBreak/>
        <w:t xml:space="preserve">number of expert witnesses to be called, the Board declined to schedule any hearing date at this time. </w:t>
      </w:r>
    </w:p>
    <w:p w:rsidR="004B6DAF" w:rsidRDefault="003F5555" w:rsidP="007B76AB">
      <w:pPr>
        <w:pStyle w:val="DecisionBody"/>
        <w:spacing w:beforeLines="150" w:before="360" w:afterLines="150" w:after="360"/>
        <w:rPr>
          <w:rFonts w:cs="Arial"/>
        </w:rPr>
      </w:pPr>
      <w:r>
        <w:rPr>
          <w:rFonts w:cs="Arial"/>
        </w:rPr>
        <w:t xml:space="preserve">Wellington agreed to draft a procedural order reflecting today’s discussion and circulate it to all parties. The parties have agreed to send their comments on the draft </w:t>
      </w:r>
      <w:r w:rsidR="00BB61F3">
        <w:rPr>
          <w:rFonts w:cs="Arial"/>
        </w:rPr>
        <w:t>P</w:t>
      </w:r>
      <w:r>
        <w:rPr>
          <w:rFonts w:cs="Arial"/>
        </w:rPr>
        <w:t xml:space="preserve">rocedural </w:t>
      </w:r>
      <w:r w:rsidR="00BB61F3">
        <w:rPr>
          <w:rFonts w:cs="Arial"/>
        </w:rPr>
        <w:t>O</w:t>
      </w:r>
      <w:r>
        <w:rPr>
          <w:rFonts w:cs="Arial"/>
        </w:rPr>
        <w:t>rder to Wellington</w:t>
      </w:r>
      <w:r w:rsidR="009D45D2">
        <w:rPr>
          <w:rFonts w:cs="Arial"/>
        </w:rPr>
        <w:t xml:space="preserve"> by September </w:t>
      </w:r>
      <w:r>
        <w:rPr>
          <w:rFonts w:cs="Arial"/>
        </w:rPr>
        <w:t>1</w:t>
      </w:r>
      <w:r w:rsidR="009D45D2">
        <w:rPr>
          <w:rFonts w:cs="Arial"/>
        </w:rPr>
        <w:t>4</w:t>
      </w:r>
      <w:r>
        <w:rPr>
          <w:rFonts w:cs="Arial"/>
        </w:rPr>
        <w:t xml:space="preserve">, 2017. </w:t>
      </w:r>
    </w:p>
    <w:p w:rsidR="009D45D2" w:rsidRDefault="009D45D2" w:rsidP="007B76AB">
      <w:pPr>
        <w:pStyle w:val="DecisionBody"/>
        <w:spacing w:beforeLines="150" w:before="360" w:afterLines="150" w:after="360"/>
        <w:rPr>
          <w:rFonts w:cs="Arial"/>
        </w:rPr>
      </w:pPr>
      <w:r>
        <w:rPr>
          <w:rFonts w:cs="Arial"/>
        </w:rPr>
        <w:t xml:space="preserve">Wellington is to submit to the Board by September 21, 2017, the draft </w:t>
      </w:r>
      <w:r w:rsidR="00F72FA7">
        <w:rPr>
          <w:rFonts w:cs="Arial"/>
        </w:rPr>
        <w:t>P</w:t>
      </w:r>
      <w:r>
        <w:rPr>
          <w:rFonts w:cs="Arial"/>
        </w:rPr>
        <w:t xml:space="preserve">rocedural </w:t>
      </w:r>
      <w:r w:rsidR="00F72FA7">
        <w:rPr>
          <w:rFonts w:cs="Arial"/>
        </w:rPr>
        <w:t>O</w:t>
      </w:r>
      <w:r>
        <w:rPr>
          <w:rFonts w:cs="Arial"/>
        </w:rPr>
        <w:t xml:space="preserve">rder, with </w:t>
      </w:r>
      <w:r w:rsidR="00E4180B">
        <w:rPr>
          <w:rFonts w:cs="Arial"/>
        </w:rPr>
        <w:t xml:space="preserve">a consolidated </w:t>
      </w:r>
      <w:r w:rsidR="00F72FA7">
        <w:rPr>
          <w:rFonts w:cs="Arial"/>
        </w:rPr>
        <w:t>I</w:t>
      </w:r>
      <w:r>
        <w:rPr>
          <w:rFonts w:cs="Arial"/>
        </w:rPr>
        <w:t xml:space="preserve">ssue </w:t>
      </w:r>
      <w:r w:rsidR="00F72FA7">
        <w:rPr>
          <w:rFonts w:cs="Arial"/>
        </w:rPr>
        <w:t>L</w:t>
      </w:r>
      <w:r>
        <w:rPr>
          <w:rFonts w:cs="Arial"/>
        </w:rPr>
        <w:t xml:space="preserve">ist, that the parties have agreed upon. The Board will review this submission and, if satisfied, will set an appropriate hearing date and issue a </w:t>
      </w:r>
      <w:r w:rsidR="00F72FA7">
        <w:rPr>
          <w:rFonts w:cs="Arial"/>
        </w:rPr>
        <w:t>P</w:t>
      </w:r>
      <w:r>
        <w:rPr>
          <w:rFonts w:cs="Arial"/>
        </w:rPr>
        <w:t xml:space="preserve">rocedural </w:t>
      </w:r>
      <w:r w:rsidR="00F72FA7">
        <w:rPr>
          <w:rFonts w:cs="Arial"/>
        </w:rPr>
        <w:t>O</w:t>
      </w:r>
      <w:r>
        <w:rPr>
          <w:rFonts w:cs="Arial"/>
        </w:rPr>
        <w:t xml:space="preserve">rder. </w:t>
      </w:r>
    </w:p>
    <w:p w:rsidR="007B76AB" w:rsidRPr="00E4180B" w:rsidRDefault="00881B46" w:rsidP="00E4180B">
      <w:pPr>
        <w:pStyle w:val="DecisionBody"/>
        <w:spacing w:beforeLines="150" w:before="360" w:afterLines="150" w:after="360"/>
        <w:rPr>
          <w:rFonts w:cs="Arial"/>
        </w:rPr>
      </w:pPr>
      <w:r>
        <w:rPr>
          <w:rFonts w:cs="Arial"/>
        </w:rPr>
        <w:t>I am seized for case management purposes but not necessarily for the hearing of the merits.</w:t>
      </w:r>
    </w:p>
    <w:p w:rsidR="007B76AB" w:rsidRPr="007B76AB" w:rsidRDefault="007B76AB" w:rsidP="007B76AB">
      <w:pPr>
        <w:pStyle w:val="DecisionBody"/>
        <w:numPr>
          <w:ilvl w:val="0"/>
          <w:numId w:val="0"/>
        </w:numPr>
        <w:spacing w:beforeLines="150" w:before="360" w:afterLines="150" w:after="360"/>
        <w:rPr>
          <w:rStyle w:val="Strong"/>
        </w:rPr>
      </w:pPr>
      <w:r>
        <w:rPr>
          <w:rStyle w:val="Strong"/>
        </w:rPr>
        <w:t>ORDER</w:t>
      </w:r>
    </w:p>
    <w:p w:rsidR="00E4180B" w:rsidRDefault="00E4180B" w:rsidP="00E4180B">
      <w:pPr>
        <w:pStyle w:val="DecisionBody"/>
        <w:spacing w:beforeLines="150" w:before="360" w:afterLines="150" w:after="360" w:line="240" w:lineRule="auto"/>
        <w:rPr>
          <w:rFonts w:cs="Arial"/>
        </w:rPr>
      </w:pPr>
      <w:r>
        <w:rPr>
          <w:rFonts w:cs="Arial"/>
        </w:rPr>
        <w:t>The Board orders that:</w:t>
      </w:r>
    </w:p>
    <w:p w:rsidR="00E4180B" w:rsidRDefault="00E4180B" w:rsidP="00753CEF">
      <w:pPr>
        <w:pStyle w:val="DecisionBody"/>
        <w:numPr>
          <w:ilvl w:val="1"/>
          <w:numId w:val="11"/>
        </w:numPr>
        <w:spacing w:beforeLines="150" w:before="360" w:afterLines="150" w:after="360"/>
        <w:ind w:left="1134" w:hanging="357"/>
        <w:rPr>
          <w:rFonts w:cs="Arial"/>
        </w:rPr>
      </w:pPr>
      <w:r>
        <w:rPr>
          <w:rFonts w:cs="Arial"/>
        </w:rPr>
        <w:t xml:space="preserve">Wellington Place Neighbourhood Association is added </w:t>
      </w:r>
      <w:r w:rsidR="00B17764">
        <w:rPr>
          <w:rFonts w:cs="Arial"/>
        </w:rPr>
        <w:t>as a Party to these proceedings</w:t>
      </w:r>
    </w:p>
    <w:p w:rsidR="00E4180B" w:rsidRDefault="00E4180B" w:rsidP="00753CEF">
      <w:pPr>
        <w:pStyle w:val="DecisionBody"/>
        <w:numPr>
          <w:ilvl w:val="1"/>
          <w:numId w:val="11"/>
        </w:numPr>
        <w:spacing w:beforeLines="150" w:before="360" w:afterLines="150" w:after="360"/>
        <w:ind w:left="1134" w:hanging="357"/>
        <w:rPr>
          <w:rFonts w:cs="Arial"/>
        </w:rPr>
      </w:pPr>
      <w:r>
        <w:rPr>
          <w:rFonts w:cs="Arial"/>
        </w:rPr>
        <w:t>432 Wellington Street West Holdings Inc. is added as a Party to these proceedings</w:t>
      </w:r>
    </w:p>
    <w:p w:rsidR="00B17764" w:rsidRDefault="00E4180B" w:rsidP="00753CEF">
      <w:pPr>
        <w:pStyle w:val="DecisionBody"/>
        <w:numPr>
          <w:ilvl w:val="1"/>
          <w:numId w:val="11"/>
        </w:numPr>
        <w:spacing w:beforeLines="150" w:before="360" w:afterLines="150" w:after="360"/>
        <w:ind w:left="1134" w:hanging="357"/>
        <w:rPr>
          <w:rFonts w:cs="Arial"/>
        </w:rPr>
      </w:pPr>
      <w:r w:rsidRPr="00B17764">
        <w:rPr>
          <w:rFonts w:cs="Arial"/>
        </w:rPr>
        <w:t>Mart</w:t>
      </w:r>
      <w:r w:rsidR="00F72FA7">
        <w:rPr>
          <w:rFonts w:cs="Arial"/>
        </w:rPr>
        <w:t>y</w:t>
      </w:r>
      <w:r w:rsidRPr="00B17764">
        <w:rPr>
          <w:rFonts w:cs="Arial"/>
        </w:rPr>
        <w:t xml:space="preserve">n Stollar is added </w:t>
      </w:r>
      <w:r w:rsidR="00B17764">
        <w:rPr>
          <w:rFonts w:cs="Arial"/>
        </w:rPr>
        <w:t>as a Party to these proceedings</w:t>
      </w:r>
    </w:p>
    <w:p w:rsidR="00E4180B" w:rsidRPr="00B17764" w:rsidRDefault="00E4180B" w:rsidP="00753CEF">
      <w:pPr>
        <w:pStyle w:val="DecisionBody"/>
        <w:numPr>
          <w:ilvl w:val="1"/>
          <w:numId w:val="11"/>
        </w:numPr>
        <w:spacing w:beforeLines="150" w:before="360" w:afterLines="150" w:after="360"/>
        <w:ind w:left="1134" w:hanging="357"/>
        <w:rPr>
          <w:rFonts w:cs="Arial"/>
        </w:rPr>
      </w:pPr>
      <w:r w:rsidRPr="00B17764">
        <w:rPr>
          <w:rFonts w:cs="Arial"/>
        </w:rPr>
        <w:t>Gregory Rogers is added as a P</w:t>
      </w:r>
      <w:r w:rsidR="00B17764">
        <w:rPr>
          <w:rFonts w:cs="Arial"/>
        </w:rPr>
        <w:t>articipant to these proceedings</w:t>
      </w:r>
    </w:p>
    <w:p w:rsidR="00F72FA7" w:rsidRDefault="00E4180B" w:rsidP="00753CEF">
      <w:pPr>
        <w:pStyle w:val="DecisionBody"/>
        <w:numPr>
          <w:ilvl w:val="1"/>
          <w:numId w:val="11"/>
        </w:numPr>
        <w:spacing w:beforeLines="150" w:before="360" w:afterLines="150" w:after="360"/>
        <w:ind w:left="1134" w:hanging="357"/>
        <w:rPr>
          <w:rFonts w:cs="Arial"/>
        </w:rPr>
      </w:pPr>
      <w:r>
        <w:rPr>
          <w:rFonts w:cs="Arial"/>
        </w:rPr>
        <w:t xml:space="preserve">The parties will file with the Board a draft Procedural Order, with </w:t>
      </w:r>
    </w:p>
    <w:p w:rsidR="00F72FA7" w:rsidRDefault="00F72FA7" w:rsidP="00753CEF">
      <w:pPr>
        <w:pStyle w:val="DecisionBody"/>
        <w:numPr>
          <w:ilvl w:val="0"/>
          <w:numId w:val="0"/>
        </w:numPr>
        <w:spacing w:beforeLines="150" w:before="360" w:afterLines="150" w:after="360"/>
        <w:ind w:left="1134"/>
        <w:rPr>
          <w:rFonts w:cs="Arial"/>
        </w:rPr>
      </w:pPr>
    </w:p>
    <w:p w:rsidR="00E4180B" w:rsidRDefault="00E4180B" w:rsidP="00753CEF">
      <w:pPr>
        <w:pStyle w:val="DecisionBody"/>
        <w:numPr>
          <w:ilvl w:val="0"/>
          <w:numId w:val="0"/>
        </w:numPr>
        <w:spacing w:beforeLines="150" w:before="360" w:afterLines="150" w:after="360"/>
        <w:ind w:left="1134"/>
        <w:rPr>
          <w:rFonts w:cs="Arial"/>
        </w:rPr>
      </w:pPr>
      <w:proofErr w:type="gramStart"/>
      <w:r>
        <w:rPr>
          <w:rFonts w:cs="Arial"/>
        </w:rPr>
        <w:lastRenderedPageBreak/>
        <w:t>consolidated</w:t>
      </w:r>
      <w:proofErr w:type="gramEnd"/>
      <w:r>
        <w:rPr>
          <w:rFonts w:cs="Arial"/>
        </w:rPr>
        <w:t xml:space="preserve"> </w:t>
      </w:r>
      <w:r w:rsidR="00F72FA7">
        <w:rPr>
          <w:rFonts w:cs="Arial"/>
        </w:rPr>
        <w:t>I</w:t>
      </w:r>
      <w:r>
        <w:rPr>
          <w:rFonts w:cs="Arial"/>
        </w:rPr>
        <w:t xml:space="preserve">ssue </w:t>
      </w:r>
      <w:r w:rsidR="00F72FA7">
        <w:rPr>
          <w:rFonts w:cs="Arial"/>
        </w:rPr>
        <w:t>L</w:t>
      </w:r>
      <w:r>
        <w:rPr>
          <w:rFonts w:cs="Arial"/>
        </w:rPr>
        <w:t>ist, on or before Thursday, September</w:t>
      </w:r>
      <w:r w:rsidR="00B17764">
        <w:rPr>
          <w:rFonts w:cs="Arial"/>
        </w:rPr>
        <w:t xml:space="preserve"> 21, 2017</w:t>
      </w:r>
    </w:p>
    <w:p w:rsidR="00E4180B" w:rsidRDefault="00E4180B" w:rsidP="007B76AB">
      <w:pPr>
        <w:pStyle w:val="Member"/>
        <w:jc w:val="right"/>
      </w:pPr>
    </w:p>
    <w:p w:rsidR="00E527A3" w:rsidRDefault="00E527A3" w:rsidP="007B76AB">
      <w:pPr>
        <w:pStyle w:val="Member"/>
        <w:jc w:val="right"/>
      </w:pPr>
    </w:p>
    <w:p w:rsidR="007B76AB" w:rsidRDefault="007B76AB" w:rsidP="007B76AB">
      <w:pPr>
        <w:pStyle w:val="Member"/>
        <w:jc w:val="right"/>
      </w:pPr>
      <w:r w:rsidRPr="004704FF">
        <w:t>“Susan de Avellar Schiller”</w:t>
      </w:r>
    </w:p>
    <w:p w:rsidR="007B76AB" w:rsidRDefault="007B76AB" w:rsidP="007B76AB">
      <w:pPr>
        <w:pStyle w:val="Member"/>
        <w:jc w:val="right"/>
      </w:pPr>
    </w:p>
    <w:p w:rsidR="00BB61F3" w:rsidRPr="004704FF" w:rsidRDefault="00BB61F3" w:rsidP="007B76AB">
      <w:pPr>
        <w:pStyle w:val="Member"/>
        <w:jc w:val="right"/>
      </w:pPr>
    </w:p>
    <w:p w:rsidR="007B76AB" w:rsidRPr="004704FF" w:rsidRDefault="007B76AB" w:rsidP="007B76AB">
      <w:pPr>
        <w:pStyle w:val="Member"/>
        <w:jc w:val="right"/>
        <w:rPr>
          <w:i w:val="0"/>
        </w:rPr>
      </w:pPr>
      <w:r w:rsidRPr="004704FF">
        <w:rPr>
          <w:i w:val="0"/>
        </w:rPr>
        <w:t>SUSAN de AVELLAR SCHILLER</w:t>
      </w:r>
    </w:p>
    <w:p w:rsidR="007B76AB" w:rsidRDefault="007B76AB" w:rsidP="007B76AB">
      <w:pPr>
        <w:pStyle w:val="Member"/>
        <w:jc w:val="right"/>
        <w:rPr>
          <w:i w:val="0"/>
        </w:rPr>
      </w:pPr>
      <w:r>
        <w:rPr>
          <w:i w:val="0"/>
        </w:rPr>
        <w:t>VICE-</w:t>
      </w:r>
      <w:r w:rsidRPr="004704FF">
        <w:rPr>
          <w:i w:val="0"/>
        </w:rPr>
        <w:t>CHAIR</w:t>
      </w:r>
    </w:p>
    <w:p w:rsidR="007B76AB" w:rsidRDefault="007B76AB" w:rsidP="007B76AB">
      <w:pPr>
        <w:pStyle w:val="Member"/>
        <w:jc w:val="right"/>
        <w:rPr>
          <w:i w:val="0"/>
        </w:rPr>
      </w:pPr>
    </w:p>
    <w:p w:rsidR="007B76AB" w:rsidRDefault="007B76AB"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B17764" w:rsidRDefault="00B17764" w:rsidP="007B76AB">
      <w:pPr>
        <w:pStyle w:val="Member"/>
        <w:jc w:val="right"/>
        <w:rPr>
          <w:i w:val="0"/>
        </w:rPr>
      </w:pPr>
    </w:p>
    <w:p w:rsidR="00E527A3" w:rsidRDefault="00E527A3" w:rsidP="007B76AB">
      <w:pPr>
        <w:pStyle w:val="Member"/>
        <w:jc w:val="right"/>
        <w:rPr>
          <w:i w:val="0"/>
        </w:rPr>
      </w:pPr>
    </w:p>
    <w:p w:rsidR="00E527A3" w:rsidRDefault="00E527A3" w:rsidP="007B76AB">
      <w:pPr>
        <w:pStyle w:val="Member"/>
        <w:jc w:val="right"/>
        <w:rPr>
          <w:i w:val="0"/>
        </w:rPr>
      </w:pPr>
    </w:p>
    <w:p w:rsidR="007B76AB" w:rsidRDefault="007B76AB" w:rsidP="007B76AB">
      <w:pPr>
        <w:pStyle w:val="Member"/>
        <w:jc w:val="right"/>
        <w:rPr>
          <w:i w:val="0"/>
        </w:rPr>
      </w:pPr>
    </w:p>
    <w:p w:rsidR="007B76AB" w:rsidRDefault="007B76AB" w:rsidP="007B76AB">
      <w:pPr>
        <w:jc w:val="center"/>
        <w:rPr>
          <w:rFonts w:ascii="Arial" w:hAnsi="Arial" w:cs="Arial"/>
          <w:lang w:eastAsia="en-CA"/>
        </w:rPr>
      </w:pPr>
      <w:r>
        <w:rPr>
          <w:rFonts w:ascii="Arial" w:hAnsi="Arial" w:cs="Arial"/>
          <w:lang w:eastAsia="en-CA"/>
        </w:rPr>
        <w:t>If there is an attachment referred to in this document,</w:t>
      </w:r>
    </w:p>
    <w:p w:rsidR="007B76AB" w:rsidRDefault="007B76AB" w:rsidP="007B76AB">
      <w:pPr>
        <w:jc w:val="center"/>
        <w:rPr>
          <w:rFonts w:ascii="Arial" w:hAnsi="Arial" w:cs="Arial"/>
          <w:lang w:eastAsia="en-CA"/>
        </w:rPr>
      </w:pPr>
      <w:r>
        <w:rPr>
          <w:rFonts w:ascii="Arial" w:hAnsi="Arial" w:cs="Arial"/>
          <w:lang w:eastAsia="en-CA"/>
        </w:rPr>
        <w:t>please visit www.elto.gov.on.ca to view the attachment in PDF format.</w:t>
      </w:r>
    </w:p>
    <w:p w:rsidR="007B76AB" w:rsidRDefault="007B76AB" w:rsidP="007B76AB">
      <w:pPr>
        <w:pStyle w:val="Member"/>
        <w:jc w:val="right"/>
        <w:rPr>
          <w:i w:val="0"/>
        </w:rPr>
      </w:pPr>
    </w:p>
    <w:p w:rsidR="007B76AB" w:rsidRPr="004704FF" w:rsidRDefault="007B76AB" w:rsidP="007B76AB">
      <w:pPr>
        <w:pStyle w:val="Member"/>
        <w:jc w:val="right"/>
        <w:rPr>
          <w:i w:val="0"/>
        </w:rPr>
      </w:pPr>
    </w:p>
    <w:p w:rsidR="007B76AB" w:rsidRPr="004704FF" w:rsidRDefault="007B76AB" w:rsidP="007B76AB">
      <w:pPr>
        <w:keepLines/>
        <w:jc w:val="center"/>
        <w:rPr>
          <w:rFonts w:ascii="Arial" w:hAnsi="Arial" w:cs="Arial"/>
          <w:b/>
          <w:lang w:val="en-CA"/>
        </w:rPr>
      </w:pPr>
      <w:r w:rsidRPr="004704FF">
        <w:rPr>
          <w:rFonts w:ascii="Arial" w:hAnsi="Arial" w:cs="Arial"/>
          <w:b/>
          <w:lang w:val="en-CA"/>
        </w:rPr>
        <w:t>Ontario Municipal Board</w:t>
      </w:r>
    </w:p>
    <w:p w:rsidR="007B76AB" w:rsidRPr="004704FF" w:rsidRDefault="007B76AB" w:rsidP="007B76AB">
      <w:pPr>
        <w:keepLines/>
        <w:jc w:val="center"/>
        <w:rPr>
          <w:rFonts w:ascii="Arial" w:hAnsi="Arial" w:cs="Arial"/>
          <w:lang w:val="en-CA"/>
        </w:rPr>
      </w:pPr>
      <w:r w:rsidRPr="004704FF">
        <w:rPr>
          <w:rFonts w:ascii="Arial" w:hAnsi="Arial" w:cs="Arial"/>
          <w:lang w:val="en-CA"/>
        </w:rPr>
        <w:t>A constituent tribunal of Environment and Land Tribunals Ontario</w:t>
      </w:r>
    </w:p>
    <w:p w:rsidR="007B76AB" w:rsidRPr="004704FF" w:rsidRDefault="007B76AB" w:rsidP="007B76AB">
      <w:pPr>
        <w:pStyle w:val="Footer"/>
        <w:jc w:val="center"/>
        <w:rPr>
          <w:rFonts w:ascii="Arial" w:hAnsi="Arial" w:cs="Arial"/>
          <w:lang w:val="en-CA"/>
        </w:rPr>
      </w:pPr>
      <w:r w:rsidRPr="004704FF">
        <w:rPr>
          <w:rFonts w:ascii="Arial" w:hAnsi="Arial" w:cs="Arial"/>
          <w:lang w:val="en-CA"/>
        </w:rPr>
        <w:t>Website: www.elto.gov.on.ca  Telephone: 416-212-6349  Toll Free: 1-866-448-2248</w:t>
      </w:r>
      <w:bookmarkEnd w:id="1"/>
    </w:p>
    <w:sectPr w:rsidR="007B76AB" w:rsidRPr="004704FF" w:rsidSect="00B92BA3">
      <w:headerReference w:type="default" r:id="rId9"/>
      <w:pgSz w:w="12240" w:h="15840" w:code="1"/>
      <w:pgMar w:top="1239"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2E" w:rsidRDefault="0021682E">
      <w:r>
        <w:separator/>
      </w:r>
    </w:p>
  </w:endnote>
  <w:endnote w:type="continuationSeparator" w:id="0">
    <w:p w:rsidR="0021682E" w:rsidRDefault="0021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2E" w:rsidRDefault="0021682E">
      <w:r>
        <w:separator/>
      </w:r>
    </w:p>
  </w:footnote>
  <w:footnote w:type="continuationSeparator" w:id="0">
    <w:p w:rsidR="0021682E" w:rsidRDefault="0021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D7"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7C4CEE">
      <w:rPr>
        <w:rFonts w:ascii="Arial" w:hAnsi="Arial" w:cs="Arial"/>
        <w:noProof/>
      </w:rPr>
      <w:t>2</w:t>
    </w:r>
    <w:r w:rsidRPr="005E51AF">
      <w:rPr>
        <w:rFonts w:ascii="Arial" w:hAnsi="Arial" w:cs="Arial"/>
        <w:noProof/>
      </w:rPr>
      <w:fldChar w:fldCharType="end"/>
    </w:r>
    <w:r w:rsidR="00C02B28">
      <w:rPr>
        <w:rFonts w:ascii="Arial" w:hAnsi="Arial" w:cs="Arial"/>
        <w:noProof/>
      </w:rPr>
      <w:tab/>
    </w:r>
    <w:r w:rsidR="002D2254">
      <w:rPr>
        <w:rFonts w:ascii="Arial" w:hAnsi="Arial" w:cs="Arial"/>
        <w:noProof/>
      </w:rPr>
      <w:tab/>
    </w:r>
    <w:r w:rsidRPr="005E51AF">
      <w:rPr>
        <w:rFonts w:ascii="Arial" w:hAnsi="Arial" w:cs="Arial"/>
        <w:noProof/>
      </w:rPr>
      <w:t>PL</w:t>
    </w:r>
    <w:r w:rsidR="008A41DC">
      <w:rPr>
        <w:rFonts w:ascii="Arial" w:hAnsi="Arial" w:cs="Arial"/>
        <w:noProof/>
      </w:rPr>
      <w:t>170076</w:t>
    </w:r>
  </w:p>
  <w:p w:rsidR="00420FFD" w:rsidRDefault="00420FFD" w:rsidP="002D2254">
    <w:pPr>
      <w:pStyle w:val="Header"/>
      <w:tabs>
        <w:tab w:val="clear" w:pos="8640"/>
        <w:tab w:val="center" w:pos="4680"/>
        <w:tab w:val="left" w:pos="6804"/>
        <w:tab w:val="right" w:pos="9360"/>
      </w:tabs>
      <w:rPr>
        <w:rFonts w:ascii="Arial" w:hAnsi="Arial" w:cs="Arial"/>
      </w:rPr>
    </w:pPr>
  </w:p>
  <w:p w:rsidR="00F72FA7" w:rsidRPr="005E51AF" w:rsidRDefault="00F72FA7"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2454DF2"/>
    <w:multiLevelType w:val="hybridMultilevel"/>
    <w:tmpl w:val="A1DE6C2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A12260"/>
    <w:multiLevelType w:val="hybridMultilevel"/>
    <w:tmpl w:val="15F4981A"/>
    <w:lvl w:ilvl="0" w:tplc="99E21244">
      <w:start w:val="1"/>
      <w:numFmt w:val="decimal"/>
      <w:pStyle w:val="DecisionBody"/>
      <w:lvlText w:val="[%1]"/>
      <w:lvlJc w:val="left"/>
      <w:pPr>
        <w:ind w:left="720" w:hanging="360"/>
      </w:pPr>
      <w:rPr>
        <w:rFonts w:hint="default"/>
        <w:b w:val="0"/>
      </w:rPr>
    </w:lvl>
    <w:lvl w:ilvl="1" w:tplc="63A085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7"/>
  </w:num>
  <w:num w:numId="5">
    <w:abstractNumId w:val="20"/>
  </w:num>
  <w:num w:numId="6">
    <w:abstractNumId w:val="4"/>
  </w:num>
  <w:num w:numId="7">
    <w:abstractNumId w:val="1"/>
  </w:num>
  <w:num w:numId="8">
    <w:abstractNumId w:val="17"/>
  </w:num>
  <w:num w:numId="9">
    <w:abstractNumId w:val="11"/>
  </w:num>
  <w:num w:numId="10">
    <w:abstractNumId w:val="10"/>
  </w:num>
  <w:num w:numId="11">
    <w:abstractNumId w:val="15"/>
  </w:num>
  <w:num w:numId="12">
    <w:abstractNumId w:val="19"/>
  </w:num>
  <w:num w:numId="13">
    <w:abstractNumId w:val="3"/>
  </w:num>
  <w:num w:numId="14">
    <w:abstractNumId w:val="12"/>
  </w:num>
  <w:num w:numId="15">
    <w:abstractNumId w:val="16"/>
  </w:num>
  <w:num w:numId="16">
    <w:abstractNumId w:val="14"/>
  </w:num>
  <w:num w:numId="17">
    <w:abstractNumId w:val="6"/>
  </w:num>
  <w:num w:numId="18">
    <w:abstractNumId w:val="8"/>
  </w:num>
  <w:num w:numId="19">
    <w:abstractNumId w:val="2"/>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3C0"/>
    <w:rsid w:val="00017DFC"/>
    <w:rsid w:val="00031C6E"/>
    <w:rsid w:val="0003783B"/>
    <w:rsid w:val="000424A6"/>
    <w:rsid w:val="00054A9F"/>
    <w:rsid w:val="00057B18"/>
    <w:rsid w:val="00075342"/>
    <w:rsid w:val="00076196"/>
    <w:rsid w:val="0008105B"/>
    <w:rsid w:val="00081B93"/>
    <w:rsid w:val="000923E6"/>
    <w:rsid w:val="0009757E"/>
    <w:rsid w:val="000B4BFB"/>
    <w:rsid w:val="000C21BB"/>
    <w:rsid w:val="000C480C"/>
    <w:rsid w:val="000C7608"/>
    <w:rsid w:val="000D6F9D"/>
    <w:rsid w:val="000D7BBD"/>
    <w:rsid w:val="00137797"/>
    <w:rsid w:val="001551CC"/>
    <w:rsid w:val="001562BE"/>
    <w:rsid w:val="001634FB"/>
    <w:rsid w:val="001656BC"/>
    <w:rsid w:val="00166742"/>
    <w:rsid w:val="001702F3"/>
    <w:rsid w:val="00172CE7"/>
    <w:rsid w:val="001765FB"/>
    <w:rsid w:val="00182765"/>
    <w:rsid w:val="00183497"/>
    <w:rsid w:val="00190DF3"/>
    <w:rsid w:val="001A0829"/>
    <w:rsid w:val="001A3C06"/>
    <w:rsid w:val="001A76EB"/>
    <w:rsid w:val="001B5CE4"/>
    <w:rsid w:val="001D5927"/>
    <w:rsid w:val="001D6F93"/>
    <w:rsid w:val="001F179F"/>
    <w:rsid w:val="0020298E"/>
    <w:rsid w:val="00204A56"/>
    <w:rsid w:val="00205167"/>
    <w:rsid w:val="0021608D"/>
    <w:rsid w:val="0021682E"/>
    <w:rsid w:val="00220639"/>
    <w:rsid w:val="0022133C"/>
    <w:rsid w:val="00225203"/>
    <w:rsid w:val="00226115"/>
    <w:rsid w:val="002346B3"/>
    <w:rsid w:val="00235621"/>
    <w:rsid w:val="002419BB"/>
    <w:rsid w:val="002433A2"/>
    <w:rsid w:val="002446DE"/>
    <w:rsid w:val="00246A65"/>
    <w:rsid w:val="0026320F"/>
    <w:rsid w:val="00277F40"/>
    <w:rsid w:val="00283370"/>
    <w:rsid w:val="00293E85"/>
    <w:rsid w:val="002959D2"/>
    <w:rsid w:val="002B47E9"/>
    <w:rsid w:val="002C00E1"/>
    <w:rsid w:val="002D2254"/>
    <w:rsid w:val="002D38E7"/>
    <w:rsid w:val="002E0009"/>
    <w:rsid w:val="002E7C9F"/>
    <w:rsid w:val="002F73E5"/>
    <w:rsid w:val="003011F4"/>
    <w:rsid w:val="003051EA"/>
    <w:rsid w:val="00305578"/>
    <w:rsid w:val="00307DEE"/>
    <w:rsid w:val="00316394"/>
    <w:rsid w:val="00322161"/>
    <w:rsid w:val="00324440"/>
    <w:rsid w:val="00340879"/>
    <w:rsid w:val="00345480"/>
    <w:rsid w:val="003506EA"/>
    <w:rsid w:val="00350E1B"/>
    <w:rsid w:val="003620BF"/>
    <w:rsid w:val="00367CB0"/>
    <w:rsid w:val="00375BC0"/>
    <w:rsid w:val="00375F31"/>
    <w:rsid w:val="0038484F"/>
    <w:rsid w:val="003916D5"/>
    <w:rsid w:val="003918DD"/>
    <w:rsid w:val="00391DD7"/>
    <w:rsid w:val="00397A2C"/>
    <w:rsid w:val="003B236D"/>
    <w:rsid w:val="003B298B"/>
    <w:rsid w:val="003B7CE2"/>
    <w:rsid w:val="003C2E86"/>
    <w:rsid w:val="003D3375"/>
    <w:rsid w:val="003E4024"/>
    <w:rsid w:val="003F266C"/>
    <w:rsid w:val="003F5555"/>
    <w:rsid w:val="00401F7B"/>
    <w:rsid w:val="00403715"/>
    <w:rsid w:val="00420FFD"/>
    <w:rsid w:val="004233D2"/>
    <w:rsid w:val="00441A9B"/>
    <w:rsid w:val="004507E6"/>
    <w:rsid w:val="00452228"/>
    <w:rsid w:val="004568CC"/>
    <w:rsid w:val="004662FE"/>
    <w:rsid w:val="004A4461"/>
    <w:rsid w:val="004B6DAF"/>
    <w:rsid w:val="004C06AB"/>
    <w:rsid w:val="004C5ADC"/>
    <w:rsid w:val="004E03A4"/>
    <w:rsid w:val="004E4C91"/>
    <w:rsid w:val="004E4CD6"/>
    <w:rsid w:val="004E7FC6"/>
    <w:rsid w:val="004F13B0"/>
    <w:rsid w:val="00505DF1"/>
    <w:rsid w:val="00513CCD"/>
    <w:rsid w:val="005176E6"/>
    <w:rsid w:val="00526987"/>
    <w:rsid w:val="00530A9E"/>
    <w:rsid w:val="005425ED"/>
    <w:rsid w:val="0055024F"/>
    <w:rsid w:val="00581834"/>
    <w:rsid w:val="00581FFB"/>
    <w:rsid w:val="005832B8"/>
    <w:rsid w:val="005839FE"/>
    <w:rsid w:val="00585632"/>
    <w:rsid w:val="0058684A"/>
    <w:rsid w:val="005A6B29"/>
    <w:rsid w:val="005A767F"/>
    <w:rsid w:val="005B0EFC"/>
    <w:rsid w:val="005B5DDE"/>
    <w:rsid w:val="005C7251"/>
    <w:rsid w:val="005D0D8D"/>
    <w:rsid w:val="005D1ED7"/>
    <w:rsid w:val="005E51AF"/>
    <w:rsid w:val="005F182A"/>
    <w:rsid w:val="005F7A16"/>
    <w:rsid w:val="005F7C08"/>
    <w:rsid w:val="006002DC"/>
    <w:rsid w:val="0060505C"/>
    <w:rsid w:val="00614648"/>
    <w:rsid w:val="00616822"/>
    <w:rsid w:val="006419E7"/>
    <w:rsid w:val="00641AD3"/>
    <w:rsid w:val="00647ECC"/>
    <w:rsid w:val="006510E9"/>
    <w:rsid w:val="00653B50"/>
    <w:rsid w:val="00655F95"/>
    <w:rsid w:val="00656CC7"/>
    <w:rsid w:val="00663C56"/>
    <w:rsid w:val="00665DAE"/>
    <w:rsid w:val="006664C3"/>
    <w:rsid w:val="00677294"/>
    <w:rsid w:val="006A119C"/>
    <w:rsid w:val="006A19B7"/>
    <w:rsid w:val="006F214C"/>
    <w:rsid w:val="006F2DF2"/>
    <w:rsid w:val="006F5589"/>
    <w:rsid w:val="007057F0"/>
    <w:rsid w:val="00706196"/>
    <w:rsid w:val="00707B3B"/>
    <w:rsid w:val="00715DD1"/>
    <w:rsid w:val="00716030"/>
    <w:rsid w:val="00723161"/>
    <w:rsid w:val="00753CEF"/>
    <w:rsid w:val="00755CB9"/>
    <w:rsid w:val="0076119A"/>
    <w:rsid w:val="00765C2D"/>
    <w:rsid w:val="00795D66"/>
    <w:rsid w:val="007A1709"/>
    <w:rsid w:val="007A2C3D"/>
    <w:rsid w:val="007B1C33"/>
    <w:rsid w:val="007B76AB"/>
    <w:rsid w:val="007C08BD"/>
    <w:rsid w:val="007C4CEE"/>
    <w:rsid w:val="007E0C30"/>
    <w:rsid w:val="007F7583"/>
    <w:rsid w:val="008046EB"/>
    <w:rsid w:val="0080724D"/>
    <w:rsid w:val="008173CF"/>
    <w:rsid w:val="00823753"/>
    <w:rsid w:val="008316DB"/>
    <w:rsid w:val="0083211C"/>
    <w:rsid w:val="00833DC0"/>
    <w:rsid w:val="00835A80"/>
    <w:rsid w:val="00856869"/>
    <w:rsid w:val="00865727"/>
    <w:rsid w:val="00866681"/>
    <w:rsid w:val="00881B46"/>
    <w:rsid w:val="0089782A"/>
    <w:rsid w:val="008A0CAE"/>
    <w:rsid w:val="008A1A0C"/>
    <w:rsid w:val="008A3586"/>
    <w:rsid w:val="008A41DC"/>
    <w:rsid w:val="008B3EB4"/>
    <w:rsid w:val="008B667D"/>
    <w:rsid w:val="008C09C4"/>
    <w:rsid w:val="008C7470"/>
    <w:rsid w:val="008D3B01"/>
    <w:rsid w:val="008E147D"/>
    <w:rsid w:val="008E5B11"/>
    <w:rsid w:val="00900C5B"/>
    <w:rsid w:val="0092090D"/>
    <w:rsid w:val="00930FD3"/>
    <w:rsid w:val="009333AA"/>
    <w:rsid w:val="00935ABA"/>
    <w:rsid w:val="00945F40"/>
    <w:rsid w:val="00947A9A"/>
    <w:rsid w:val="00951EE2"/>
    <w:rsid w:val="0096422B"/>
    <w:rsid w:val="009650D8"/>
    <w:rsid w:val="00966E5D"/>
    <w:rsid w:val="009748FB"/>
    <w:rsid w:val="00976AA8"/>
    <w:rsid w:val="00981E7A"/>
    <w:rsid w:val="00990F55"/>
    <w:rsid w:val="009936CF"/>
    <w:rsid w:val="009A31C9"/>
    <w:rsid w:val="009A34A1"/>
    <w:rsid w:val="009A6D63"/>
    <w:rsid w:val="009A73F6"/>
    <w:rsid w:val="009C4D62"/>
    <w:rsid w:val="009D0B82"/>
    <w:rsid w:val="009D45D2"/>
    <w:rsid w:val="009D5078"/>
    <w:rsid w:val="009E0DF7"/>
    <w:rsid w:val="009E202F"/>
    <w:rsid w:val="009E6983"/>
    <w:rsid w:val="009F3047"/>
    <w:rsid w:val="00A07D8A"/>
    <w:rsid w:val="00A13AC4"/>
    <w:rsid w:val="00A20E8C"/>
    <w:rsid w:val="00A452B0"/>
    <w:rsid w:val="00A45D63"/>
    <w:rsid w:val="00A47406"/>
    <w:rsid w:val="00A53EAA"/>
    <w:rsid w:val="00A5482E"/>
    <w:rsid w:val="00A550FC"/>
    <w:rsid w:val="00A70E2F"/>
    <w:rsid w:val="00A81716"/>
    <w:rsid w:val="00A86E97"/>
    <w:rsid w:val="00A955CF"/>
    <w:rsid w:val="00AA1090"/>
    <w:rsid w:val="00AA6E2C"/>
    <w:rsid w:val="00AB07FC"/>
    <w:rsid w:val="00AB7E2E"/>
    <w:rsid w:val="00AC0831"/>
    <w:rsid w:val="00AD29BF"/>
    <w:rsid w:val="00AD5E6E"/>
    <w:rsid w:val="00AE075F"/>
    <w:rsid w:val="00AE1098"/>
    <w:rsid w:val="00AE6366"/>
    <w:rsid w:val="00B039D2"/>
    <w:rsid w:val="00B157E1"/>
    <w:rsid w:val="00B16A05"/>
    <w:rsid w:val="00B17764"/>
    <w:rsid w:val="00B225A1"/>
    <w:rsid w:val="00B25ACB"/>
    <w:rsid w:val="00B25ECF"/>
    <w:rsid w:val="00B35686"/>
    <w:rsid w:val="00B51EBA"/>
    <w:rsid w:val="00B5261C"/>
    <w:rsid w:val="00B5585B"/>
    <w:rsid w:val="00B62606"/>
    <w:rsid w:val="00B6431E"/>
    <w:rsid w:val="00B67AB9"/>
    <w:rsid w:val="00B702CE"/>
    <w:rsid w:val="00B721A7"/>
    <w:rsid w:val="00B73739"/>
    <w:rsid w:val="00B77B07"/>
    <w:rsid w:val="00B818DE"/>
    <w:rsid w:val="00B92BA3"/>
    <w:rsid w:val="00BA5F87"/>
    <w:rsid w:val="00BB1683"/>
    <w:rsid w:val="00BB61F3"/>
    <w:rsid w:val="00BC66D9"/>
    <w:rsid w:val="00BE0FA0"/>
    <w:rsid w:val="00BF497A"/>
    <w:rsid w:val="00BF7426"/>
    <w:rsid w:val="00C02B28"/>
    <w:rsid w:val="00C313F7"/>
    <w:rsid w:val="00C83BD6"/>
    <w:rsid w:val="00C92977"/>
    <w:rsid w:val="00CC269B"/>
    <w:rsid w:val="00CC29F3"/>
    <w:rsid w:val="00CC5C59"/>
    <w:rsid w:val="00CD235D"/>
    <w:rsid w:val="00CD5591"/>
    <w:rsid w:val="00CE10CC"/>
    <w:rsid w:val="00CE28B6"/>
    <w:rsid w:val="00CF3536"/>
    <w:rsid w:val="00CF3F96"/>
    <w:rsid w:val="00CF4C37"/>
    <w:rsid w:val="00CF55CF"/>
    <w:rsid w:val="00D00247"/>
    <w:rsid w:val="00D008AB"/>
    <w:rsid w:val="00D12497"/>
    <w:rsid w:val="00D30F49"/>
    <w:rsid w:val="00D42D9F"/>
    <w:rsid w:val="00D66856"/>
    <w:rsid w:val="00D71F3C"/>
    <w:rsid w:val="00D725C0"/>
    <w:rsid w:val="00D76186"/>
    <w:rsid w:val="00D76968"/>
    <w:rsid w:val="00D83C03"/>
    <w:rsid w:val="00D8571F"/>
    <w:rsid w:val="00D91064"/>
    <w:rsid w:val="00D96609"/>
    <w:rsid w:val="00DB023D"/>
    <w:rsid w:val="00DB16DE"/>
    <w:rsid w:val="00DB1E88"/>
    <w:rsid w:val="00DB49FE"/>
    <w:rsid w:val="00DD35F5"/>
    <w:rsid w:val="00DD4CB4"/>
    <w:rsid w:val="00DD6665"/>
    <w:rsid w:val="00DE62BC"/>
    <w:rsid w:val="00DF75FB"/>
    <w:rsid w:val="00E11D71"/>
    <w:rsid w:val="00E12DE7"/>
    <w:rsid w:val="00E15446"/>
    <w:rsid w:val="00E40778"/>
    <w:rsid w:val="00E4148F"/>
    <w:rsid w:val="00E4180B"/>
    <w:rsid w:val="00E45C87"/>
    <w:rsid w:val="00E527A3"/>
    <w:rsid w:val="00E5336E"/>
    <w:rsid w:val="00E65759"/>
    <w:rsid w:val="00E73226"/>
    <w:rsid w:val="00E75833"/>
    <w:rsid w:val="00E858C1"/>
    <w:rsid w:val="00E87A9B"/>
    <w:rsid w:val="00E92B74"/>
    <w:rsid w:val="00EA73B7"/>
    <w:rsid w:val="00EB3E73"/>
    <w:rsid w:val="00EC1739"/>
    <w:rsid w:val="00EC181A"/>
    <w:rsid w:val="00EC7649"/>
    <w:rsid w:val="00EE4BA3"/>
    <w:rsid w:val="00EE7A0D"/>
    <w:rsid w:val="00EF7452"/>
    <w:rsid w:val="00F20B8D"/>
    <w:rsid w:val="00F376E5"/>
    <w:rsid w:val="00F404B1"/>
    <w:rsid w:val="00F408C2"/>
    <w:rsid w:val="00F548C9"/>
    <w:rsid w:val="00F72FA7"/>
    <w:rsid w:val="00F76E36"/>
    <w:rsid w:val="00F90029"/>
    <w:rsid w:val="00F9597B"/>
    <w:rsid w:val="00FA016B"/>
    <w:rsid w:val="00FA2570"/>
    <w:rsid w:val="00FD10D9"/>
    <w:rsid w:val="00FD4182"/>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204A56"/>
    <w:pPr>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204A56"/>
    <w:pPr>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864</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2017-08-01T12:23:00Z</cp:lastPrinted>
  <dcterms:created xsi:type="dcterms:W3CDTF">2017-08-01T12:22:00Z</dcterms:created>
  <dcterms:modified xsi:type="dcterms:W3CDTF">2017-08-01T12:27:00Z</dcterms:modified>
</cp:coreProperties>
</file>