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1923CB" w:rsidRPr="001E764F" w:rsidTr="00D71D25">
        <w:trPr>
          <w:trHeight w:val="281"/>
        </w:trPr>
        <w:tc>
          <w:tcPr>
            <w:tcW w:w="5778" w:type="dxa"/>
          </w:tcPr>
          <w:p w:rsidR="001923CB" w:rsidRPr="001E764F" w:rsidRDefault="001923CB" w:rsidP="00D71D25">
            <w:pPr>
              <w:rPr>
                <w:rFonts w:ascii="Arial" w:hAnsi="Arial" w:cs="Arial"/>
                <w:b/>
                <w:sz w:val="16"/>
                <w:szCs w:val="16"/>
              </w:rPr>
            </w:pPr>
            <w:bookmarkStart w:id="0" w:name="Appearances"/>
          </w:p>
        </w:tc>
        <w:tc>
          <w:tcPr>
            <w:tcW w:w="3828" w:type="dxa"/>
            <w:vMerge w:val="restart"/>
          </w:tcPr>
          <w:p w:rsidR="001923CB" w:rsidRPr="001E764F" w:rsidRDefault="001923CB" w:rsidP="00D71D25">
            <w:pPr>
              <w:rPr>
                <w:rFonts w:ascii="Arial" w:hAnsi="Arial" w:cs="Arial"/>
                <w:b/>
                <w:noProof/>
                <w:sz w:val="32"/>
                <w:szCs w:val="32"/>
                <w:lang w:val="en-CA" w:eastAsia="en-CA"/>
              </w:rPr>
            </w:pPr>
            <w:r>
              <w:rPr>
                <w:rFonts w:ascii="Arial" w:hAnsi="Arial" w:cs="Arial"/>
                <w:noProof/>
                <w:lang w:val="en-CA" w:eastAsia="en-CA"/>
              </w:rPr>
              <w:drawing>
                <wp:anchor distT="0" distB="0" distL="114300" distR="114300" simplePos="0" relativeHeight="251659264" behindDoc="0" locked="0" layoutInCell="1" allowOverlap="1" wp14:anchorId="6B605F2A" wp14:editId="6B2FC0BF">
                  <wp:simplePos x="0" y="0"/>
                  <wp:positionH relativeFrom="column">
                    <wp:align>center</wp:align>
                  </wp:positionH>
                  <wp:positionV relativeFrom="paragraph">
                    <wp:posOffset>80010</wp:posOffset>
                  </wp:positionV>
                  <wp:extent cx="118872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923CB" w:rsidRPr="001E764F" w:rsidTr="00D71D25">
        <w:tc>
          <w:tcPr>
            <w:tcW w:w="5778" w:type="dxa"/>
          </w:tcPr>
          <w:p w:rsidR="001923CB" w:rsidRPr="001E764F" w:rsidRDefault="001923CB" w:rsidP="00D71D25">
            <w:pPr>
              <w:rPr>
                <w:rFonts w:ascii="Arial" w:hAnsi="Arial" w:cs="Arial"/>
                <w:b/>
                <w:sz w:val="32"/>
                <w:szCs w:val="32"/>
              </w:rPr>
            </w:pPr>
            <w:r w:rsidRPr="001E764F">
              <w:rPr>
                <w:rFonts w:ascii="Arial" w:hAnsi="Arial" w:cs="Arial"/>
                <w:b/>
                <w:sz w:val="32"/>
                <w:szCs w:val="32"/>
              </w:rPr>
              <w:t>Ontario Municipal Board</w:t>
            </w:r>
          </w:p>
        </w:tc>
        <w:tc>
          <w:tcPr>
            <w:tcW w:w="3828" w:type="dxa"/>
            <w:vMerge/>
          </w:tcPr>
          <w:p w:rsidR="001923CB" w:rsidRPr="001E764F" w:rsidRDefault="001923CB" w:rsidP="00D71D25">
            <w:pPr>
              <w:rPr>
                <w:rFonts w:ascii="Arial" w:hAnsi="Arial" w:cs="Arial"/>
                <w:b/>
                <w:sz w:val="32"/>
                <w:szCs w:val="32"/>
              </w:rPr>
            </w:pPr>
          </w:p>
        </w:tc>
      </w:tr>
      <w:tr w:rsidR="001923CB" w:rsidRPr="00DC4D31" w:rsidTr="00D71D25">
        <w:tc>
          <w:tcPr>
            <w:tcW w:w="5778" w:type="dxa"/>
          </w:tcPr>
          <w:p w:rsidR="001923CB" w:rsidRPr="001E764F" w:rsidRDefault="001923CB" w:rsidP="00D71D25">
            <w:pPr>
              <w:rPr>
                <w:rFonts w:ascii="Arial" w:hAnsi="Arial" w:cs="Arial"/>
                <w:sz w:val="32"/>
                <w:szCs w:val="32"/>
                <w:lang w:val="fr-CA"/>
              </w:rPr>
            </w:pPr>
            <w:r w:rsidRPr="001E764F">
              <w:rPr>
                <w:rFonts w:ascii="Arial" w:hAnsi="Arial" w:cs="Arial"/>
                <w:sz w:val="32"/>
                <w:szCs w:val="32"/>
                <w:lang w:val="fr-CA"/>
              </w:rPr>
              <w:t>Commission des affaires municipales</w:t>
            </w:r>
          </w:p>
          <w:p w:rsidR="001923CB" w:rsidRPr="001E764F" w:rsidRDefault="001923CB" w:rsidP="00D71D25">
            <w:pPr>
              <w:rPr>
                <w:rFonts w:ascii="Arial" w:hAnsi="Arial" w:cs="Arial"/>
                <w:sz w:val="32"/>
                <w:szCs w:val="32"/>
                <w:lang w:val="fr-CA"/>
              </w:rPr>
            </w:pPr>
            <w:r w:rsidRPr="001E764F">
              <w:rPr>
                <w:rFonts w:ascii="Arial" w:hAnsi="Arial" w:cs="Arial"/>
                <w:sz w:val="32"/>
                <w:szCs w:val="32"/>
                <w:lang w:val="fr-CA"/>
              </w:rPr>
              <w:t>de l’Ontario</w:t>
            </w:r>
          </w:p>
          <w:p w:rsidR="001923CB" w:rsidRPr="001E764F" w:rsidRDefault="001923CB" w:rsidP="00D71D25">
            <w:pPr>
              <w:rPr>
                <w:rFonts w:ascii="Arial" w:hAnsi="Arial" w:cs="Arial"/>
                <w:sz w:val="32"/>
                <w:szCs w:val="32"/>
                <w:lang w:val="fr-CA"/>
              </w:rPr>
            </w:pPr>
          </w:p>
          <w:p w:rsidR="001923CB" w:rsidRPr="001E764F" w:rsidRDefault="001923CB" w:rsidP="00D71D25">
            <w:pPr>
              <w:rPr>
                <w:rFonts w:ascii="Arial" w:hAnsi="Arial" w:cs="Arial"/>
                <w:sz w:val="32"/>
                <w:szCs w:val="32"/>
                <w:lang w:val="fr-CA"/>
              </w:rPr>
            </w:pPr>
          </w:p>
        </w:tc>
        <w:tc>
          <w:tcPr>
            <w:tcW w:w="3828" w:type="dxa"/>
            <w:vMerge/>
          </w:tcPr>
          <w:p w:rsidR="001923CB" w:rsidRPr="001E764F" w:rsidRDefault="001923CB" w:rsidP="00D71D25">
            <w:pPr>
              <w:rPr>
                <w:rFonts w:ascii="Arial" w:hAnsi="Arial" w:cs="Arial"/>
                <w:sz w:val="32"/>
                <w:szCs w:val="32"/>
                <w:lang w:val="fr-CA"/>
              </w:rPr>
            </w:pPr>
          </w:p>
        </w:tc>
      </w:tr>
    </w:tbl>
    <w:p w:rsidR="00AB07FC" w:rsidRPr="00375F31" w:rsidRDefault="00AB07FC" w:rsidP="005A767F">
      <w:pPr>
        <w:rPr>
          <w:rFonts w:ascii="Arial" w:hAnsi="Arial" w:cs="Arial"/>
          <w:sz w:val="32"/>
          <w:szCs w:val="32"/>
          <w:lang w:val="fr-CA"/>
        </w:rPr>
      </w:pPr>
    </w:p>
    <w:tbl>
      <w:tblPr>
        <w:tblpPr w:leftFromText="181" w:rightFromText="181" w:vertAnchor="text" w:horzAnchor="margin" w:tblpY="189"/>
        <w:tblW w:w="9606" w:type="dxa"/>
        <w:tblLook w:val="04A0" w:firstRow="1" w:lastRow="0" w:firstColumn="1" w:lastColumn="0" w:noHBand="0" w:noVBand="1"/>
      </w:tblPr>
      <w:tblGrid>
        <w:gridCol w:w="1818"/>
        <w:gridCol w:w="3960"/>
        <w:gridCol w:w="2127"/>
        <w:gridCol w:w="1701"/>
      </w:tblGrid>
      <w:tr w:rsidR="00EA73B7" w:rsidRPr="005A767F" w:rsidTr="001923CB">
        <w:tc>
          <w:tcPr>
            <w:tcW w:w="1818" w:type="dxa"/>
            <w:shd w:val="clear" w:color="auto" w:fill="auto"/>
            <w:vAlign w:val="center"/>
          </w:tcPr>
          <w:p w:rsidR="00EA73B7" w:rsidRPr="005A767F" w:rsidRDefault="00EA73B7" w:rsidP="005A767F">
            <w:pPr>
              <w:rPr>
                <w:rFonts w:ascii="Arial" w:hAnsi="Arial" w:cs="Arial"/>
              </w:rPr>
            </w:pPr>
            <w:r w:rsidRPr="005A767F">
              <w:rPr>
                <w:rFonts w:ascii="Arial" w:hAnsi="Arial" w:cs="Arial"/>
                <w:b/>
              </w:rPr>
              <w:t>ISSUE DATE</w:t>
            </w:r>
            <w:r w:rsidRPr="005A767F">
              <w:rPr>
                <w:rFonts w:ascii="Arial" w:hAnsi="Arial" w:cs="Arial"/>
              </w:rPr>
              <w:t>:</w:t>
            </w:r>
          </w:p>
        </w:tc>
        <w:tc>
          <w:tcPr>
            <w:tcW w:w="3960" w:type="dxa"/>
            <w:shd w:val="clear" w:color="auto" w:fill="auto"/>
            <w:vAlign w:val="center"/>
          </w:tcPr>
          <w:p w:rsidR="00EA73B7" w:rsidRPr="005A767F" w:rsidRDefault="00DC4D31" w:rsidP="005A767F">
            <w:pPr>
              <w:rPr>
                <w:rFonts w:ascii="Arial" w:hAnsi="Arial" w:cs="Arial"/>
              </w:rPr>
            </w:pPr>
            <w:r>
              <w:rPr>
                <w:rFonts w:ascii="Arial" w:hAnsi="Arial" w:cs="Arial"/>
              </w:rPr>
              <w:t>September 13, 2017</w:t>
            </w:r>
          </w:p>
        </w:tc>
        <w:tc>
          <w:tcPr>
            <w:tcW w:w="2127" w:type="dxa"/>
            <w:shd w:val="clear" w:color="auto" w:fill="auto"/>
            <w:vAlign w:val="center"/>
          </w:tcPr>
          <w:p w:rsidR="00EA73B7" w:rsidRPr="005A767F" w:rsidRDefault="00EA73B7" w:rsidP="005A767F">
            <w:pPr>
              <w:jc w:val="right"/>
              <w:rPr>
                <w:rFonts w:ascii="Arial" w:hAnsi="Arial" w:cs="Arial"/>
                <w:b/>
              </w:rPr>
            </w:pPr>
            <w:r w:rsidRPr="005A767F">
              <w:rPr>
                <w:rFonts w:ascii="Arial" w:hAnsi="Arial" w:cs="Arial"/>
              </w:rPr>
              <w:fldChar w:fldCharType="begin"/>
            </w:r>
            <w:r w:rsidRPr="005A767F">
              <w:rPr>
                <w:rFonts w:ascii="Arial" w:hAnsi="Arial" w:cs="Arial"/>
              </w:rPr>
              <w:instrText xml:space="preserve"> SEQ CHAPTER \h \r 1</w:instrText>
            </w:r>
            <w:r w:rsidRPr="005A767F">
              <w:rPr>
                <w:rFonts w:ascii="Arial" w:hAnsi="Arial" w:cs="Arial"/>
              </w:rPr>
              <w:fldChar w:fldCharType="end"/>
            </w:r>
            <w:r w:rsidRPr="005A767F">
              <w:rPr>
                <w:rFonts w:ascii="Arial" w:hAnsi="Arial" w:cs="Arial"/>
                <w:b/>
              </w:rPr>
              <w:t>CASE NO(S)</w:t>
            </w:r>
            <w:proofErr w:type="gramStart"/>
            <w:r w:rsidRPr="005A767F">
              <w:rPr>
                <w:rFonts w:ascii="Arial" w:hAnsi="Arial" w:cs="Arial"/>
                <w:b/>
              </w:rPr>
              <w:t>.:</w:t>
            </w:r>
            <w:proofErr w:type="gramEnd"/>
          </w:p>
        </w:tc>
        <w:tc>
          <w:tcPr>
            <w:tcW w:w="1701" w:type="dxa"/>
            <w:shd w:val="clear" w:color="auto" w:fill="auto"/>
            <w:vAlign w:val="center"/>
          </w:tcPr>
          <w:p w:rsidR="00EA73B7" w:rsidRPr="005A767F" w:rsidRDefault="001923CB" w:rsidP="005A767F">
            <w:pPr>
              <w:jc w:val="right"/>
              <w:rPr>
                <w:rFonts w:ascii="Arial" w:hAnsi="Arial" w:cs="Arial"/>
              </w:rPr>
            </w:pPr>
            <w:r>
              <w:rPr>
                <w:rFonts w:ascii="Arial" w:hAnsi="Arial" w:cs="Arial"/>
              </w:rPr>
              <w:t>PL170282</w:t>
            </w:r>
          </w:p>
        </w:tc>
      </w:tr>
      <w:tr w:rsidR="00EA73B7" w:rsidRPr="005A767F" w:rsidTr="001923CB">
        <w:tc>
          <w:tcPr>
            <w:tcW w:w="1818" w:type="dxa"/>
            <w:shd w:val="clear" w:color="auto" w:fill="auto"/>
            <w:vAlign w:val="center"/>
          </w:tcPr>
          <w:p w:rsidR="00EA73B7" w:rsidRPr="005A767F" w:rsidRDefault="00EA73B7" w:rsidP="005A767F">
            <w:pPr>
              <w:rPr>
                <w:rFonts w:ascii="Arial" w:hAnsi="Arial" w:cs="Arial"/>
              </w:rPr>
            </w:pPr>
          </w:p>
        </w:tc>
        <w:tc>
          <w:tcPr>
            <w:tcW w:w="3960" w:type="dxa"/>
            <w:shd w:val="clear" w:color="auto" w:fill="auto"/>
            <w:vAlign w:val="center"/>
          </w:tcPr>
          <w:p w:rsidR="00EA73B7" w:rsidRPr="005A767F" w:rsidRDefault="00EA73B7" w:rsidP="005A767F">
            <w:pPr>
              <w:rPr>
                <w:rFonts w:ascii="Arial" w:hAnsi="Arial" w:cs="Arial"/>
              </w:rPr>
            </w:pPr>
          </w:p>
        </w:tc>
        <w:tc>
          <w:tcPr>
            <w:tcW w:w="2127" w:type="dxa"/>
            <w:shd w:val="clear" w:color="auto" w:fill="auto"/>
            <w:vAlign w:val="center"/>
          </w:tcPr>
          <w:p w:rsidR="00EA73B7" w:rsidRPr="005A767F" w:rsidRDefault="00EA73B7" w:rsidP="005A767F">
            <w:pPr>
              <w:rPr>
                <w:rFonts w:ascii="Arial" w:hAnsi="Arial" w:cs="Arial"/>
              </w:rPr>
            </w:pPr>
          </w:p>
        </w:tc>
        <w:tc>
          <w:tcPr>
            <w:tcW w:w="1701" w:type="dxa"/>
            <w:shd w:val="clear" w:color="auto" w:fill="auto"/>
            <w:vAlign w:val="center"/>
          </w:tcPr>
          <w:p w:rsidR="00EA73B7" w:rsidRPr="005A767F" w:rsidRDefault="00EA73B7" w:rsidP="009A73F6">
            <w:pPr>
              <w:jc w:val="right"/>
              <w:rPr>
                <w:rFonts w:ascii="Arial" w:hAnsi="Arial" w:cs="Arial"/>
              </w:rPr>
            </w:pPr>
          </w:p>
        </w:tc>
      </w:tr>
    </w:tbl>
    <w:tbl>
      <w:tblPr>
        <w:tblW w:w="10068" w:type="dxa"/>
        <w:tblLook w:val="04A0" w:firstRow="1" w:lastRow="0" w:firstColumn="1" w:lastColumn="0" w:noHBand="0" w:noVBand="1"/>
      </w:tblPr>
      <w:tblGrid>
        <w:gridCol w:w="3468"/>
        <w:gridCol w:w="6600"/>
      </w:tblGrid>
      <w:tr w:rsidR="001923CB" w:rsidRPr="001923CB" w:rsidTr="0054190D">
        <w:trPr>
          <w:cantSplit/>
          <w:trHeight w:val="732"/>
        </w:trPr>
        <w:tc>
          <w:tcPr>
            <w:tcW w:w="10068" w:type="dxa"/>
            <w:gridSpan w:val="2"/>
            <w:hideMark/>
          </w:tcPr>
          <w:p w:rsidR="001923CB" w:rsidRPr="001923CB" w:rsidRDefault="001923CB">
            <w:pPr>
              <w:rPr>
                <w:rFonts w:ascii="Arial" w:hAnsi="Arial" w:cs="Arial"/>
              </w:rPr>
            </w:pPr>
            <w:r w:rsidRPr="001923CB">
              <w:rPr>
                <w:rFonts w:ascii="Arial" w:hAnsi="Arial" w:cs="Arial"/>
                <w:b/>
              </w:rPr>
              <w:t xml:space="preserve">PROCEEDING COMMENCED UNDER </w:t>
            </w:r>
            <w:r w:rsidRPr="001923CB">
              <w:rPr>
                <w:rFonts w:ascii="Arial" w:hAnsi="Arial" w:cs="Arial"/>
              </w:rPr>
              <w:t xml:space="preserve">subsection 22(7) of the </w:t>
            </w:r>
            <w:r w:rsidRPr="001923CB">
              <w:rPr>
                <w:rFonts w:ascii="Arial" w:hAnsi="Arial" w:cs="Arial"/>
                <w:i/>
              </w:rPr>
              <w:t>Planning Act</w:t>
            </w:r>
            <w:r w:rsidRPr="001923CB">
              <w:rPr>
                <w:rFonts w:ascii="Arial" w:hAnsi="Arial" w:cs="Arial"/>
              </w:rPr>
              <w:t>, R.S.O. 1990, c. P.13, as amended</w:t>
            </w:r>
          </w:p>
        </w:tc>
      </w:tr>
      <w:tr w:rsidR="001923CB" w:rsidRPr="001923CB" w:rsidTr="0054190D">
        <w:tc>
          <w:tcPr>
            <w:tcW w:w="3468" w:type="dxa"/>
            <w:hideMark/>
          </w:tcPr>
          <w:p w:rsidR="001923CB" w:rsidRPr="001923CB" w:rsidRDefault="001923CB">
            <w:pPr>
              <w:rPr>
                <w:rFonts w:ascii="Arial" w:hAnsi="Arial" w:cs="Arial"/>
              </w:rPr>
            </w:pPr>
            <w:r w:rsidRPr="001923CB">
              <w:rPr>
                <w:rFonts w:ascii="Arial" w:hAnsi="Arial" w:cs="Arial"/>
              </w:rPr>
              <w:t>Applicant and Appellant:</w:t>
            </w:r>
          </w:p>
        </w:tc>
        <w:tc>
          <w:tcPr>
            <w:tcW w:w="6600" w:type="dxa"/>
            <w:hideMark/>
          </w:tcPr>
          <w:p w:rsidR="001923CB" w:rsidRPr="001923CB" w:rsidRDefault="001923CB" w:rsidP="0054190D">
            <w:pPr>
              <w:ind w:left="785"/>
              <w:rPr>
                <w:rFonts w:ascii="Arial" w:hAnsi="Arial" w:cs="Arial"/>
              </w:rPr>
            </w:pPr>
            <w:proofErr w:type="spellStart"/>
            <w:r w:rsidRPr="001923CB">
              <w:rPr>
                <w:rFonts w:ascii="Arial" w:hAnsi="Arial" w:cs="Arial"/>
              </w:rPr>
              <w:t>Queenston</w:t>
            </w:r>
            <w:proofErr w:type="spellEnd"/>
            <w:r w:rsidRPr="001923CB">
              <w:rPr>
                <w:rFonts w:ascii="Arial" w:hAnsi="Arial" w:cs="Arial"/>
              </w:rPr>
              <w:t xml:space="preserve"> Road Holdings Inc.</w:t>
            </w:r>
          </w:p>
        </w:tc>
      </w:tr>
      <w:tr w:rsidR="001923CB" w:rsidRPr="001923CB" w:rsidTr="0054190D">
        <w:tc>
          <w:tcPr>
            <w:tcW w:w="3468" w:type="dxa"/>
            <w:hideMark/>
          </w:tcPr>
          <w:p w:rsidR="001923CB" w:rsidRPr="001923CB" w:rsidRDefault="001923CB">
            <w:pPr>
              <w:rPr>
                <w:rFonts w:ascii="Arial" w:hAnsi="Arial" w:cs="Arial"/>
              </w:rPr>
            </w:pPr>
            <w:r w:rsidRPr="001923CB">
              <w:rPr>
                <w:rFonts w:ascii="Arial" w:hAnsi="Arial" w:cs="Arial"/>
              </w:rPr>
              <w:t>Subject:</w:t>
            </w:r>
          </w:p>
        </w:tc>
        <w:tc>
          <w:tcPr>
            <w:tcW w:w="6600" w:type="dxa"/>
            <w:hideMark/>
          </w:tcPr>
          <w:p w:rsidR="001923CB" w:rsidRPr="001923CB" w:rsidRDefault="001923CB" w:rsidP="0054190D">
            <w:pPr>
              <w:ind w:left="785"/>
              <w:rPr>
                <w:rFonts w:ascii="Arial" w:hAnsi="Arial" w:cs="Arial"/>
              </w:rPr>
            </w:pPr>
            <w:r w:rsidRPr="001923CB">
              <w:rPr>
                <w:rFonts w:ascii="Arial" w:hAnsi="Arial" w:cs="Arial"/>
              </w:rPr>
              <w:t>Request to amend the Urban Hamilton Official Plan (UHOP) and Old Town Secondary Plan - Refusal of request by the City of Hamilton</w:t>
            </w:r>
          </w:p>
        </w:tc>
      </w:tr>
      <w:tr w:rsidR="001923CB" w:rsidRPr="001923CB" w:rsidTr="0054190D">
        <w:tc>
          <w:tcPr>
            <w:tcW w:w="3468" w:type="dxa"/>
            <w:hideMark/>
          </w:tcPr>
          <w:p w:rsidR="001923CB" w:rsidRPr="001923CB" w:rsidRDefault="001923CB">
            <w:pPr>
              <w:rPr>
                <w:rFonts w:ascii="Arial" w:hAnsi="Arial" w:cs="Arial"/>
              </w:rPr>
            </w:pPr>
            <w:r w:rsidRPr="001923CB">
              <w:rPr>
                <w:rFonts w:ascii="Arial" w:hAnsi="Arial" w:cs="Arial"/>
              </w:rPr>
              <w:t>Existing Designation:</w:t>
            </w:r>
          </w:p>
        </w:tc>
        <w:tc>
          <w:tcPr>
            <w:tcW w:w="6600" w:type="dxa"/>
            <w:hideMark/>
          </w:tcPr>
          <w:p w:rsidR="001923CB" w:rsidRPr="001923CB" w:rsidRDefault="001923CB" w:rsidP="0054190D">
            <w:pPr>
              <w:pStyle w:val="BodyText"/>
              <w:spacing w:after="0"/>
              <w:ind w:left="785"/>
              <w:contextualSpacing/>
              <w:jc w:val="left"/>
              <w:rPr>
                <w:rFonts w:ascii="Arial" w:hAnsi="Arial" w:cs="Arial"/>
              </w:rPr>
            </w:pPr>
            <w:r w:rsidRPr="001923CB">
              <w:rPr>
                <w:rFonts w:ascii="Arial" w:hAnsi="Arial" w:cs="Arial"/>
                <w:lang w:eastAsia="en-US"/>
              </w:rPr>
              <w:t>Mixed Use – Medium Density (UHOP); General Open Space (Old Town Secondary Plan)</w:t>
            </w:r>
          </w:p>
        </w:tc>
      </w:tr>
      <w:tr w:rsidR="001923CB" w:rsidRPr="001923CB" w:rsidTr="0054190D">
        <w:tc>
          <w:tcPr>
            <w:tcW w:w="3468" w:type="dxa"/>
            <w:hideMark/>
          </w:tcPr>
          <w:p w:rsidR="001923CB" w:rsidRPr="001923CB" w:rsidRDefault="001923CB">
            <w:pPr>
              <w:rPr>
                <w:rFonts w:ascii="Arial" w:hAnsi="Arial" w:cs="Arial"/>
              </w:rPr>
            </w:pPr>
            <w:r w:rsidRPr="001923CB">
              <w:rPr>
                <w:rFonts w:ascii="Arial" w:hAnsi="Arial" w:cs="Arial"/>
              </w:rPr>
              <w:t xml:space="preserve">Proposed Designated: </w:t>
            </w:r>
          </w:p>
        </w:tc>
        <w:tc>
          <w:tcPr>
            <w:tcW w:w="6600" w:type="dxa"/>
            <w:hideMark/>
          </w:tcPr>
          <w:p w:rsidR="001923CB" w:rsidRPr="001923CB" w:rsidRDefault="001923CB" w:rsidP="0054190D">
            <w:pPr>
              <w:ind w:left="785"/>
              <w:rPr>
                <w:rFonts w:ascii="Arial" w:hAnsi="Arial" w:cs="Arial"/>
              </w:rPr>
            </w:pPr>
            <w:proofErr w:type="spellStart"/>
            <w:r w:rsidRPr="001923CB">
              <w:rPr>
                <w:rFonts w:ascii="Arial" w:hAnsi="Arial" w:cs="Arial"/>
              </w:rPr>
              <w:t>Neighbourhoods</w:t>
            </w:r>
            <w:proofErr w:type="spellEnd"/>
            <w:r w:rsidRPr="001923CB">
              <w:rPr>
                <w:rFonts w:ascii="Arial" w:hAnsi="Arial" w:cs="Arial"/>
              </w:rPr>
              <w:t xml:space="preserve"> and Open Space (UHOP); Mixed Use – Medium Density, High Density Residential 1 and Natural Open Space (Old Town Secondary Plan)</w:t>
            </w:r>
          </w:p>
        </w:tc>
      </w:tr>
      <w:tr w:rsidR="001923CB" w:rsidRPr="001923CB" w:rsidTr="0054190D">
        <w:tc>
          <w:tcPr>
            <w:tcW w:w="3468" w:type="dxa"/>
            <w:hideMark/>
          </w:tcPr>
          <w:p w:rsidR="001923CB" w:rsidRPr="001923CB" w:rsidRDefault="001923CB">
            <w:pPr>
              <w:rPr>
                <w:rFonts w:ascii="Arial" w:hAnsi="Arial" w:cs="Arial"/>
              </w:rPr>
            </w:pPr>
            <w:r w:rsidRPr="001923CB">
              <w:rPr>
                <w:rFonts w:ascii="Arial" w:hAnsi="Arial" w:cs="Arial"/>
              </w:rPr>
              <w:t xml:space="preserve">Purpose: </w:t>
            </w:r>
          </w:p>
        </w:tc>
        <w:tc>
          <w:tcPr>
            <w:tcW w:w="6600" w:type="dxa"/>
            <w:hideMark/>
          </w:tcPr>
          <w:p w:rsidR="001923CB" w:rsidRPr="001923CB" w:rsidRDefault="001923CB" w:rsidP="0054190D">
            <w:pPr>
              <w:ind w:left="785"/>
              <w:rPr>
                <w:rFonts w:ascii="Arial" w:hAnsi="Arial" w:cs="Arial"/>
              </w:rPr>
            </w:pPr>
            <w:r w:rsidRPr="001923CB">
              <w:rPr>
                <w:rFonts w:ascii="Arial" w:hAnsi="Arial" w:cs="Arial"/>
              </w:rPr>
              <w:t xml:space="preserve">To permit the development of a 19 </w:t>
            </w:r>
            <w:proofErr w:type="spellStart"/>
            <w:r w:rsidRPr="001923CB">
              <w:rPr>
                <w:rFonts w:ascii="Arial" w:hAnsi="Arial" w:cs="Arial"/>
              </w:rPr>
              <w:t>storey</w:t>
            </w:r>
            <w:proofErr w:type="spellEnd"/>
            <w:r w:rsidRPr="001923CB">
              <w:rPr>
                <w:rFonts w:ascii="Arial" w:hAnsi="Arial" w:cs="Arial"/>
              </w:rPr>
              <w:t xml:space="preserve"> residential building, recognize the existing 2 </w:t>
            </w:r>
            <w:proofErr w:type="spellStart"/>
            <w:r w:rsidRPr="001923CB">
              <w:rPr>
                <w:rFonts w:ascii="Arial" w:hAnsi="Arial" w:cs="Arial"/>
              </w:rPr>
              <w:t>storey</w:t>
            </w:r>
            <w:proofErr w:type="spellEnd"/>
            <w:r w:rsidRPr="001923CB">
              <w:rPr>
                <w:rFonts w:ascii="Arial" w:hAnsi="Arial" w:cs="Arial"/>
              </w:rPr>
              <w:t xml:space="preserve"> commercial building and open space lands</w:t>
            </w:r>
          </w:p>
        </w:tc>
      </w:tr>
      <w:tr w:rsidR="001923CB" w:rsidRPr="001923CB" w:rsidTr="0054190D">
        <w:tc>
          <w:tcPr>
            <w:tcW w:w="3468" w:type="dxa"/>
            <w:hideMark/>
          </w:tcPr>
          <w:p w:rsidR="001923CB" w:rsidRPr="001923CB" w:rsidRDefault="001923CB">
            <w:pPr>
              <w:rPr>
                <w:rFonts w:ascii="Arial" w:hAnsi="Arial" w:cs="Arial"/>
              </w:rPr>
            </w:pPr>
            <w:r w:rsidRPr="001923CB">
              <w:rPr>
                <w:rFonts w:ascii="Arial" w:hAnsi="Arial" w:cs="Arial"/>
              </w:rPr>
              <w:t xml:space="preserve">Property Address/Description: </w:t>
            </w:r>
          </w:p>
        </w:tc>
        <w:tc>
          <w:tcPr>
            <w:tcW w:w="6600" w:type="dxa"/>
            <w:hideMark/>
          </w:tcPr>
          <w:p w:rsidR="001923CB" w:rsidRPr="001923CB" w:rsidRDefault="001923CB" w:rsidP="0054190D">
            <w:pPr>
              <w:ind w:left="785"/>
              <w:rPr>
                <w:rFonts w:ascii="Arial" w:hAnsi="Arial" w:cs="Arial"/>
              </w:rPr>
            </w:pPr>
            <w:r w:rsidRPr="001923CB">
              <w:rPr>
                <w:rFonts w:ascii="Arial" w:hAnsi="Arial" w:cs="Arial"/>
              </w:rPr>
              <w:t xml:space="preserve">860 </w:t>
            </w:r>
            <w:proofErr w:type="spellStart"/>
            <w:r w:rsidRPr="001923CB">
              <w:rPr>
                <w:rFonts w:ascii="Arial" w:hAnsi="Arial" w:cs="Arial"/>
              </w:rPr>
              <w:t>Queenston</w:t>
            </w:r>
            <w:proofErr w:type="spellEnd"/>
            <w:r w:rsidRPr="001923CB">
              <w:rPr>
                <w:rFonts w:ascii="Arial" w:hAnsi="Arial" w:cs="Arial"/>
              </w:rPr>
              <w:t xml:space="preserve"> Rd.</w:t>
            </w:r>
          </w:p>
        </w:tc>
      </w:tr>
      <w:tr w:rsidR="001923CB" w:rsidRPr="001923CB" w:rsidTr="0054190D">
        <w:tc>
          <w:tcPr>
            <w:tcW w:w="3468" w:type="dxa"/>
            <w:hideMark/>
          </w:tcPr>
          <w:p w:rsidR="001923CB" w:rsidRPr="001923CB" w:rsidRDefault="001923CB">
            <w:pPr>
              <w:rPr>
                <w:rFonts w:ascii="Arial" w:hAnsi="Arial" w:cs="Arial"/>
              </w:rPr>
            </w:pPr>
            <w:r w:rsidRPr="001923CB">
              <w:rPr>
                <w:rFonts w:ascii="Arial" w:hAnsi="Arial" w:cs="Arial"/>
              </w:rPr>
              <w:t xml:space="preserve">Municipality: </w:t>
            </w:r>
          </w:p>
        </w:tc>
        <w:tc>
          <w:tcPr>
            <w:tcW w:w="6600" w:type="dxa"/>
            <w:hideMark/>
          </w:tcPr>
          <w:p w:rsidR="001923CB" w:rsidRPr="001923CB" w:rsidRDefault="001923CB" w:rsidP="0054190D">
            <w:pPr>
              <w:ind w:left="785"/>
              <w:rPr>
                <w:rFonts w:ascii="Arial" w:hAnsi="Arial" w:cs="Arial"/>
              </w:rPr>
            </w:pPr>
            <w:r w:rsidRPr="001923CB">
              <w:rPr>
                <w:rFonts w:ascii="Arial" w:hAnsi="Arial" w:cs="Arial"/>
              </w:rPr>
              <w:t>City of Hamilton</w:t>
            </w:r>
            <w:bookmarkStart w:id="1" w:name="_GoBack"/>
            <w:bookmarkEnd w:id="1"/>
          </w:p>
        </w:tc>
      </w:tr>
      <w:tr w:rsidR="001923CB" w:rsidRPr="001923CB" w:rsidTr="0054190D">
        <w:tc>
          <w:tcPr>
            <w:tcW w:w="3468" w:type="dxa"/>
            <w:hideMark/>
          </w:tcPr>
          <w:p w:rsidR="001923CB" w:rsidRPr="001923CB" w:rsidRDefault="001923CB">
            <w:pPr>
              <w:rPr>
                <w:rFonts w:ascii="Arial" w:hAnsi="Arial" w:cs="Arial"/>
              </w:rPr>
            </w:pPr>
            <w:r w:rsidRPr="001923CB">
              <w:rPr>
                <w:rFonts w:ascii="Arial" w:hAnsi="Arial" w:cs="Arial"/>
              </w:rPr>
              <w:t xml:space="preserve">Approval Authority File No.: </w:t>
            </w:r>
          </w:p>
        </w:tc>
        <w:tc>
          <w:tcPr>
            <w:tcW w:w="6600" w:type="dxa"/>
            <w:hideMark/>
          </w:tcPr>
          <w:p w:rsidR="001923CB" w:rsidRPr="001923CB" w:rsidRDefault="001923CB" w:rsidP="0054190D">
            <w:pPr>
              <w:ind w:left="785"/>
              <w:rPr>
                <w:rFonts w:ascii="Arial" w:hAnsi="Arial" w:cs="Arial"/>
              </w:rPr>
            </w:pPr>
            <w:r w:rsidRPr="001923CB">
              <w:rPr>
                <w:rFonts w:ascii="Arial" w:hAnsi="Arial" w:cs="Arial"/>
              </w:rPr>
              <w:t>UHOPA-16-01</w:t>
            </w:r>
          </w:p>
        </w:tc>
      </w:tr>
      <w:tr w:rsidR="001923CB" w:rsidRPr="001923CB" w:rsidTr="0054190D">
        <w:tc>
          <w:tcPr>
            <w:tcW w:w="3468" w:type="dxa"/>
            <w:hideMark/>
          </w:tcPr>
          <w:p w:rsidR="001923CB" w:rsidRPr="001923CB" w:rsidRDefault="001923CB">
            <w:pPr>
              <w:rPr>
                <w:rFonts w:ascii="Arial" w:hAnsi="Arial" w:cs="Arial"/>
              </w:rPr>
            </w:pPr>
            <w:r w:rsidRPr="001923CB">
              <w:rPr>
                <w:rFonts w:ascii="Arial" w:hAnsi="Arial" w:cs="Arial"/>
              </w:rPr>
              <w:t xml:space="preserve">OMB Case No.: </w:t>
            </w:r>
          </w:p>
        </w:tc>
        <w:tc>
          <w:tcPr>
            <w:tcW w:w="6600" w:type="dxa"/>
            <w:hideMark/>
          </w:tcPr>
          <w:p w:rsidR="001923CB" w:rsidRPr="001923CB" w:rsidRDefault="001923CB" w:rsidP="0054190D">
            <w:pPr>
              <w:ind w:left="785"/>
              <w:rPr>
                <w:rFonts w:ascii="Arial" w:hAnsi="Arial" w:cs="Arial"/>
              </w:rPr>
            </w:pPr>
            <w:r w:rsidRPr="001923CB">
              <w:rPr>
                <w:rFonts w:ascii="Arial" w:hAnsi="Arial" w:cs="Arial"/>
              </w:rPr>
              <w:t>PL170282</w:t>
            </w:r>
          </w:p>
        </w:tc>
      </w:tr>
      <w:tr w:rsidR="001923CB" w:rsidRPr="001923CB" w:rsidTr="0054190D">
        <w:tc>
          <w:tcPr>
            <w:tcW w:w="3468" w:type="dxa"/>
            <w:hideMark/>
          </w:tcPr>
          <w:p w:rsidR="001923CB" w:rsidRPr="001923CB" w:rsidRDefault="001923CB">
            <w:pPr>
              <w:rPr>
                <w:rFonts w:ascii="Arial" w:hAnsi="Arial" w:cs="Arial"/>
              </w:rPr>
            </w:pPr>
            <w:r w:rsidRPr="001923CB">
              <w:rPr>
                <w:rFonts w:ascii="Arial" w:hAnsi="Arial" w:cs="Arial"/>
              </w:rPr>
              <w:t xml:space="preserve">OMB File No.: </w:t>
            </w:r>
          </w:p>
        </w:tc>
        <w:tc>
          <w:tcPr>
            <w:tcW w:w="6600" w:type="dxa"/>
            <w:hideMark/>
          </w:tcPr>
          <w:p w:rsidR="001923CB" w:rsidRPr="001923CB" w:rsidRDefault="001923CB" w:rsidP="0054190D">
            <w:pPr>
              <w:ind w:left="785"/>
              <w:rPr>
                <w:rFonts w:ascii="Arial" w:hAnsi="Arial" w:cs="Arial"/>
              </w:rPr>
            </w:pPr>
            <w:r w:rsidRPr="001923CB">
              <w:rPr>
                <w:rFonts w:ascii="Arial" w:hAnsi="Arial" w:cs="Arial"/>
              </w:rPr>
              <w:t>PL170282</w:t>
            </w:r>
          </w:p>
        </w:tc>
      </w:tr>
      <w:tr w:rsidR="001923CB" w:rsidRPr="001923CB" w:rsidTr="0054190D">
        <w:tc>
          <w:tcPr>
            <w:tcW w:w="3468" w:type="dxa"/>
            <w:hideMark/>
          </w:tcPr>
          <w:p w:rsidR="001923CB" w:rsidRPr="001923CB" w:rsidRDefault="001923CB">
            <w:pPr>
              <w:rPr>
                <w:rFonts w:ascii="Arial" w:hAnsi="Arial" w:cs="Arial"/>
              </w:rPr>
            </w:pPr>
            <w:r w:rsidRPr="001923CB">
              <w:rPr>
                <w:rFonts w:ascii="Arial" w:hAnsi="Arial" w:cs="Arial"/>
              </w:rPr>
              <w:t xml:space="preserve">OMB Case Name: </w:t>
            </w:r>
          </w:p>
        </w:tc>
        <w:tc>
          <w:tcPr>
            <w:tcW w:w="6600" w:type="dxa"/>
            <w:hideMark/>
          </w:tcPr>
          <w:p w:rsidR="001923CB" w:rsidRPr="001923CB" w:rsidRDefault="001923CB" w:rsidP="0054190D">
            <w:pPr>
              <w:ind w:left="785"/>
              <w:rPr>
                <w:rFonts w:ascii="Arial" w:hAnsi="Arial" w:cs="Arial"/>
              </w:rPr>
            </w:pPr>
            <w:proofErr w:type="spellStart"/>
            <w:r w:rsidRPr="001923CB">
              <w:rPr>
                <w:rFonts w:ascii="Arial" w:hAnsi="Arial" w:cs="Arial"/>
              </w:rPr>
              <w:t>Queenston</w:t>
            </w:r>
            <w:proofErr w:type="spellEnd"/>
            <w:r w:rsidRPr="001923CB">
              <w:rPr>
                <w:rFonts w:ascii="Arial" w:hAnsi="Arial" w:cs="Arial"/>
              </w:rPr>
              <w:t xml:space="preserve"> Road Holdings Inc. v. Hamilton (City)</w:t>
            </w:r>
          </w:p>
        </w:tc>
      </w:tr>
    </w:tbl>
    <w:p w:rsidR="001923CB" w:rsidRPr="001923CB" w:rsidRDefault="001923CB" w:rsidP="001923CB">
      <w:pPr>
        <w:rPr>
          <w:rFonts w:ascii="Arial" w:hAnsi="Arial" w:cs="Arial"/>
        </w:rPr>
      </w:pPr>
    </w:p>
    <w:tbl>
      <w:tblPr>
        <w:tblW w:w="10031" w:type="dxa"/>
        <w:tblLook w:val="04A0" w:firstRow="1" w:lastRow="0" w:firstColumn="1" w:lastColumn="0" w:noHBand="0" w:noVBand="1"/>
      </w:tblPr>
      <w:tblGrid>
        <w:gridCol w:w="3510"/>
        <w:gridCol w:w="6521"/>
      </w:tblGrid>
      <w:tr w:rsidR="001923CB" w:rsidRPr="001923CB" w:rsidTr="0054190D">
        <w:trPr>
          <w:cantSplit/>
          <w:trHeight w:val="732"/>
        </w:trPr>
        <w:tc>
          <w:tcPr>
            <w:tcW w:w="10031" w:type="dxa"/>
            <w:gridSpan w:val="2"/>
            <w:hideMark/>
          </w:tcPr>
          <w:p w:rsidR="001923CB" w:rsidRPr="001923CB" w:rsidRDefault="001923CB">
            <w:pPr>
              <w:rPr>
                <w:rFonts w:ascii="Arial" w:hAnsi="Arial" w:cs="Arial"/>
              </w:rPr>
            </w:pPr>
            <w:r w:rsidRPr="001923CB">
              <w:rPr>
                <w:rFonts w:ascii="Arial" w:hAnsi="Arial" w:cs="Arial"/>
                <w:b/>
              </w:rPr>
              <w:t xml:space="preserve">PROCEEDING COMMENCED UNDER </w:t>
            </w:r>
            <w:r w:rsidRPr="001923CB">
              <w:rPr>
                <w:rFonts w:ascii="Arial" w:hAnsi="Arial" w:cs="Arial"/>
              </w:rPr>
              <w:t xml:space="preserve">subsection 34(11) of the </w:t>
            </w:r>
            <w:r w:rsidRPr="001923CB">
              <w:rPr>
                <w:rFonts w:ascii="Arial" w:hAnsi="Arial" w:cs="Arial"/>
                <w:i/>
              </w:rPr>
              <w:t>Planning Act</w:t>
            </w:r>
            <w:r w:rsidRPr="001923CB">
              <w:rPr>
                <w:rFonts w:ascii="Arial" w:hAnsi="Arial" w:cs="Arial"/>
              </w:rPr>
              <w:t>, R.S.O. 1990, c. P.13, as amended</w:t>
            </w:r>
          </w:p>
        </w:tc>
      </w:tr>
      <w:tr w:rsidR="001923CB" w:rsidRPr="001923CB" w:rsidTr="0054190D">
        <w:tc>
          <w:tcPr>
            <w:tcW w:w="3510" w:type="dxa"/>
            <w:hideMark/>
          </w:tcPr>
          <w:p w:rsidR="001923CB" w:rsidRPr="001923CB" w:rsidRDefault="001923CB">
            <w:pPr>
              <w:rPr>
                <w:rFonts w:ascii="Arial" w:hAnsi="Arial" w:cs="Arial"/>
              </w:rPr>
            </w:pPr>
            <w:r w:rsidRPr="001923CB">
              <w:rPr>
                <w:rFonts w:ascii="Arial" w:hAnsi="Arial" w:cs="Arial"/>
              </w:rPr>
              <w:t>Applicant and Appellant:</w:t>
            </w:r>
          </w:p>
        </w:tc>
        <w:tc>
          <w:tcPr>
            <w:tcW w:w="6521" w:type="dxa"/>
            <w:hideMark/>
          </w:tcPr>
          <w:p w:rsidR="001923CB" w:rsidRPr="001923CB" w:rsidRDefault="001923CB" w:rsidP="0054190D">
            <w:pPr>
              <w:ind w:left="743"/>
              <w:rPr>
                <w:rFonts w:ascii="Arial" w:hAnsi="Arial" w:cs="Arial"/>
              </w:rPr>
            </w:pPr>
            <w:proofErr w:type="spellStart"/>
            <w:r w:rsidRPr="001923CB">
              <w:rPr>
                <w:rFonts w:ascii="Arial" w:hAnsi="Arial" w:cs="Arial"/>
              </w:rPr>
              <w:t>Queenston</w:t>
            </w:r>
            <w:proofErr w:type="spellEnd"/>
            <w:r w:rsidRPr="001923CB">
              <w:rPr>
                <w:rFonts w:ascii="Arial" w:hAnsi="Arial" w:cs="Arial"/>
              </w:rPr>
              <w:t xml:space="preserve"> Road Holdings Inc.</w:t>
            </w:r>
          </w:p>
        </w:tc>
      </w:tr>
      <w:tr w:rsidR="001923CB" w:rsidRPr="001923CB" w:rsidTr="0054190D">
        <w:tc>
          <w:tcPr>
            <w:tcW w:w="3510" w:type="dxa"/>
            <w:hideMark/>
          </w:tcPr>
          <w:p w:rsidR="001923CB" w:rsidRPr="001923CB" w:rsidRDefault="001923CB">
            <w:pPr>
              <w:rPr>
                <w:rFonts w:ascii="Arial" w:hAnsi="Arial" w:cs="Arial"/>
              </w:rPr>
            </w:pPr>
            <w:r w:rsidRPr="001923CB">
              <w:rPr>
                <w:rFonts w:ascii="Arial" w:hAnsi="Arial" w:cs="Arial"/>
              </w:rPr>
              <w:t>Subject:</w:t>
            </w:r>
          </w:p>
        </w:tc>
        <w:tc>
          <w:tcPr>
            <w:tcW w:w="6521" w:type="dxa"/>
            <w:hideMark/>
          </w:tcPr>
          <w:p w:rsidR="001923CB" w:rsidRPr="001923CB" w:rsidRDefault="001923CB" w:rsidP="0054190D">
            <w:pPr>
              <w:ind w:left="743"/>
              <w:rPr>
                <w:rFonts w:ascii="Arial" w:hAnsi="Arial" w:cs="Arial"/>
              </w:rPr>
            </w:pPr>
            <w:r w:rsidRPr="001923CB">
              <w:rPr>
                <w:rFonts w:ascii="Arial" w:hAnsi="Arial" w:cs="Arial"/>
                <w:lang w:val="x-none"/>
              </w:rPr>
              <w:t>Application to amend Zoning By-law No. 05-200</w:t>
            </w:r>
            <w:r w:rsidRPr="001923CB">
              <w:rPr>
                <w:rFonts w:ascii="Arial" w:hAnsi="Arial" w:cs="Arial"/>
              </w:rPr>
              <w:t xml:space="preserve"> – Refusal of Application by the City of Hamilton</w:t>
            </w:r>
          </w:p>
        </w:tc>
      </w:tr>
      <w:tr w:rsidR="001923CB" w:rsidRPr="001923CB" w:rsidTr="0054190D">
        <w:tc>
          <w:tcPr>
            <w:tcW w:w="3510" w:type="dxa"/>
            <w:hideMark/>
          </w:tcPr>
          <w:p w:rsidR="001923CB" w:rsidRPr="001923CB" w:rsidRDefault="001923CB">
            <w:pPr>
              <w:rPr>
                <w:rFonts w:ascii="Arial" w:hAnsi="Arial" w:cs="Arial"/>
              </w:rPr>
            </w:pPr>
            <w:r w:rsidRPr="001923CB">
              <w:rPr>
                <w:rFonts w:ascii="Arial" w:hAnsi="Arial" w:cs="Arial"/>
              </w:rPr>
              <w:t xml:space="preserve">Proposed Zoning: </w:t>
            </w:r>
          </w:p>
        </w:tc>
        <w:tc>
          <w:tcPr>
            <w:tcW w:w="6521" w:type="dxa"/>
            <w:hideMark/>
          </w:tcPr>
          <w:p w:rsidR="001923CB" w:rsidRPr="001923CB" w:rsidRDefault="001923CB" w:rsidP="0054190D">
            <w:pPr>
              <w:ind w:left="743"/>
              <w:rPr>
                <w:rFonts w:ascii="Arial" w:hAnsi="Arial" w:cs="Arial"/>
              </w:rPr>
            </w:pPr>
            <w:r w:rsidRPr="001923CB">
              <w:rPr>
                <w:rFonts w:ascii="Arial" w:hAnsi="Arial" w:cs="Arial"/>
              </w:rPr>
              <w:t xml:space="preserve">Adding lands to Zoning By-law No. 05-200 to be zoned </w:t>
            </w:r>
            <w:r w:rsidRPr="001923CB">
              <w:rPr>
                <w:rFonts w:ascii="Arial" w:hAnsi="Arial" w:cs="Arial"/>
                <w:lang w:val="x-none"/>
              </w:rPr>
              <w:t>Conservation/Hazard (P5)</w:t>
            </w:r>
          </w:p>
        </w:tc>
      </w:tr>
      <w:tr w:rsidR="001923CB" w:rsidRPr="001923CB" w:rsidTr="0054190D">
        <w:tc>
          <w:tcPr>
            <w:tcW w:w="3510" w:type="dxa"/>
            <w:hideMark/>
          </w:tcPr>
          <w:p w:rsidR="001923CB" w:rsidRPr="001923CB" w:rsidRDefault="001923CB">
            <w:pPr>
              <w:rPr>
                <w:rFonts w:ascii="Arial" w:hAnsi="Arial" w:cs="Arial"/>
              </w:rPr>
            </w:pPr>
            <w:r w:rsidRPr="001923CB">
              <w:rPr>
                <w:rFonts w:ascii="Arial" w:hAnsi="Arial" w:cs="Arial"/>
              </w:rPr>
              <w:t xml:space="preserve">Purpose: </w:t>
            </w:r>
          </w:p>
        </w:tc>
        <w:tc>
          <w:tcPr>
            <w:tcW w:w="6521" w:type="dxa"/>
            <w:hideMark/>
          </w:tcPr>
          <w:p w:rsidR="001923CB" w:rsidRPr="001923CB" w:rsidRDefault="001923CB" w:rsidP="0054190D">
            <w:pPr>
              <w:ind w:left="743"/>
              <w:rPr>
                <w:rFonts w:ascii="Arial" w:hAnsi="Arial" w:cs="Arial"/>
              </w:rPr>
            </w:pPr>
            <w:r w:rsidRPr="001923CB">
              <w:rPr>
                <w:rFonts w:ascii="Arial" w:hAnsi="Arial" w:cs="Arial"/>
              </w:rPr>
              <w:t>To recognize the open space lands</w:t>
            </w:r>
          </w:p>
        </w:tc>
      </w:tr>
      <w:tr w:rsidR="001923CB" w:rsidRPr="001923CB" w:rsidTr="0054190D">
        <w:tc>
          <w:tcPr>
            <w:tcW w:w="3510" w:type="dxa"/>
            <w:hideMark/>
          </w:tcPr>
          <w:p w:rsidR="001923CB" w:rsidRPr="001923CB" w:rsidRDefault="001923CB">
            <w:pPr>
              <w:rPr>
                <w:rFonts w:ascii="Arial" w:hAnsi="Arial" w:cs="Arial"/>
              </w:rPr>
            </w:pPr>
            <w:r w:rsidRPr="001923CB">
              <w:rPr>
                <w:rFonts w:ascii="Arial" w:hAnsi="Arial" w:cs="Arial"/>
              </w:rPr>
              <w:t xml:space="preserve">Property Address/Description: </w:t>
            </w:r>
          </w:p>
        </w:tc>
        <w:tc>
          <w:tcPr>
            <w:tcW w:w="6521" w:type="dxa"/>
            <w:hideMark/>
          </w:tcPr>
          <w:p w:rsidR="001923CB" w:rsidRPr="001923CB" w:rsidRDefault="001923CB" w:rsidP="0054190D">
            <w:pPr>
              <w:ind w:left="743"/>
              <w:rPr>
                <w:rFonts w:ascii="Arial" w:hAnsi="Arial" w:cs="Arial"/>
              </w:rPr>
            </w:pPr>
            <w:r w:rsidRPr="001923CB">
              <w:rPr>
                <w:rFonts w:ascii="Arial" w:hAnsi="Arial" w:cs="Arial"/>
              </w:rPr>
              <w:t xml:space="preserve">860 </w:t>
            </w:r>
            <w:proofErr w:type="spellStart"/>
            <w:r w:rsidRPr="001923CB">
              <w:rPr>
                <w:rFonts w:ascii="Arial" w:hAnsi="Arial" w:cs="Arial"/>
              </w:rPr>
              <w:t>Queenston</w:t>
            </w:r>
            <w:proofErr w:type="spellEnd"/>
            <w:r w:rsidRPr="001923CB">
              <w:rPr>
                <w:rFonts w:ascii="Arial" w:hAnsi="Arial" w:cs="Arial"/>
              </w:rPr>
              <w:t xml:space="preserve"> Rd.</w:t>
            </w:r>
          </w:p>
        </w:tc>
      </w:tr>
      <w:tr w:rsidR="001923CB" w:rsidRPr="001923CB" w:rsidTr="0054190D">
        <w:tc>
          <w:tcPr>
            <w:tcW w:w="3510" w:type="dxa"/>
            <w:hideMark/>
          </w:tcPr>
          <w:p w:rsidR="001923CB" w:rsidRPr="001923CB" w:rsidRDefault="001923CB">
            <w:pPr>
              <w:rPr>
                <w:rFonts w:ascii="Arial" w:hAnsi="Arial" w:cs="Arial"/>
              </w:rPr>
            </w:pPr>
            <w:r w:rsidRPr="001923CB">
              <w:rPr>
                <w:rFonts w:ascii="Arial" w:hAnsi="Arial" w:cs="Arial"/>
              </w:rPr>
              <w:t xml:space="preserve">Municipality: </w:t>
            </w:r>
          </w:p>
        </w:tc>
        <w:tc>
          <w:tcPr>
            <w:tcW w:w="6521" w:type="dxa"/>
            <w:hideMark/>
          </w:tcPr>
          <w:p w:rsidR="001923CB" w:rsidRPr="001923CB" w:rsidRDefault="001923CB" w:rsidP="0054190D">
            <w:pPr>
              <w:ind w:left="743"/>
              <w:rPr>
                <w:rFonts w:ascii="Arial" w:hAnsi="Arial" w:cs="Arial"/>
              </w:rPr>
            </w:pPr>
            <w:r w:rsidRPr="001923CB">
              <w:rPr>
                <w:rFonts w:ascii="Arial" w:hAnsi="Arial" w:cs="Arial"/>
              </w:rPr>
              <w:t>City of Hamilton</w:t>
            </w:r>
          </w:p>
        </w:tc>
      </w:tr>
      <w:tr w:rsidR="001923CB" w:rsidRPr="001923CB" w:rsidTr="0054190D">
        <w:tc>
          <w:tcPr>
            <w:tcW w:w="3510" w:type="dxa"/>
            <w:hideMark/>
          </w:tcPr>
          <w:p w:rsidR="001923CB" w:rsidRPr="001923CB" w:rsidRDefault="001923CB">
            <w:pPr>
              <w:rPr>
                <w:rFonts w:ascii="Arial" w:hAnsi="Arial" w:cs="Arial"/>
              </w:rPr>
            </w:pPr>
            <w:r w:rsidRPr="001923CB">
              <w:rPr>
                <w:rFonts w:ascii="Arial" w:hAnsi="Arial" w:cs="Arial"/>
              </w:rPr>
              <w:t xml:space="preserve">Municipality File No.: </w:t>
            </w:r>
          </w:p>
        </w:tc>
        <w:tc>
          <w:tcPr>
            <w:tcW w:w="6521" w:type="dxa"/>
            <w:hideMark/>
          </w:tcPr>
          <w:p w:rsidR="001923CB" w:rsidRPr="001923CB" w:rsidRDefault="001923CB" w:rsidP="0054190D">
            <w:pPr>
              <w:ind w:left="743"/>
              <w:rPr>
                <w:rFonts w:ascii="Arial" w:hAnsi="Arial" w:cs="Arial"/>
              </w:rPr>
            </w:pPr>
            <w:r w:rsidRPr="001923CB">
              <w:rPr>
                <w:rFonts w:ascii="Arial" w:hAnsi="Arial" w:cs="Arial"/>
              </w:rPr>
              <w:t>ZAC-16-009</w:t>
            </w:r>
          </w:p>
        </w:tc>
      </w:tr>
      <w:tr w:rsidR="001923CB" w:rsidRPr="001923CB" w:rsidTr="0054190D">
        <w:tc>
          <w:tcPr>
            <w:tcW w:w="3510" w:type="dxa"/>
            <w:hideMark/>
          </w:tcPr>
          <w:p w:rsidR="001923CB" w:rsidRPr="001923CB" w:rsidRDefault="001923CB">
            <w:pPr>
              <w:rPr>
                <w:rFonts w:ascii="Arial" w:hAnsi="Arial" w:cs="Arial"/>
              </w:rPr>
            </w:pPr>
            <w:r w:rsidRPr="001923CB">
              <w:rPr>
                <w:rFonts w:ascii="Arial" w:hAnsi="Arial" w:cs="Arial"/>
              </w:rPr>
              <w:t xml:space="preserve">OMB Case No.: </w:t>
            </w:r>
          </w:p>
        </w:tc>
        <w:tc>
          <w:tcPr>
            <w:tcW w:w="6521" w:type="dxa"/>
            <w:hideMark/>
          </w:tcPr>
          <w:p w:rsidR="001923CB" w:rsidRPr="001923CB" w:rsidRDefault="001923CB" w:rsidP="0054190D">
            <w:pPr>
              <w:ind w:left="743"/>
              <w:rPr>
                <w:rFonts w:ascii="Arial" w:hAnsi="Arial" w:cs="Arial"/>
              </w:rPr>
            </w:pPr>
            <w:r w:rsidRPr="001923CB">
              <w:rPr>
                <w:rFonts w:ascii="Arial" w:hAnsi="Arial" w:cs="Arial"/>
              </w:rPr>
              <w:t>PL170282</w:t>
            </w:r>
          </w:p>
        </w:tc>
      </w:tr>
      <w:tr w:rsidR="001923CB" w:rsidRPr="001923CB" w:rsidTr="0054190D">
        <w:tc>
          <w:tcPr>
            <w:tcW w:w="3510" w:type="dxa"/>
            <w:hideMark/>
          </w:tcPr>
          <w:p w:rsidR="001923CB" w:rsidRPr="001923CB" w:rsidRDefault="001923CB">
            <w:pPr>
              <w:rPr>
                <w:rFonts w:ascii="Arial" w:hAnsi="Arial" w:cs="Arial"/>
              </w:rPr>
            </w:pPr>
            <w:r w:rsidRPr="001923CB">
              <w:rPr>
                <w:rFonts w:ascii="Arial" w:hAnsi="Arial" w:cs="Arial"/>
              </w:rPr>
              <w:t xml:space="preserve">OMB File No.: </w:t>
            </w:r>
          </w:p>
        </w:tc>
        <w:tc>
          <w:tcPr>
            <w:tcW w:w="6521" w:type="dxa"/>
            <w:hideMark/>
          </w:tcPr>
          <w:p w:rsidR="001923CB" w:rsidRPr="001923CB" w:rsidRDefault="001923CB" w:rsidP="0054190D">
            <w:pPr>
              <w:ind w:left="743"/>
              <w:rPr>
                <w:rFonts w:ascii="Arial" w:hAnsi="Arial" w:cs="Arial"/>
              </w:rPr>
            </w:pPr>
            <w:r w:rsidRPr="001923CB">
              <w:rPr>
                <w:rFonts w:ascii="Arial" w:hAnsi="Arial" w:cs="Arial"/>
              </w:rPr>
              <w:t>PL170283</w:t>
            </w:r>
          </w:p>
        </w:tc>
      </w:tr>
      <w:tr w:rsidR="001923CB" w:rsidRPr="001923CB" w:rsidTr="001923CB">
        <w:trPr>
          <w:cantSplit/>
          <w:trHeight w:val="732"/>
        </w:trPr>
        <w:tc>
          <w:tcPr>
            <w:tcW w:w="10031" w:type="dxa"/>
            <w:gridSpan w:val="2"/>
            <w:hideMark/>
          </w:tcPr>
          <w:p w:rsidR="001923CB" w:rsidRPr="001923CB" w:rsidRDefault="001923CB">
            <w:pPr>
              <w:rPr>
                <w:rFonts w:ascii="Arial" w:hAnsi="Arial" w:cs="Arial"/>
              </w:rPr>
            </w:pPr>
            <w:r w:rsidRPr="001923CB">
              <w:rPr>
                <w:rFonts w:ascii="Arial" w:hAnsi="Arial" w:cs="Arial"/>
                <w:b/>
              </w:rPr>
              <w:lastRenderedPageBreak/>
              <w:t xml:space="preserve">PROCEEDING COMMENCED UNDER </w:t>
            </w:r>
            <w:r w:rsidRPr="001923CB">
              <w:rPr>
                <w:rFonts w:ascii="Arial" w:hAnsi="Arial" w:cs="Arial"/>
              </w:rPr>
              <w:t xml:space="preserve">subsection 34(11) of the </w:t>
            </w:r>
            <w:r w:rsidRPr="001923CB">
              <w:rPr>
                <w:rFonts w:ascii="Arial" w:hAnsi="Arial" w:cs="Arial"/>
                <w:i/>
              </w:rPr>
              <w:t>Planning Act</w:t>
            </w:r>
            <w:r w:rsidRPr="001923CB">
              <w:rPr>
                <w:rFonts w:ascii="Arial" w:hAnsi="Arial" w:cs="Arial"/>
              </w:rPr>
              <w:t>, R.S.O. 1990, c. P.13, as amended</w:t>
            </w:r>
          </w:p>
        </w:tc>
      </w:tr>
      <w:tr w:rsidR="001923CB" w:rsidRPr="001923CB" w:rsidTr="001923CB">
        <w:tc>
          <w:tcPr>
            <w:tcW w:w="3510" w:type="dxa"/>
            <w:hideMark/>
          </w:tcPr>
          <w:p w:rsidR="001923CB" w:rsidRPr="001923CB" w:rsidRDefault="001923CB">
            <w:pPr>
              <w:rPr>
                <w:rFonts w:ascii="Arial" w:hAnsi="Arial" w:cs="Arial"/>
              </w:rPr>
            </w:pPr>
            <w:r w:rsidRPr="001923CB">
              <w:rPr>
                <w:rFonts w:ascii="Arial" w:hAnsi="Arial" w:cs="Arial"/>
              </w:rPr>
              <w:t>Applicant and Appellant:</w:t>
            </w:r>
          </w:p>
        </w:tc>
        <w:tc>
          <w:tcPr>
            <w:tcW w:w="6521" w:type="dxa"/>
            <w:hideMark/>
          </w:tcPr>
          <w:p w:rsidR="001923CB" w:rsidRPr="001923CB" w:rsidRDefault="001923CB" w:rsidP="001923CB">
            <w:pPr>
              <w:ind w:left="743"/>
              <w:rPr>
                <w:rFonts w:ascii="Arial" w:hAnsi="Arial" w:cs="Arial"/>
              </w:rPr>
            </w:pPr>
            <w:proofErr w:type="spellStart"/>
            <w:r w:rsidRPr="001923CB">
              <w:rPr>
                <w:rFonts w:ascii="Arial" w:hAnsi="Arial" w:cs="Arial"/>
              </w:rPr>
              <w:t>Queenston</w:t>
            </w:r>
            <w:proofErr w:type="spellEnd"/>
            <w:r w:rsidRPr="001923CB">
              <w:rPr>
                <w:rFonts w:ascii="Arial" w:hAnsi="Arial" w:cs="Arial"/>
              </w:rPr>
              <w:t xml:space="preserve"> Road Holdings Inc.</w:t>
            </w:r>
          </w:p>
        </w:tc>
      </w:tr>
      <w:tr w:rsidR="001923CB" w:rsidRPr="001923CB" w:rsidTr="001923CB">
        <w:tc>
          <w:tcPr>
            <w:tcW w:w="3510" w:type="dxa"/>
            <w:hideMark/>
          </w:tcPr>
          <w:p w:rsidR="001923CB" w:rsidRPr="001923CB" w:rsidRDefault="001923CB">
            <w:pPr>
              <w:rPr>
                <w:rFonts w:ascii="Arial" w:hAnsi="Arial" w:cs="Arial"/>
              </w:rPr>
            </w:pPr>
            <w:r w:rsidRPr="001923CB">
              <w:rPr>
                <w:rFonts w:ascii="Arial" w:hAnsi="Arial" w:cs="Arial"/>
              </w:rPr>
              <w:t>Subject:</w:t>
            </w:r>
          </w:p>
        </w:tc>
        <w:tc>
          <w:tcPr>
            <w:tcW w:w="6521" w:type="dxa"/>
            <w:hideMark/>
          </w:tcPr>
          <w:p w:rsidR="001923CB" w:rsidRPr="001923CB" w:rsidRDefault="001923CB" w:rsidP="001923CB">
            <w:pPr>
              <w:ind w:left="743"/>
              <w:rPr>
                <w:rFonts w:ascii="Arial" w:hAnsi="Arial" w:cs="Arial"/>
              </w:rPr>
            </w:pPr>
            <w:r w:rsidRPr="001923CB">
              <w:rPr>
                <w:rFonts w:ascii="Arial" w:hAnsi="Arial" w:cs="Arial"/>
              </w:rPr>
              <w:t>Application to amend Zoning By-law No. 3692-92 - Refusal of Application by the City of Hamilton</w:t>
            </w:r>
          </w:p>
        </w:tc>
      </w:tr>
      <w:tr w:rsidR="001923CB" w:rsidRPr="001923CB" w:rsidTr="001923CB">
        <w:tc>
          <w:tcPr>
            <w:tcW w:w="3510" w:type="dxa"/>
            <w:hideMark/>
          </w:tcPr>
          <w:p w:rsidR="001923CB" w:rsidRPr="001923CB" w:rsidRDefault="001923CB">
            <w:pPr>
              <w:rPr>
                <w:rFonts w:ascii="Arial" w:hAnsi="Arial" w:cs="Arial"/>
              </w:rPr>
            </w:pPr>
            <w:r w:rsidRPr="001923CB">
              <w:rPr>
                <w:rFonts w:ascii="Arial" w:hAnsi="Arial" w:cs="Arial"/>
              </w:rPr>
              <w:t>Existing Zoning:</w:t>
            </w:r>
          </w:p>
        </w:tc>
        <w:tc>
          <w:tcPr>
            <w:tcW w:w="6521" w:type="dxa"/>
            <w:hideMark/>
          </w:tcPr>
          <w:p w:rsidR="001923CB" w:rsidRPr="001923CB" w:rsidRDefault="001923CB" w:rsidP="001923CB">
            <w:pPr>
              <w:ind w:left="743"/>
              <w:rPr>
                <w:rFonts w:ascii="Arial" w:hAnsi="Arial" w:cs="Arial"/>
              </w:rPr>
            </w:pPr>
            <w:r w:rsidRPr="001923CB">
              <w:rPr>
                <w:rFonts w:ascii="Arial" w:hAnsi="Arial" w:cs="Arial"/>
                <w:lang w:val="x-none"/>
              </w:rPr>
              <w:t>General Commercial (GC) Zone and Open Space (OS) Zone</w:t>
            </w:r>
          </w:p>
        </w:tc>
      </w:tr>
      <w:tr w:rsidR="001923CB" w:rsidRPr="001923CB" w:rsidTr="001923CB">
        <w:tc>
          <w:tcPr>
            <w:tcW w:w="3510" w:type="dxa"/>
            <w:hideMark/>
          </w:tcPr>
          <w:p w:rsidR="001923CB" w:rsidRPr="001923CB" w:rsidRDefault="001923CB">
            <w:pPr>
              <w:rPr>
                <w:rFonts w:ascii="Arial" w:hAnsi="Arial" w:cs="Arial"/>
              </w:rPr>
            </w:pPr>
            <w:r w:rsidRPr="001923CB">
              <w:rPr>
                <w:rFonts w:ascii="Arial" w:hAnsi="Arial" w:cs="Arial"/>
              </w:rPr>
              <w:t xml:space="preserve">Proposed Zoning: </w:t>
            </w:r>
          </w:p>
        </w:tc>
        <w:tc>
          <w:tcPr>
            <w:tcW w:w="6521" w:type="dxa"/>
            <w:hideMark/>
          </w:tcPr>
          <w:p w:rsidR="001923CB" w:rsidRPr="001923CB" w:rsidRDefault="001923CB" w:rsidP="001923CB">
            <w:pPr>
              <w:ind w:left="743"/>
              <w:rPr>
                <w:rFonts w:ascii="Arial" w:hAnsi="Arial" w:cs="Arial"/>
              </w:rPr>
            </w:pPr>
            <w:r w:rsidRPr="001923CB">
              <w:rPr>
                <w:rFonts w:ascii="Arial" w:hAnsi="Arial" w:cs="Arial"/>
                <w:lang w:val="x-none"/>
              </w:rPr>
              <w:t>Site-Specific General Commercial (GC) Zone, Site-Specific Multiple Residential (RM5) Zone</w:t>
            </w:r>
            <w:r w:rsidRPr="001923CB">
              <w:rPr>
                <w:rFonts w:ascii="Arial" w:hAnsi="Arial" w:cs="Arial"/>
              </w:rPr>
              <w:t xml:space="preserve"> and to remove lands to be rezoned in Zoning By-law No. 05-200</w:t>
            </w:r>
          </w:p>
        </w:tc>
      </w:tr>
      <w:tr w:rsidR="001923CB" w:rsidRPr="001923CB" w:rsidTr="001923CB">
        <w:tc>
          <w:tcPr>
            <w:tcW w:w="3510" w:type="dxa"/>
            <w:hideMark/>
          </w:tcPr>
          <w:p w:rsidR="001923CB" w:rsidRPr="001923CB" w:rsidRDefault="001923CB">
            <w:pPr>
              <w:rPr>
                <w:rFonts w:ascii="Arial" w:hAnsi="Arial" w:cs="Arial"/>
              </w:rPr>
            </w:pPr>
            <w:r w:rsidRPr="001923CB">
              <w:rPr>
                <w:rFonts w:ascii="Arial" w:hAnsi="Arial" w:cs="Arial"/>
              </w:rPr>
              <w:t xml:space="preserve">Purpose: </w:t>
            </w:r>
          </w:p>
        </w:tc>
        <w:tc>
          <w:tcPr>
            <w:tcW w:w="6521" w:type="dxa"/>
            <w:hideMark/>
          </w:tcPr>
          <w:p w:rsidR="001923CB" w:rsidRPr="001923CB" w:rsidRDefault="001923CB" w:rsidP="001923CB">
            <w:pPr>
              <w:ind w:left="743"/>
              <w:rPr>
                <w:rFonts w:ascii="Arial" w:hAnsi="Arial" w:cs="Arial"/>
              </w:rPr>
            </w:pPr>
            <w:r w:rsidRPr="001923CB">
              <w:rPr>
                <w:rFonts w:ascii="Arial" w:hAnsi="Arial" w:cs="Arial"/>
              </w:rPr>
              <w:t xml:space="preserve">To permit the development of a 19 </w:t>
            </w:r>
            <w:proofErr w:type="spellStart"/>
            <w:r w:rsidRPr="001923CB">
              <w:rPr>
                <w:rFonts w:ascii="Arial" w:hAnsi="Arial" w:cs="Arial"/>
              </w:rPr>
              <w:t>storey</w:t>
            </w:r>
            <w:proofErr w:type="spellEnd"/>
            <w:r w:rsidRPr="001923CB">
              <w:rPr>
                <w:rFonts w:ascii="Arial" w:hAnsi="Arial" w:cs="Arial"/>
              </w:rPr>
              <w:t xml:space="preserve"> residential building and recognize the existing 2 </w:t>
            </w:r>
            <w:proofErr w:type="spellStart"/>
            <w:r w:rsidRPr="001923CB">
              <w:rPr>
                <w:rFonts w:ascii="Arial" w:hAnsi="Arial" w:cs="Arial"/>
              </w:rPr>
              <w:t>storey</w:t>
            </w:r>
            <w:proofErr w:type="spellEnd"/>
            <w:r w:rsidRPr="001923CB">
              <w:rPr>
                <w:rFonts w:ascii="Arial" w:hAnsi="Arial" w:cs="Arial"/>
              </w:rPr>
              <w:t xml:space="preserve"> commercial building</w:t>
            </w:r>
          </w:p>
        </w:tc>
      </w:tr>
      <w:tr w:rsidR="001923CB" w:rsidRPr="001923CB" w:rsidTr="001923CB">
        <w:tc>
          <w:tcPr>
            <w:tcW w:w="3510" w:type="dxa"/>
            <w:hideMark/>
          </w:tcPr>
          <w:p w:rsidR="001923CB" w:rsidRPr="001923CB" w:rsidRDefault="001923CB">
            <w:pPr>
              <w:rPr>
                <w:rFonts w:ascii="Arial" w:hAnsi="Arial" w:cs="Arial"/>
              </w:rPr>
            </w:pPr>
            <w:r w:rsidRPr="001923CB">
              <w:rPr>
                <w:rFonts w:ascii="Arial" w:hAnsi="Arial" w:cs="Arial"/>
              </w:rPr>
              <w:t xml:space="preserve">Property Address/Description: </w:t>
            </w:r>
          </w:p>
        </w:tc>
        <w:tc>
          <w:tcPr>
            <w:tcW w:w="6521" w:type="dxa"/>
            <w:hideMark/>
          </w:tcPr>
          <w:p w:rsidR="001923CB" w:rsidRPr="001923CB" w:rsidRDefault="001923CB" w:rsidP="001923CB">
            <w:pPr>
              <w:ind w:left="743"/>
              <w:rPr>
                <w:rFonts w:ascii="Arial" w:hAnsi="Arial" w:cs="Arial"/>
              </w:rPr>
            </w:pPr>
            <w:r w:rsidRPr="001923CB">
              <w:rPr>
                <w:rFonts w:ascii="Arial" w:hAnsi="Arial" w:cs="Arial"/>
              </w:rPr>
              <w:t xml:space="preserve">860 </w:t>
            </w:r>
            <w:proofErr w:type="spellStart"/>
            <w:r w:rsidRPr="001923CB">
              <w:rPr>
                <w:rFonts w:ascii="Arial" w:hAnsi="Arial" w:cs="Arial"/>
              </w:rPr>
              <w:t>Queenston</w:t>
            </w:r>
            <w:proofErr w:type="spellEnd"/>
            <w:r w:rsidRPr="001923CB">
              <w:rPr>
                <w:rFonts w:ascii="Arial" w:hAnsi="Arial" w:cs="Arial"/>
              </w:rPr>
              <w:t xml:space="preserve"> Rd.</w:t>
            </w:r>
          </w:p>
        </w:tc>
      </w:tr>
      <w:tr w:rsidR="001923CB" w:rsidRPr="001923CB" w:rsidTr="001923CB">
        <w:tc>
          <w:tcPr>
            <w:tcW w:w="3510" w:type="dxa"/>
            <w:hideMark/>
          </w:tcPr>
          <w:p w:rsidR="001923CB" w:rsidRPr="001923CB" w:rsidRDefault="001923CB">
            <w:pPr>
              <w:rPr>
                <w:rFonts w:ascii="Arial" w:hAnsi="Arial" w:cs="Arial"/>
              </w:rPr>
            </w:pPr>
            <w:r w:rsidRPr="001923CB">
              <w:rPr>
                <w:rFonts w:ascii="Arial" w:hAnsi="Arial" w:cs="Arial"/>
              </w:rPr>
              <w:t xml:space="preserve">Municipality: </w:t>
            </w:r>
          </w:p>
        </w:tc>
        <w:tc>
          <w:tcPr>
            <w:tcW w:w="6521" w:type="dxa"/>
            <w:hideMark/>
          </w:tcPr>
          <w:p w:rsidR="001923CB" w:rsidRPr="001923CB" w:rsidRDefault="001923CB" w:rsidP="001923CB">
            <w:pPr>
              <w:ind w:left="743"/>
              <w:rPr>
                <w:rFonts w:ascii="Arial" w:hAnsi="Arial" w:cs="Arial"/>
              </w:rPr>
            </w:pPr>
            <w:r w:rsidRPr="001923CB">
              <w:rPr>
                <w:rFonts w:ascii="Arial" w:hAnsi="Arial" w:cs="Arial"/>
              </w:rPr>
              <w:t>City of Hamilton</w:t>
            </w:r>
          </w:p>
        </w:tc>
      </w:tr>
      <w:tr w:rsidR="001923CB" w:rsidRPr="001923CB" w:rsidTr="001923CB">
        <w:tc>
          <w:tcPr>
            <w:tcW w:w="3510" w:type="dxa"/>
            <w:hideMark/>
          </w:tcPr>
          <w:p w:rsidR="001923CB" w:rsidRPr="001923CB" w:rsidRDefault="001923CB">
            <w:pPr>
              <w:rPr>
                <w:rFonts w:ascii="Arial" w:hAnsi="Arial" w:cs="Arial"/>
              </w:rPr>
            </w:pPr>
            <w:r w:rsidRPr="001923CB">
              <w:rPr>
                <w:rFonts w:ascii="Arial" w:hAnsi="Arial" w:cs="Arial"/>
              </w:rPr>
              <w:t xml:space="preserve">Municipality File No.: </w:t>
            </w:r>
          </w:p>
        </w:tc>
        <w:tc>
          <w:tcPr>
            <w:tcW w:w="6521" w:type="dxa"/>
            <w:hideMark/>
          </w:tcPr>
          <w:p w:rsidR="001923CB" w:rsidRPr="001923CB" w:rsidRDefault="001923CB" w:rsidP="001923CB">
            <w:pPr>
              <w:ind w:left="743"/>
              <w:rPr>
                <w:rFonts w:ascii="Arial" w:hAnsi="Arial" w:cs="Arial"/>
              </w:rPr>
            </w:pPr>
            <w:r w:rsidRPr="001923CB">
              <w:rPr>
                <w:rFonts w:ascii="Arial" w:hAnsi="Arial" w:cs="Arial"/>
              </w:rPr>
              <w:t>ZAC-16-009</w:t>
            </w:r>
          </w:p>
        </w:tc>
      </w:tr>
      <w:tr w:rsidR="001923CB" w:rsidRPr="001923CB" w:rsidTr="001923CB">
        <w:tc>
          <w:tcPr>
            <w:tcW w:w="3510" w:type="dxa"/>
            <w:hideMark/>
          </w:tcPr>
          <w:p w:rsidR="001923CB" w:rsidRPr="001923CB" w:rsidRDefault="001923CB">
            <w:pPr>
              <w:rPr>
                <w:rFonts w:ascii="Arial" w:hAnsi="Arial" w:cs="Arial"/>
              </w:rPr>
            </w:pPr>
            <w:r w:rsidRPr="001923CB">
              <w:rPr>
                <w:rFonts w:ascii="Arial" w:hAnsi="Arial" w:cs="Arial"/>
              </w:rPr>
              <w:t xml:space="preserve">OMB Case No.: </w:t>
            </w:r>
          </w:p>
        </w:tc>
        <w:tc>
          <w:tcPr>
            <w:tcW w:w="6521" w:type="dxa"/>
            <w:hideMark/>
          </w:tcPr>
          <w:p w:rsidR="001923CB" w:rsidRPr="001923CB" w:rsidRDefault="001923CB" w:rsidP="001923CB">
            <w:pPr>
              <w:ind w:left="743"/>
              <w:rPr>
                <w:rFonts w:ascii="Arial" w:hAnsi="Arial" w:cs="Arial"/>
              </w:rPr>
            </w:pPr>
            <w:r w:rsidRPr="001923CB">
              <w:rPr>
                <w:rFonts w:ascii="Arial" w:hAnsi="Arial" w:cs="Arial"/>
              </w:rPr>
              <w:t>PL170282</w:t>
            </w:r>
          </w:p>
        </w:tc>
      </w:tr>
      <w:tr w:rsidR="001923CB" w:rsidRPr="001923CB" w:rsidTr="001923CB">
        <w:tc>
          <w:tcPr>
            <w:tcW w:w="3510" w:type="dxa"/>
            <w:hideMark/>
          </w:tcPr>
          <w:p w:rsidR="001923CB" w:rsidRPr="001923CB" w:rsidRDefault="001923CB">
            <w:pPr>
              <w:rPr>
                <w:rFonts w:ascii="Arial" w:hAnsi="Arial" w:cs="Arial"/>
              </w:rPr>
            </w:pPr>
            <w:r w:rsidRPr="001923CB">
              <w:rPr>
                <w:rFonts w:ascii="Arial" w:hAnsi="Arial" w:cs="Arial"/>
              </w:rPr>
              <w:t xml:space="preserve">OMB File No.: </w:t>
            </w:r>
          </w:p>
        </w:tc>
        <w:tc>
          <w:tcPr>
            <w:tcW w:w="6521" w:type="dxa"/>
            <w:hideMark/>
          </w:tcPr>
          <w:p w:rsidR="001923CB" w:rsidRPr="001923CB" w:rsidRDefault="001923CB" w:rsidP="001923CB">
            <w:pPr>
              <w:ind w:left="743"/>
              <w:rPr>
                <w:rFonts w:ascii="Arial" w:hAnsi="Arial" w:cs="Arial"/>
              </w:rPr>
            </w:pPr>
            <w:r w:rsidRPr="001923CB">
              <w:rPr>
                <w:rFonts w:ascii="Arial" w:hAnsi="Arial" w:cs="Arial"/>
              </w:rPr>
              <w:t>PL170284</w:t>
            </w:r>
          </w:p>
        </w:tc>
      </w:tr>
    </w:tbl>
    <w:p w:rsidR="00EA73B7" w:rsidRPr="00375F31" w:rsidRDefault="00EA73B7" w:rsidP="005A767F">
      <w:pPr>
        <w:rPr>
          <w:rFonts w:ascii="Arial" w:hAnsi="Arial" w:cs="Arial"/>
        </w:rPr>
      </w:pPr>
    </w:p>
    <w:p w:rsidR="009A73F6" w:rsidRDefault="009A73F6" w:rsidP="005A767F">
      <w:pPr>
        <w:rPr>
          <w:rFonts w:ascii="Arial" w:hAnsi="Arial" w:cs="Arial"/>
        </w:rPr>
      </w:pPr>
    </w:p>
    <w:p w:rsidR="001923CB" w:rsidRPr="0054190D" w:rsidRDefault="0054190D" w:rsidP="005A767F">
      <w:pPr>
        <w:rPr>
          <w:rFonts w:ascii="Arial" w:hAnsi="Arial" w:cs="Arial"/>
        </w:rPr>
      </w:pPr>
      <w:r>
        <w:rPr>
          <w:rFonts w:ascii="Arial" w:hAnsi="Arial" w:cs="Arial"/>
          <w:b/>
        </w:rPr>
        <w:t>Heard:</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rPr>
        <w:t>August 9, 2017 in Hamilton, Ontario</w:t>
      </w:r>
    </w:p>
    <w:p w:rsidR="001923CB" w:rsidRPr="00375F31" w:rsidRDefault="001923CB" w:rsidP="005A767F">
      <w:pPr>
        <w:rPr>
          <w:rFonts w:ascii="Arial" w:hAnsi="Arial" w:cs="Arial"/>
        </w:rPr>
      </w:pPr>
    </w:p>
    <w:bookmarkEnd w:id="0"/>
    <w:p w:rsidR="00340879" w:rsidRPr="00375F31" w:rsidRDefault="00340879" w:rsidP="005A767F">
      <w:pPr>
        <w:rPr>
          <w:rFonts w:ascii="Arial" w:hAnsi="Arial" w:cs="Arial"/>
        </w:rPr>
      </w:pPr>
    </w:p>
    <w:tbl>
      <w:tblPr>
        <w:tblW w:w="9606" w:type="dxa"/>
        <w:tblLook w:val="0000" w:firstRow="0" w:lastRow="0" w:firstColumn="0" w:lastColumn="0" w:noHBand="0" w:noVBand="0"/>
      </w:tblPr>
      <w:tblGrid>
        <w:gridCol w:w="4219"/>
        <w:gridCol w:w="5387"/>
      </w:tblGrid>
      <w:tr w:rsidR="0089782A" w:rsidRPr="005A767F" w:rsidTr="0054190D">
        <w:tc>
          <w:tcPr>
            <w:tcW w:w="4219" w:type="dxa"/>
          </w:tcPr>
          <w:p w:rsidR="0089782A" w:rsidRPr="005A767F" w:rsidRDefault="0089782A" w:rsidP="005A767F">
            <w:pPr>
              <w:rPr>
                <w:rFonts w:ascii="Arial" w:hAnsi="Arial" w:cs="Arial"/>
                <w:b/>
                <w:u w:val="single"/>
              </w:rPr>
            </w:pPr>
            <w:r w:rsidRPr="005A767F">
              <w:rPr>
                <w:rFonts w:ascii="Arial" w:hAnsi="Arial" w:cs="Arial"/>
                <w:b/>
              </w:rPr>
              <w:t>APPEARANCES:</w:t>
            </w:r>
          </w:p>
        </w:tc>
        <w:tc>
          <w:tcPr>
            <w:tcW w:w="5387" w:type="dxa"/>
          </w:tcPr>
          <w:p w:rsidR="0089782A" w:rsidRPr="005A767F" w:rsidRDefault="0089782A" w:rsidP="005A767F">
            <w:pPr>
              <w:tabs>
                <w:tab w:val="left" w:pos="3402"/>
              </w:tabs>
              <w:rPr>
                <w:rFonts w:ascii="Arial" w:hAnsi="Arial" w:cs="Arial"/>
                <w:b/>
                <w:u w:val="single"/>
              </w:rPr>
            </w:pPr>
          </w:p>
        </w:tc>
      </w:tr>
      <w:tr w:rsidR="0089782A" w:rsidRPr="005A767F" w:rsidTr="0054190D">
        <w:tc>
          <w:tcPr>
            <w:tcW w:w="4219" w:type="dxa"/>
          </w:tcPr>
          <w:p w:rsidR="0089782A" w:rsidRPr="005A767F" w:rsidRDefault="0089782A" w:rsidP="005A767F">
            <w:pPr>
              <w:tabs>
                <w:tab w:val="left" w:pos="3402"/>
              </w:tabs>
              <w:rPr>
                <w:rFonts w:ascii="Arial" w:hAnsi="Arial" w:cs="Arial"/>
                <w:b/>
                <w:u w:val="single"/>
              </w:rPr>
            </w:pPr>
          </w:p>
        </w:tc>
        <w:tc>
          <w:tcPr>
            <w:tcW w:w="5387" w:type="dxa"/>
          </w:tcPr>
          <w:p w:rsidR="0089782A" w:rsidRPr="005A767F" w:rsidRDefault="0089782A" w:rsidP="005A767F">
            <w:pPr>
              <w:tabs>
                <w:tab w:val="left" w:pos="3402"/>
              </w:tabs>
              <w:rPr>
                <w:rFonts w:ascii="Arial" w:hAnsi="Arial" w:cs="Arial"/>
                <w:b/>
                <w:u w:val="single"/>
              </w:rPr>
            </w:pPr>
          </w:p>
        </w:tc>
      </w:tr>
      <w:tr w:rsidR="008046EB" w:rsidRPr="005A767F" w:rsidTr="0054190D">
        <w:tc>
          <w:tcPr>
            <w:tcW w:w="4219" w:type="dxa"/>
          </w:tcPr>
          <w:p w:rsidR="008046EB" w:rsidRPr="005A767F" w:rsidRDefault="008046EB" w:rsidP="005A767F">
            <w:pPr>
              <w:tabs>
                <w:tab w:val="left" w:pos="3402"/>
              </w:tabs>
              <w:rPr>
                <w:rFonts w:ascii="Arial" w:hAnsi="Arial" w:cs="Arial"/>
                <w:b/>
                <w:u w:val="single"/>
              </w:rPr>
            </w:pPr>
            <w:bookmarkStart w:id="2" w:name="Parties"/>
            <w:r w:rsidRPr="005A767F">
              <w:rPr>
                <w:rFonts w:ascii="Arial" w:hAnsi="Arial" w:cs="Arial"/>
                <w:b/>
                <w:u w:val="single"/>
              </w:rPr>
              <w:t>Parties</w:t>
            </w:r>
            <w:bookmarkEnd w:id="2"/>
          </w:p>
        </w:tc>
        <w:tc>
          <w:tcPr>
            <w:tcW w:w="5387" w:type="dxa"/>
          </w:tcPr>
          <w:p w:rsidR="008046EB" w:rsidRPr="005A767F" w:rsidRDefault="008046EB" w:rsidP="0054190D">
            <w:pPr>
              <w:tabs>
                <w:tab w:val="left" w:pos="3402"/>
              </w:tabs>
              <w:rPr>
                <w:rFonts w:ascii="Arial" w:hAnsi="Arial" w:cs="Arial"/>
                <w:b/>
                <w:u w:val="single"/>
              </w:rPr>
            </w:pPr>
            <w:bookmarkStart w:id="3" w:name="CounselAgent"/>
            <w:r w:rsidRPr="005A767F">
              <w:rPr>
                <w:rFonts w:ascii="Arial" w:hAnsi="Arial" w:cs="Arial"/>
                <w:b/>
                <w:u w:val="single"/>
              </w:rPr>
              <w:t>Counse</w:t>
            </w:r>
            <w:r w:rsidR="009333AA" w:rsidRPr="005A767F">
              <w:rPr>
                <w:rFonts w:ascii="Arial" w:hAnsi="Arial" w:cs="Arial"/>
                <w:b/>
                <w:u w:val="single"/>
              </w:rPr>
              <w:t>l</w:t>
            </w:r>
            <w:bookmarkEnd w:id="3"/>
          </w:p>
        </w:tc>
      </w:tr>
      <w:tr w:rsidR="00CF3F96" w:rsidRPr="005A767F" w:rsidTr="0054190D">
        <w:tc>
          <w:tcPr>
            <w:tcW w:w="4219" w:type="dxa"/>
          </w:tcPr>
          <w:p w:rsidR="00CF3F96" w:rsidRPr="005A767F" w:rsidRDefault="00CF3F96" w:rsidP="00375F31">
            <w:pPr>
              <w:pStyle w:val="PartiesCounselAgent"/>
              <w:tabs>
                <w:tab w:val="left" w:pos="3402"/>
              </w:tabs>
              <w:rPr>
                <w:rFonts w:cs="Arial"/>
                <w:lang w:eastAsia="en-CA"/>
              </w:rPr>
            </w:pPr>
          </w:p>
        </w:tc>
        <w:tc>
          <w:tcPr>
            <w:tcW w:w="5387" w:type="dxa"/>
          </w:tcPr>
          <w:p w:rsidR="00CF3F96" w:rsidRPr="005A767F" w:rsidRDefault="00CF3F96" w:rsidP="00375F31">
            <w:pPr>
              <w:pStyle w:val="PartiesCounselAgent"/>
              <w:tabs>
                <w:tab w:val="left" w:pos="3402"/>
              </w:tabs>
              <w:rPr>
                <w:rFonts w:cs="Arial"/>
                <w:lang w:eastAsia="en-CA"/>
              </w:rPr>
            </w:pPr>
          </w:p>
        </w:tc>
      </w:tr>
      <w:tr w:rsidR="000D6F9D" w:rsidRPr="005A767F" w:rsidTr="0054190D">
        <w:tc>
          <w:tcPr>
            <w:tcW w:w="4219" w:type="dxa"/>
          </w:tcPr>
          <w:p w:rsidR="000D6F9D" w:rsidRPr="005A767F" w:rsidRDefault="0054190D" w:rsidP="00375F31">
            <w:pPr>
              <w:pStyle w:val="PartiesCounselAgent"/>
              <w:tabs>
                <w:tab w:val="left" w:pos="3402"/>
              </w:tabs>
              <w:rPr>
                <w:rFonts w:cs="Arial"/>
              </w:rPr>
            </w:pPr>
            <w:proofErr w:type="spellStart"/>
            <w:r>
              <w:rPr>
                <w:rFonts w:cs="Arial"/>
              </w:rPr>
              <w:t>Queenston</w:t>
            </w:r>
            <w:proofErr w:type="spellEnd"/>
            <w:r>
              <w:rPr>
                <w:rFonts w:cs="Arial"/>
              </w:rPr>
              <w:t xml:space="preserve"> Road Holdings Inc.</w:t>
            </w:r>
          </w:p>
        </w:tc>
        <w:tc>
          <w:tcPr>
            <w:tcW w:w="5387" w:type="dxa"/>
          </w:tcPr>
          <w:p w:rsidR="000D6F9D" w:rsidRPr="005A767F" w:rsidRDefault="0054190D" w:rsidP="00375F31">
            <w:pPr>
              <w:pStyle w:val="PartiesCounselAgent"/>
              <w:tabs>
                <w:tab w:val="left" w:pos="3402"/>
              </w:tabs>
              <w:rPr>
                <w:rFonts w:cs="Arial"/>
              </w:rPr>
            </w:pPr>
            <w:r>
              <w:rPr>
                <w:rFonts w:cs="Arial"/>
              </w:rPr>
              <w:t xml:space="preserve">P. </w:t>
            </w:r>
            <w:proofErr w:type="spellStart"/>
            <w:r>
              <w:rPr>
                <w:rFonts w:cs="Arial"/>
              </w:rPr>
              <w:t>Foran</w:t>
            </w:r>
            <w:proofErr w:type="spellEnd"/>
          </w:p>
        </w:tc>
      </w:tr>
      <w:tr w:rsidR="000D6F9D" w:rsidRPr="005A767F" w:rsidTr="0054190D">
        <w:tc>
          <w:tcPr>
            <w:tcW w:w="4219" w:type="dxa"/>
          </w:tcPr>
          <w:p w:rsidR="000D6F9D" w:rsidRPr="005A767F" w:rsidRDefault="000D6F9D" w:rsidP="00375F31">
            <w:pPr>
              <w:pStyle w:val="PartiesCounselAgent"/>
              <w:tabs>
                <w:tab w:val="left" w:pos="3402"/>
              </w:tabs>
              <w:rPr>
                <w:rFonts w:cs="Arial"/>
              </w:rPr>
            </w:pPr>
          </w:p>
        </w:tc>
        <w:tc>
          <w:tcPr>
            <w:tcW w:w="5387" w:type="dxa"/>
          </w:tcPr>
          <w:p w:rsidR="000D6F9D" w:rsidRPr="005A767F" w:rsidRDefault="000D6F9D" w:rsidP="00375F31">
            <w:pPr>
              <w:pStyle w:val="PartiesCounselAgent"/>
              <w:tabs>
                <w:tab w:val="left" w:pos="3402"/>
              </w:tabs>
              <w:rPr>
                <w:rFonts w:cs="Arial"/>
              </w:rPr>
            </w:pPr>
          </w:p>
        </w:tc>
      </w:tr>
      <w:tr w:rsidR="000D6F9D" w:rsidRPr="005A767F" w:rsidTr="0054190D">
        <w:tc>
          <w:tcPr>
            <w:tcW w:w="4219" w:type="dxa"/>
          </w:tcPr>
          <w:p w:rsidR="000D6F9D" w:rsidRPr="005A767F" w:rsidRDefault="0054190D" w:rsidP="00375F31">
            <w:pPr>
              <w:tabs>
                <w:tab w:val="left" w:pos="3402"/>
              </w:tabs>
              <w:rPr>
                <w:rFonts w:ascii="Arial" w:hAnsi="Arial" w:cs="Arial"/>
                <w:lang w:val="en-CA" w:eastAsia="en-CA"/>
              </w:rPr>
            </w:pPr>
            <w:r>
              <w:rPr>
                <w:rFonts w:ascii="Arial" w:hAnsi="Arial" w:cs="Arial"/>
                <w:lang w:val="en-CA" w:eastAsia="en-CA"/>
              </w:rPr>
              <w:t>City of Hamilton</w:t>
            </w:r>
          </w:p>
        </w:tc>
        <w:tc>
          <w:tcPr>
            <w:tcW w:w="5387" w:type="dxa"/>
          </w:tcPr>
          <w:p w:rsidR="000D6F9D" w:rsidRPr="005A767F" w:rsidRDefault="0054190D" w:rsidP="00375F31">
            <w:pPr>
              <w:pStyle w:val="PartiesCounselAgent"/>
              <w:tabs>
                <w:tab w:val="left" w:pos="3402"/>
              </w:tabs>
              <w:rPr>
                <w:rFonts w:cs="Arial"/>
              </w:rPr>
            </w:pPr>
            <w:r>
              <w:rPr>
                <w:rFonts w:cs="Arial"/>
              </w:rPr>
              <w:t>P. MacDonald</w:t>
            </w:r>
          </w:p>
        </w:tc>
      </w:tr>
    </w:tbl>
    <w:p w:rsidR="0026320F" w:rsidRPr="005A767F" w:rsidRDefault="0026320F" w:rsidP="005A767F">
      <w:pPr>
        <w:tabs>
          <w:tab w:val="left" w:pos="3402"/>
        </w:tabs>
        <w:rPr>
          <w:rFonts w:ascii="Arial" w:hAnsi="Arial" w:cs="Arial"/>
        </w:rPr>
      </w:pPr>
    </w:p>
    <w:p w:rsidR="00324440" w:rsidRPr="00375F31" w:rsidRDefault="00324440" w:rsidP="005A767F">
      <w:pPr>
        <w:pStyle w:val="DecisionDeliveredby"/>
        <w:pBdr>
          <w:bottom w:val="single" w:sz="4" w:space="1" w:color="auto"/>
        </w:pBdr>
        <w:rPr>
          <w:rFonts w:cs="Arial"/>
          <w:b w:val="0"/>
        </w:rPr>
      </w:pPr>
      <w:bookmarkStart w:id="4" w:name="DecisionDeliveredBy"/>
    </w:p>
    <w:p w:rsidR="00C02B28" w:rsidRPr="005A767F" w:rsidRDefault="0054190D" w:rsidP="005A767F">
      <w:pPr>
        <w:pStyle w:val="DecisionDeliveredby"/>
        <w:pBdr>
          <w:bottom w:val="single" w:sz="4" w:space="1" w:color="auto"/>
        </w:pBdr>
        <w:rPr>
          <w:rFonts w:cs="Arial"/>
        </w:rPr>
      </w:pPr>
      <w:r>
        <w:rPr>
          <w:rFonts w:cs="Arial"/>
        </w:rPr>
        <w:t xml:space="preserve">MEMORANDUM OF ORAL </w:t>
      </w:r>
      <w:r w:rsidR="00C02B28" w:rsidRPr="005A767F">
        <w:rPr>
          <w:rFonts w:cs="Arial"/>
        </w:rPr>
        <w:t xml:space="preserve">DECISION DELIVERED BY </w:t>
      </w:r>
      <w:r>
        <w:rPr>
          <w:rFonts w:cs="Arial"/>
        </w:rPr>
        <w:t>J. V. ZUIDEMA ON AUGUST 9, 2017 AND ORDER OF THE BOARD</w:t>
      </w:r>
    </w:p>
    <w:p w:rsidR="00665DAE" w:rsidRPr="00375F31" w:rsidRDefault="00665DAE" w:rsidP="009A73F6">
      <w:pPr>
        <w:pStyle w:val="DecisionDeliveredby"/>
        <w:ind w:right="-138"/>
        <w:rPr>
          <w:rFonts w:cs="Arial"/>
          <w:b w:val="0"/>
        </w:rPr>
      </w:pPr>
    </w:p>
    <w:bookmarkEnd w:id="4"/>
    <w:p w:rsidR="008F2B6A" w:rsidRDefault="008F2B6A" w:rsidP="008F2B6A">
      <w:pPr>
        <w:pStyle w:val="DecisionBody"/>
        <w:numPr>
          <w:ilvl w:val="0"/>
          <w:numId w:val="0"/>
        </w:numPr>
        <w:spacing w:before="0" w:after="0" w:line="360" w:lineRule="auto"/>
        <w:rPr>
          <w:rFonts w:cs="Arial"/>
        </w:rPr>
      </w:pPr>
    </w:p>
    <w:p w:rsidR="006B7D6D" w:rsidRDefault="006B7D6D" w:rsidP="008F2B6A">
      <w:pPr>
        <w:pStyle w:val="DecisionBody"/>
        <w:spacing w:before="0" w:after="0" w:line="360" w:lineRule="auto"/>
        <w:rPr>
          <w:rFonts w:cs="Arial"/>
        </w:rPr>
      </w:pPr>
      <w:r>
        <w:rPr>
          <w:rFonts w:cs="Arial"/>
        </w:rPr>
        <w:t>A first Pre-Hearing Conference (“PHC”) was held to ascertain interested parties and participants and to set out the process on a go-forward basis.</w:t>
      </w:r>
      <w:r w:rsidR="008F2B6A">
        <w:rPr>
          <w:rFonts w:cs="Arial"/>
        </w:rPr>
        <w:br/>
      </w:r>
    </w:p>
    <w:p w:rsidR="006B7D6D" w:rsidRPr="006B7D6D" w:rsidRDefault="006B7D6D" w:rsidP="008F2B6A">
      <w:pPr>
        <w:pStyle w:val="DecisionBody"/>
        <w:spacing w:before="0" w:after="0" w:line="360" w:lineRule="auto"/>
        <w:rPr>
          <w:rFonts w:cs="Arial"/>
        </w:rPr>
      </w:pPr>
      <w:r>
        <w:rPr>
          <w:rFonts w:cs="Arial"/>
          <w:lang w:val="en-US"/>
        </w:rPr>
        <w:t>The parties to the appeal are:</w:t>
      </w:r>
    </w:p>
    <w:p w:rsidR="006B7D6D" w:rsidRDefault="006B7D6D" w:rsidP="0054190D">
      <w:pPr>
        <w:pStyle w:val="DecisionBody"/>
        <w:numPr>
          <w:ilvl w:val="1"/>
          <w:numId w:val="11"/>
        </w:numPr>
        <w:spacing w:beforeLines="150" w:before="360" w:afterLines="150" w:after="360" w:line="360" w:lineRule="auto"/>
        <w:ind w:hanging="731"/>
        <w:rPr>
          <w:rFonts w:cs="Arial"/>
        </w:rPr>
      </w:pPr>
      <w:proofErr w:type="spellStart"/>
      <w:r>
        <w:rPr>
          <w:rFonts w:cs="Arial"/>
        </w:rPr>
        <w:t>Queenston</w:t>
      </w:r>
      <w:proofErr w:type="spellEnd"/>
      <w:r>
        <w:rPr>
          <w:rFonts w:cs="Arial"/>
        </w:rPr>
        <w:t xml:space="preserve"> Road Holdings Inc. (“Appellant”) represented by counsel </w:t>
      </w:r>
      <w:r>
        <w:rPr>
          <w:rFonts w:cs="Arial"/>
        </w:rPr>
        <w:lastRenderedPageBreak/>
        <w:t xml:space="preserve">Patricia </w:t>
      </w:r>
      <w:proofErr w:type="spellStart"/>
      <w:r>
        <w:rPr>
          <w:rFonts w:cs="Arial"/>
        </w:rPr>
        <w:t>Foran</w:t>
      </w:r>
      <w:proofErr w:type="spellEnd"/>
      <w:r>
        <w:rPr>
          <w:rFonts w:cs="Arial"/>
        </w:rPr>
        <w:t>.</w:t>
      </w:r>
    </w:p>
    <w:p w:rsidR="006B7D6D" w:rsidRPr="006B7D6D" w:rsidRDefault="006B7D6D" w:rsidP="0054190D">
      <w:pPr>
        <w:pStyle w:val="DecisionBody"/>
        <w:numPr>
          <w:ilvl w:val="1"/>
          <w:numId w:val="11"/>
        </w:numPr>
        <w:spacing w:beforeLines="150" w:before="360" w:afterLines="150" w:after="360" w:line="360" w:lineRule="auto"/>
        <w:ind w:hanging="731"/>
        <w:rPr>
          <w:rFonts w:cs="Arial"/>
        </w:rPr>
      </w:pPr>
      <w:r>
        <w:rPr>
          <w:rFonts w:cs="Arial"/>
        </w:rPr>
        <w:t>City of Hamilton (“City”) represented by counsel Patrick MacDonald.</w:t>
      </w:r>
    </w:p>
    <w:p w:rsidR="006B7D6D" w:rsidRDefault="006B7D6D" w:rsidP="008F2B6A">
      <w:pPr>
        <w:pStyle w:val="DecisionBody"/>
        <w:spacing w:before="0" w:after="0" w:line="360" w:lineRule="auto"/>
        <w:rPr>
          <w:rFonts w:cs="Arial"/>
        </w:rPr>
      </w:pPr>
      <w:r>
        <w:rPr>
          <w:rFonts w:cs="Arial"/>
        </w:rPr>
        <w:t>The participants to the hearing are:</w:t>
      </w:r>
    </w:p>
    <w:p w:rsidR="006B7D6D" w:rsidRDefault="006B7D6D" w:rsidP="0054190D">
      <w:pPr>
        <w:pStyle w:val="DecisionBody"/>
        <w:numPr>
          <w:ilvl w:val="1"/>
          <w:numId w:val="11"/>
        </w:numPr>
        <w:spacing w:beforeLines="150" w:before="360" w:afterLines="150" w:after="360" w:line="360" w:lineRule="auto"/>
        <w:ind w:hanging="731"/>
        <w:rPr>
          <w:rFonts w:cs="Arial"/>
        </w:rPr>
      </w:pPr>
      <w:r>
        <w:rPr>
          <w:rFonts w:cs="Arial"/>
        </w:rPr>
        <w:t xml:space="preserve">Mr. Paul </w:t>
      </w:r>
      <w:proofErr w:type="spellStart"/>
      <w:r>
        <w:rPr>
          <w:rFonts w:cs="Arial"/>
        </w:rPr>
        <w:t>Glenney</w:t>
      </w:r>
      <w:proofErr w:type="spellEnd"/>
      <w:r>
        <w:rPr>
          <w:rFonts w:cs="Arial"/>
        </w:rPr>
        <w:t>;</w:t>
      </w:r>
    </w:p>
    <w:p w:rsidR="006B7D6D" w:rsidRDefault="006B7D6D" w:rsidP="0054190D">
      <w:pPr>
        <w:pStyle w:val="DecisionBody"/>
        <w:numPr>
          <w:ilvl w:val="1"/>
          <w:numId w:val="11"/>
        </w:numPr>
        <w:spacing w:beforeLines="150" w:before="360" w:afterLines="150" w:after="360" w:line="360" w:lineRule="auto"/>
        <w:ind w:hanging="731"/>
        <w:rPr>
          <w:rFonts w:cs="Arial"/>
        </w:rPr>
      </w:pPr>
      <w:r>
        <w:rPr>
          <w:rFonts w:cs="Arial"/>
        </w:rPr>
        <w:t>Mr. Alan Mills;</w:t>
      </w:r>
    </w:p>
    <w:p w:rsidR="006B7D6D" w:rsidRDefault="006B7D6D" w:rsidP="0054190D">
      <w:pPr>
        <w:pStyle w:val="DecisionBody"/>
        <w:numPr>
          <w:ilvl w:val="1"/>
          <w:numId w:val="11"/>
        </w:numPr>
        <w:spacing w:beforeLines="150" w:before="360" w:afterLines="150" w:after="360" w:line="360" w:lineRule="auto"/>
        <w:ind w:hanging="731"/>
        <w:rPr>
          <w:rFonts w:cs="Arial"/>
        </w:rPr>
      </w:pPr>
      <w:r>
        <w:rPr>
          <w:rFonts w:cs="Arial"/>
        </w:rPr>
        <w:t xml:space="preserve">Mr. David </w:t>
      </w:r>
      <w:proofErr w:type="spellStart"/>
      <w:r>
        <w:rPr>
          <w:rFonts w:cs="Arial"/>
        </w:rPr>
        <w:t>Bruzzese</w:t>
      </w:r>
      <w:proofErr w:type="spellEnd"/>
      <w:r>
        <w:rPr>
          <w:rFonts w:cs="Arial"/>
        </w:rPr>
        <w:t xml:space="preserve"> and Ms. Rosemary </w:t>
      </w:r>
      <w:proofErr w:type="spellStart"/>
      <w:r>
        <w:rPr>
          <w:rFonts w:cs="Arial"/>
        </w:rPr>
        <w:t>Bruzzese</w:t>
      </w:r>
      <w:proofErr w:type="spellEnd"/>
      <w:r>
        <w:rPr>
          <w:rFonts w:cs="Arial"/>
        </w:rPr>
        <w:t>; and</w:t>
      </w:r>
    </w:p>
    <w:p w:rsidR="006B7D6D" w:rsidRDefault="006B7D6D" w:rsidP="0054190D">
      <w:pPr>
        <w:pStyle w:val="DecisionBody"/>
        <w:numPr>
          <w:ilvl w:val="1"/>
          <w:numId w:val="11"/>
        </w:numPr>
        <w:spacing w:beforeLines="150" w:before="360" w:afterLines="150" w:after="360" w:line="360" w:lineRule="auto"/>
        <w:ind w:hanging="731"/>
        <w:rPr>
          <w:rFonts w:cs="Arial"/>
        </w:rPr>
      </w:pPr>
      <w:r>
        <w:rPr>
          <w:rFonts w:cs="Arial"/>
        </w:rPr>
        <w:t xml:space="preserve">Mr. Ed </w:t>
      </w:r>
      <w:proofErr w:type="spellStart"/>
      <w:r>
        <w:rPr>
          <w:rFonts w:cs="Arial"/>
        </w:rPr>
        <w:t>Paprocki</w:t>
      </w:r>
      <w:proofErr w:type="spellEnd"/>
      <w:r>
        <w:rPr>
          <w:rFonts w:cs="Arial"/>
        </w:rPr>
        <w:t>.</w:t>
      </w:r>
    </w:p>
    <w:p w:rsidR="006B7D6D" w:rsidRDefault="006B7D6D" w:rsidP="008F2B6A">
      <w:pPr>
        <w:pStyle w:val="DecisionBody"/>
        <w:spacing w:before="0" w:after="0" w:line="360" w:lineRule="auto"/>
        <w:rPr>
          <w:rFonts w:cs="Arial"/>
        </w:rPr>
      </w:pPr>
      <w:r>
        <w:rPr>
          <w:rFonts w:cs="Arial"/>
        </w:rPr>
        <w:t>The background on this matter as contained in the Board file is as follows:</w:t>
      </w:r>
    </w:p>
    <w:p w:rsidR="006120FE" w:rsidRPr="006120FE" w:rsidRDefault="006B7D6D" w:rsidP="0054190D">
      <w:pPr>
        <w:pStyle w:val="DecisionBody"/>
        <w:numPr>
          <w:ilvl w:val="1"/>
          <w:numId w:val="11"/>
        </w:numPr>
        <w:spacing w:beforeLines="150" w:before="360" w:afterLines="150" w:after="360" w:line="360" w:lineRule="auto"/>
        <w:ind w:hanging="731"/>
        <w:rPr>
          <w:rFonts w:cs="Arial"/>
        </w:rPr>
      </w:pPr>
      <w:r>
        <w:rPr>
          <w:rFonts w:cs="Arial"/>
        </w:rPr>
        <w:t>The Appellant made a</w:t>
      </w:r>
      <w:r w:rsidR="006120FE" w:rsidRPr="006120FE">
        <w:rPr>
          <w:rFonts w:cs="Arial"/>
        </w:rPr>
        <w:t xml:space="preserve">pplications </w:t>
      </w:r>
      <w:r>
        <w:rPr>
          <w:rFonts w:cs="Arial"/>
        </w:rPr>
        <w:t>to the City seeking</w:t>
      </w:r>
      <w:r w:rsidR="006120FE" w:rsidRPr="006120FE">
        <w:rPr>
          <w:rFonts w:cs="Arial"/>
        </w:rPr>
        <w:t xml:space="preserve"> permission to:</w:t>
      </w:r>
    </w:p>
    <w:p w:rsidR="006120FE" w:rsidRPr="006120FE" w:rsidRDefault="005F30F9" w:rsidP="005F30F9">
      <w:pPr>
        <w:pStyle w:val="DecisionBody"/>
        <w:numPr>
          <w:ilvl w:val="0"/>
          <w:numId w:val="0"/>
        </w:numPr>
        <w:spacing w:beforeLines="150" w:before="360" w:afterLines="150" w:after="360" w:line="360" w:lineRule="auto"/>
        <w:ind w:left="2160" w:hanging="731"/>
        <w:rPr>
          <w:rFonts w:cs="Arial"/>
        </w:rPr>
      </w:pPr>
      <w:r>
        <w:rPr>
          <w:rFonts w:cs="Arial"/>
        </w:rPr>
        <w:t>i.</w:t>
      </w:r>
      <w:r>
        <w:rPr>
          <w:rFonts w:cs="Arial"/>
        </w:rPr>
        <w:tab/>
      </w:r>
      <w:r w:rsidR="006120FE" w:rsidRPr="006120FE">
        <w:rPr>
          <w:rFonts w:cs="Arial"/>
        </w:rPr>
        <w:t>recognize the existing two</w:t>
      </w:r>
      <w:r>
        <w:rPr>
          <w:rFonts w:cs="Arial"/>
        </w:rPr>
        <w:t>-</w:t>
      </w:r>
      <w:r w:rsidR="006120FE" w:rsidRPr="006120FE">
        <w:rPr>
          <w:rFonts w:cs="Arial"/>
        </w:rPr>
        <w:t xml:space="preserve">storey commercial building </w:t>
      </w:r>
      <w:r w:rsidR="006B7D6D">
        <w:rPr>
          <w:rFonts w:cs="Arial"/>
        </w:rPr>
        <w:t xml:space="preserve">at its property located at 860 </w:t>
      </w:r>
      <w:proofErr w:type="spellStart"/>
      <w:r w:rsidR="006B7D6D">
        <w:rPr>
          <w:rFonts w:cs="Arial"/>
        </w:rPr>
        <w:t>Queenston</w:t>
      </w:r>
      <w:proofErr w:type="spellEnd"/>
      <w:r w:rsidR="006B7D6D">
        <w:rPr>
          <w:rFonts w:cs="Arial"/>
        </w:rPr>
        <w:t xml:space="preserve"> Road (“</w:t>
      </w:r>
      <w:r w:rsidR="006120FE" w:rsidRPr="006120FE">
        <w:rPr>
          <w:rFonts w:cs="Arial"/>
        </w:rPr>
        <w:t xml:space="preserve">subject </w:t>
      </w:r>
      <w:r w:rsidR="006B7D6D">
        <w:rPr>
          <w:rFonts w:cs="Arial"/>
        </w:rPr>
        <w:t>property”)</w:t>
      </w:r>
      <w:r w:rsidR="006120FE" w:rsidRPr="006120FE">
        <w:rPr>
          <w:rFonts w:cs="Arial"/>
        </w:rPr>
        <w:t xml:space="preserve"> and facilitate a future severance of that part of the subject site;</w:t>
      </w:r>
    </w:p>
    <w:p w:rsidR="006120FE" w:rsidRPr="006120FE" w:rsidRDefault="005F30F9" w:rsidP="005F30F9">
      <w:pPr>
        <w:pStyle w:val="DecisionBody"/>
        <w:numPr>
          <w:ilvl w:val="0"/>
          <w:numId w:val="0"/>
        </w:numPr>
        <w:spacing w:beforeLines="150" w:before="360" w:afterLines="150" w:after="360" w:line="360" w:lineRule="auto"/>
        <w:ind w:left="2160" w:hanging="720"/>
        <w:rPr>
          <w:rFonts w:cs="Arial"/>
        </w:rPr>
      </w:pPr>
      <w:r>
        <w:rPr>
          <w:rFonts w:cs="Arial"/>
        </w:rPr>
        <w:t>ii.</w:t>
      </w:r>
      <w:r>
        <w:rPr>
          <w:rFonts w:cs="Arial"/>
        </w:rPr>
        <w:tab/>
      </w:r>
      <w:proofErr w:type="gramStart"/>
      <w:r w:rsidR="006120FE" w:rsidRPr="006120FE">
        <w:rPr>
          <w:rFonts w:cs="Arial"/>
        </w:rPr>
        <w:t>permit</w:t>
      </w:r>
      <w:proofErr w:type="gramEnd"/>
      <w:r w:rsidR="006120FE" w:rsidRPr="006120FE">
        <w:rPr>
          <w:rFonts w:cs="Arial"/>
        </w:rPr>
        <w:t xml:space="preserve"> the balance of the subject </w:t>
      </w:r>
      <w:r w:rsidR="006B7D6D">
        <w:rPr>
          <w:rFonts w:cs="Arial"/>
        </w:rPr>
        <w:t>property</w:t>
      </w:r>
      <w:r w:rsidR="006120FE" w:rsidRPr="006120FE">
        <w:rPr>
          <w:rFonts w:cs="Arial"/>
        </w:rPr>
        <w:t xml:space="preserve"> to be developed for a 19</w:t>
      </w:r>
      <w:r>
        <w:rPr>
          <w:rFonts w:cs="Arial"/>
        </w:rPr>
        <w:t>-</w:t>
      </w:r>
      <w:r w:rsidR="006120FE" w:rsidRPr="006120FE">
        <w:rPr>
          <w:rFonts w:cs="Arial"/>
        </w:rPr>
        <w:t>storey residential building with 223 units; and</w:t>
      </w:r>
    </w:p>
    <w:p w:rsidR="006120FE" w:rsidRPr="006120FE" w:rsidRDefault="006120FE" w:rsidP="005F30F9">
      <w:pPr>
        <w:pStyle w:val="DecisionBody"/>
        <w:numPr>
          <w:ilvl w:val="0"/>
          <w:numId w:val="21"/>
        </w:numPr>
        <w:spacing w:beforeLines="150" w:before="360" w:afterLines="150" w:after="360" w:line="360" w:lineRule="auto"/>
        <w:rPr>
          <w:rFonts w:cs="Arial"/>
        </w:rPr>
      </w:pPr>
      <w:proofErr w:type="gramStart"/>
      <w:r w:rsidRPr="006120FE">
        <w:rPr>
          <w:rFonts w:cs="Arial"/>
        </w:rPr>
        <w:t>recognize</w:t>
      </w:r>
      <w:proofErr w:type="gramEnd"/>
      <w:r w:rsidRPr="006120FE">
        <w:rPr>
          <w:rFonts w:cs="Arial"/>
        </w:rPr>
        <w:t xml:space="preserve"> and protect in an appropriate land use designation, lands identified as an environmental linkage on the subject </w:t>
      </w:r>
      <w:r w:rsidR="00D802CC">
        <w:rPr>
          <w:rFonts w:cs="Arial"/>
        </w:rPr>
        <w:t>property</w:t>
      </w:r>
      <w:r w:rsidRPr="006120FE">
        <w:rPr>
          <w:rFonts w:cs="Arial"/>
        </w:rPr>
        <w:t>.</w:t>
      </w:r>
    </w:p>
    <w:p w:rsidR="006120FE" w:rsidRPr="006120FE" w:rsidRDefault="006120FE" w:rsidP="0054190D">
      <w:pPr>
        <w:pStyle w:val="DecisionBody"/>
        <w:numPr>
          <w:ilvl w:val="1"/>
          <w:numId w:val="11"/>
        </w:numPr>
        <w:spacing w:beforeLines="150" w:before="360" w:afterLines="150" w:after="360" w:line="360" w:lineRule="auto"/>
        <w:ind w:hanging="731"/>
        <w:rPr>
          <w:rFonts w:cs="Arial"/>
        </w:rPr>
      </w:pPr>
      <w:r w:rsidRPr="006120FE">
        <w:rPr>
          <w:rFonts w:cs="Arial"/>
        </w:rPr>
        <w:t xml:space="preserve">The application was </w:t>
      </w:r>
      <w:r w:rsidR="00D802CC">
        <w:rPr>
          <w:rFonts w:cs="Arial"/>
        </w:rPr>
        <w:t xml:space="preserve">subsequently </w:t>
      </w:r>
      <w:r w:rsidRPr="006120FE">
        <w:rPr>
          <w:rFonts w:cs="Arial"/>
        </w:rPr>
        <w:t xml:space="preserve">revised to include 219 units, consisting of 116 </w:t>
      </w:r>
      <w:r w:rsidR="00D802CC">
        <w:rPr>
          <w:rFonts w:cs="Arial"/>
        </w:rPr>
        <w:t>one</w:t>
      </w:r>
      <w:r w:rsidRPr="006120FE">
        <w:rPr>
          <w:rFonts w:cs="Arial"/>
        </w:rPr>
        <w:t xml:space="preserve">-bedroom units and 103 </w:t>
      </w:r>
      <w:r w:rsidR="00D802CC">
        <w:rPr>
          <w:rFonts w:cs="Arial"/>
        </w:rPr>
        <w:t>two</w:t>
      </w:r>
      <w:r w:rsidRPr="006120FE">
        <w:rPr>
          <w:rFonts w:cs="Arial"/>
        </w:rPr>
        <w:t>-bedroom units.  The A</w:t>
      </w:r>
      <w:r w:rsidR="00D802CC">
        <w:rPr>
          <w:rFonts w:cs="Arial"/>
        </w:rPr>
        <w:t xml:space="preserve">ppellant </w:t>
      </w:r>
      <w:r w:rsidRPr="006120FE">
        <w:rPr>
          <w:rFonts w:cs="Arial"/>
        </w:rPr>
        <w:t xml:space="preserve">worked with the Hamilton Conservation Authority who </w:t>
      </w:r>
      <w:proofErr w:type="gramStart"/>
      <w:r w:rsidR="00D802CC">
        <w:rPr>
          <w:rFonts w:cs="Arial"/>
        </w:rPr>
        <w:t>we</w:t>
      </w:r>
      <w:r w:rsidRPr="006120FE">
        <w:rPr>
          <w:rFonts w:cs="Arial"/>
        </w:rPr>
        <w:t>re</w:t>
      </w:r>
      <w:proofErr w:type="gramEnd"/>
      <w:r w:rsidRPr="006120FE">
        <w:rPr>
          <w:rFonts w:cs="Arial"/>
        </w:rPr>
        <w:t xml:space="preserve"> satisfied with the recognition of the environmental linkage and the delineation of the </w:t>
      </w:r>
      <w:r w:rsidRPr="006120FE">
        <w:rPr>
          <w:rFonts w:cs="Arial"/>
        </w:rPr>
        <w:lastRenderedPageBreak/>
        <w:t>stable top of bank.</w:t>
      </w:r>
    </w:p>
    <w:p w:rsidR="006120FE" w:rsidRPr="006120FE" w:rsidRDefault="00D802CC" w:rsidP="0054190D">
      <w:pPr>
        <w:pStyle w:val="DecisionBody"/>
        <w:numPr>
          <w:ilvl w:val="1"/>
          <w:numId w:val="11"/>
        </w:numPr>
        <w:spacing w:beforeLines="150" w:before="360" w:afterLines="150" w:after="360" w:line="360" w:lineRule="auto"/>
        <w:ind w:hanging="731"/>
        <w:rPr>
          <w:rFonts w:cs="Arial"/>
        </w:rPr>
      </w:pPr>
      <w:r>
        <w:rPr>
          <w:rFonts w:cs="Arial"/>
        </w:rPr>
        <w:t>The Official Plan Amendment (“</w:t>
      </w:r>
      <w:r w:rsidR="006120FE" w:rsidRPr="006120FE">
        <w:rPr>
          <w:rFonts w:cs="Arial"/>
        </w:rPr>
        <w:t>OPA</w:t>
      </w:r>
      <w:r>
        <w:rPr>
          <w:rFonts w:cs="Arial"/>
        </w:rPr>
        <w:t>”)</w:t>
      </w:r>
      <w:r w:rsidR="006120FE" w:rsidRPr="006120FE">
        <w:rPr>
          <w:rFonts w:cs="Arial"/>
        </w:rPr>
        <w:t xml:space="preserve"> application </w:t>
      </w:r>
      <w:r>
        <w:rPr>
          <w:rFonts w:cs="Arial"/>
        </w:rPr>
        <w:t xml:space="preserve">was </w:t>
      </w:r>
      <w:r w:rsidR="006120FE" w:rsidRPr="006120FE">
        <w:rPr>
          <w:rFonts w:cs="Arial"/>
        </w:rPr>
        <w:t>to change the land use designation o</w:t>
      </w:r>
      <w:r>
        <w:rPr>
          <w:rFonts w:cs="Arial"/>
        </w:rPr>
        <w:t>n</w:t>
      </w:r>
      <w:r w:rsidR="006120FE" w:rsidRPr="006120FE">
        <w:rPr>
          <w:rFonts w:cs="Arial"/>
        </w:rPr>
        <w:t xml:space="preserve"> schedule "E-1", Urban Land use Designations</w:t>
      </w:r>
      <w:r>
        <w:rPr>
          <w:rFonts w:cs="Arial"/>
        </w:rPr>
        <w:t xml:space="preserve"> of the City’s Official Plan</w:t>
      </w:r>
      <w:r w:rsidR="006120FE" w:rsidRPr="006120FE">
        <w:rPr>
          <w:rFonts w:cs="Arial"/>
        </w:rPr>
        <w:t>:</w:t>
      </w:r>
    </w:p>
    <w:p w:rsidR="006120FE" w:rsidRPr="006120FE" w:rsidRDefault="005F30F9" w:rsidP="005F30F9">
      <w:pPr>
        <w:pStyle w:val="DecisionBody"/>
        <w:numPr>
          <w:ilvl w:val="0"/>
          <w:numId w:val="0"/>
        </w:numPr>
        <w:spacing w:beforeLines="150" w:before="360" w:afterLines="150" w:after="360" w:line="360" w:lineRule="auto"/>
        <w:ind w:left="709" w:firstLine="720"/>
        <w:rPr>
          <w:rFonts w:cs="Arial"/>
        </w:rPr>
      </w:pPr>
      <w:proofErr w:type="gramStart"/>
      <w:r>
        <w:rPr>
          <w:rFonts w:cs="Arial"/>
        </w:rPr>
        <w:t>i</w:t>
      </w:r>
      <w:proofErr w:type="gramEnd"/>
      <w:r>
        <w:rPr>
          <w:rFonts w:cs="Arial"/>
        </w:rPr>
        <w:t>.</w:t>
      </w:r>
      <w:r>
        <w:rPr>
          <w:rFonts w:cs="Arial"/>
        </w:rPr>
        <w:tab/>
      </w:r>
      <w:r w:rsidR="006120FE" w:rsidRPr="006120FE">
        <w:rPr>
          <w:rFonts w:cs="Arial"/>
        </w:rPr>
        <w:t xml:space="preserve">from "Mixed Use - Medium Density" to "Neighbourhoods" </w:t>
      </w:r>
      <w:r w:rsidR="00D802CC">
        <w:rPr>
          <w:rFonts w:cs="Arial"/>
        </w:rPr>
        <w:t>and</w:t>
      </w:r>
    </w:p>
    <w:p w:rsidR="006120FE" w:rsidRPr="006120FE" w:rsidRDefault="005F30F9" w:rsidP="005F30F9">
      <w:pPr>
        <w:pStyle w:val="DecisionBody"/>
        <w:numPr>
          <w:ilvl w:val="0"/>
          <w:numId w:val="0"/>
        </w:numPr>
        <w:spacing w:beforeLines="150" w:before="360" w:afterLines="150" w:after="360" w:line="360" w:lineRule="auto"/>
        <w:ind w:left="2160" w:hanging="731"/>
        <w:rPr>
          <w:rFonts w:cs="Arial"/>
        </w:rPr>
      </w:pPr>
      <w:r>
        <w:rPr>
          <w:rFonts w:cs="Arial"/>
        </w:rPr>
        <w:t>ii.</w:t>
      </w:r>
      <w:r>
        <w:rPr>
          <w:rFonts w:cs="Arial"/>
        </w:rPr>
        <w:tab/>
      </w:r>
      <w:proofErr w:type="gramStart"/>
      <w:r w:rsidR="006120FE" w:rsidRPr="006120FE">
        <w:rPr>
          <w:rFonts w:cs="Arial"/>
        </w:rPr>
        <w:t>from</w:t>
      </w:r>
      <w:proofErr w:type="gramEnd"/>
      <w:r w:rsidR="006120FE" w:rsidRPr="006120FE">
        <w:rPr>
          <w:rFonts w:cs="Arial"/>
        </w:rPr>
        <w:t xml:space="preserve"> "Mixed Use - Medium Density" to "Open Space" to protect the natural open space portion of the site.</w:t>
      </w:r>
    </w:p>
    <w:p w:rsidR="006120FE" w:rsidRPr="006120FE" w:rsidRDefault="00D802CC" w:rsidP="0054190D">
      <w:pPr>
        <w:pStyle w:val="DecisionBody"/>
        <w:numPr>
          <w:ilvl w:val="1"/>
          <w:numId w:val="11"/>
        </w:numPr>
        <w:spacing w:beforeLines="150" w:before="360" w:afterLines="150" w:after="360" w:line="360" w:lineRule="auto"/>
        <w:ind w:hanging="731"/>
        <w:rPr>
          <w:rFonts w:cs="Arial"/>
        </w:rPr>
      </w:pPr>
      <w:r>
        <w:rPr>
          <w:rFonts w:cs="Arial"/>
        </w:rPr>
        <w:t>Further there was an a</w:t>
      </w:r>
      <w:r w:rsidR="006120FE" w:rsidRPr="006120FE">
        <w:rPr>
          <w:rFonts w:cs="Arial"/>
        </w:rPr>
        <w:t xml:space="preserve">pplication to change the land use designation of the Old Town Secondary Plan in the </w:t>
      </w:r>
      <w:r>
        <w:rPr>
          <w:rFonts w:cs="Arial"/>
        </w:rPr>
        <w:t>Urban Hamilton Official Plan (“</w:t>
      </w:r>
      <w:r w:rsidR="006120FE" w:rsidRPr="006120FE">
        <w:rPr>
          <w:rFonts w:cs="Arial"/>
        </w:rPr>
        <w:t>UHOP</w:t>
      </w:r>
      <w:r>
        <w:rPr>
          <w:rFonts w:cs="Arial"/>
        </w:rPr>
        <w:t>”)</w:t>
      </w:r>
      <w:r w:rsidR="006120FE" w:rsidRPr="006120FE">
        <w:rPr>
          <w:rFonts w:cs="Arial"/>
        </w:rPr>
        <w:t>:</w:t>
      </w:r>
    </w:p>
    <w:p w:rsidR="006120FE" w:rsidRPr="006120FE" w:rsidRDefault="005F30F9" w:rsidP="005F30F9">
      <w:pPr>
        <w:pStyle w:val="DecisionBody"/>
        <w:numPr>
          <w:ilvl w:val="0"/>
          <w:numId w:val="0"/>
        </w:numPr>
        <w:spacing w:beforeLines="150" w:before="360" w:afterLines="150" w:after="360" w:line="360" w:lineRule="auto"/>
        <w:ind w:left="709" w:firstLine="720"/>
        <w:rPr>
          <w:rFonts w:cs="Arial"/>
        </w:rPr>
      </w:pPr>
      <w:proofErr w:type="gramStart"/>
      <w:r>
        <w:rPr>
          <w:rFonts w:cs="Arial"/>
        </w:rPr>
        <w:t>i</w:t>
      </w:r>
      <w:proofErr w:type="gramEnd"/>
      <w:r>
        <w:rPr>
          <w:rFonts w:cs="Arial"/>
        </w:rPr>
        <w:t>.</w:t>
      </w:r>
      <w:r>
        <w:rPr>
          <w:rFonts w:cs="Arial"/>
        </w:rPr>
        <w:tab/>
      </w:r>
      <w:r w:rsidR="006120FE" w:rsidRPr="006120FE">
        <w:rPr>
          <w:rFonts w:cs="Arial"/>
        </w:rPr>
        <w:t xml:space="preserve">from "General Open Space" to "Mixed Use - Medium Density" </w:t>
      </w:r>
      <w:r w:rsidR="00D802CC">
        <w:rPr>
          <w:rFonts w:cs="Arial"/>
        </w:rPr>
        <w:t>and</w:t>
      </w:r>
    </w:p>
    <w:p w:rsidR="006120FE" w:rsidRPr="006120FE" w:rsidRDefault="005F30F9" w:rsidP="005F30F9">
      <w:pPr>
        <w:pStyle w:val="DecisionBody"/>
        <w:numPr>
          <w:ilvl w:val="0"/>
          <w:numId w:val="0"/>
        </w:numPr>
        <w:spacing w:beforeLines="150" w:before="360" w:afterLines="150" w:after="360" w:line="360" w:lineRule="auto"/>
        <w:ind w:left="709" w:firstLine="720"/>
        <w:rPr>
          <w:rFonts w:cs="Arial"/>
        </w:rPr>
      </w:pPr>
      <w:r>
        <w:rPr>
          <w:rFonts w:cs="Arial"/>
        </w:rPr>
        <w:t>ii.</w:t>
      </w:r>
      <w:r>
        <w:rPr>
          <w:rFonts w:cs="Arial"/>
        </w:rPr>
        <w:tab/>
      </w:r>
      <w:proofErr w:type="gramStart"/>
      <w:r w:rsidR="006120FE" w:rsidRPr="006120FE">
        <w:rPr>
          <w:rFonts w:cs="Arial"/>
        </w:rPr>
        <w:t>from</w:t>
      </w:r>
      <w:proofErr w:type="gramEnd"/>
      <w:r w:rsidR="006120FE" w:rsidRPr="006120FE">
        <w:rPr>
          <w:rFonts w:cs="Arial"/>
        </w:rPr>
        <w:t xml:space="preserve"> "General Open Space" to "High Density Residential 1"</w:t>
      </w:r>
      <w:r w:rsidR="00D802CC">
        <w:rPr>
          <w:rFonts w:cs="Arial"/>
        </w:rPr>
        <w:t xml:space="preserve"> and</w:t>
      </w:r>
    </w:p>
    <w:p w:rsidR="00D802CC" w:rsidRDefault="006120FE" w:rsidP="005F30F9">
      <w:pPr>
        <w:pStyle w:val="DecisionBody"/>
        <w:numPr>
          <w:ilvl w:val="0"/>
          <w:numId w:val="22"/>
        </w:numPr>
        <w:spacing w:beforeLines="150" w:before="360" w:afterLines="150" w:after="360" w:line="360" w:lineRule="auto"/>
        <w:rPr>
          <w:rFonts w:cs="Arial"/>
        </w:rPr>
      </w:pPr>
      <w:r w:rsidRPr="006120FE">
        <w:rPr>
          <w:rFonts w:cs="Arial"/>
        </w:rPr>
        <w:t>from "General Open Space" to "Natural Open Space" to provide for the conservation of a portion of the lands as a Linkage; and</w:t>
      </w:r>
    </w:p>
    <w:p w:rsidR="006120FE" w:rsidRPr="006120FE" w:rsidRDefault="005F30F9" w:rsidP="005F30F9">
      <w:pPr>
        <w:pStyle w:val="DecisionBody"/>
        <w:numPr>
          <w:ilvl w:val="0"/>
          <w:numId w:val="0"/>
        </w:numPr>
        <w:spacing w:beforeLines="150" w:before="360" w:afterLines="150" w:after="360" w:line="360" w:lineRule="auto"/>
        <w:ind w:left="2149" w:hanging="720"/>
        <w:rPr>
          <w:rFonts w:cs="Arial"/>
        </w:rPr>
      </w:pPr>
      <w:r>
        <w:rPr>
          <w:rFonts w:cs="Arial"/>
        </w:rPr>
        <w:t>ix.</w:t>
      </w:r>
      <w:r>
        <w:rPr>
          <w:rFonts w:cs="Arial"/>
        </w:rPr>
        <w:tab/>
      </w:r>
      <w:proofErr w:type="gramStart"/>
      <w:r w:rsidR="006120FE" w:rsidRPr="006120FE">
        <w:rPr>
          <w:rFonts w:cs="Arial"/>
        </w:rPr>
        <w:t>the</w:t>
      </w:r>
      <w:proofErr w:type="gramEnd"/>
      <w:r w:rsidR="006120FE" w:rsidRPr="006120FE">
        <w:rPr>
          <w:rFonts w:cs="Arial"/>
        </w:rPr>
        <w:t xml:space="preserve"> proposed OPA </w:t>
      </w:r>
      <w:r w:rsidR="00D802CC">
        <w:rPr>
          <w:rFonts w:cs="Arial"/>
        </w:rPr>
        <w:t>wa</w:t>
      </w:r>
      <w:r w:rsidR="006120FE" w:rsidRPr="006120FE">
        <w:rPr>
          <w:rFonts w:cs="Arial"/>
        </w:rPr>
        <w:t xml:space="preserve">s also required to establish </w:t>
      </w:r>
      <w:r w:rsidR="00D802CC">
        <w:rPr>
          <w:rFonts w:cs="Arial"/>
        </w:rPr>
        <w:t xml:space="preserve">a </w:t>
      </w:r>
      <w:r w:rsidR="006120FE" w:rsidRPr="006120FE">
        <w:rPr>
          <w:rFonts w:cs="Arial"/>
        </w:rPr>
        <w:t xml:space="preserve">Site Specific Policy Area in order to permit the density for a multiple dwelling to be in excess of 200 units per </w:t>
      </w:r>
      <w:r w:rsidR="00D802CC">
        <w:rPr>
          <w:rFonts w:cs="Arial"/>
        </w:rPr>
        <w:t>hectare</w:t>
      </w:r>
      <w:r w:rsidR="006120FE" w:rsidRPr="006120FE">
        <w:rPr>
          <w:rFonts w:cs="Arial"/>
        </w:rPr>
        <w:t xml:space="preserve"> and to permit a max</w:t>
      </w:r>
      <w:r w:rsidR="00D802CC">
        <w:rPr>
          <w:rFonts w:cs="Arial"/>
        </w:rPr>
        <w:t>imum</w:t>
      </w:r>
      <w:r w:rsidR="006120FE" w:rsidRPr="006120FE">
        <w:rPr>
          <w:rFonts w:cs="Arial"/>
        </w:rPr>
        <w:t xml:space="preserve"> of 219 units.</w:t>
      </w:r>
    </w:p>
    <w:p w:rsidR="006120FE" w:rsidRPr="006120FE" w:rsidRDefault="00D802CC" w:rsidP="0054190D">
      <w:pPr>
        <w:pStyle w:val="DecisionBody"/>
        <w:numPr>
          <w:ilvl w:val="1"/>
          <w:numId w:val="11"/>
        </w:numPr>
        <w:spacing w:beforeLines="150" w:before="360" w:afterLines="150" w:after="360" w:line="360" w:lineRule="auto"/>
        <w:ind w:hanging="731"/>
        <w:rPr>
          <w:rFonts w:cs="Arial"/>
        </w:rPr>
      </w:pPr>
      <w:r>
        <w:rPr>
          <w:rFonts w:cs="Arial"/>
        </w:rPr>
        <w:t>Further there was an a</w:t>
      </w:r>
      <w:r w:rsidR="006120FE" w:rsidRPr="006120FE">
        <w:rPr>
          <w:rFonts w:cs="Arial"/>
        </w:rPr>
        <w:t xml:space="preserve">pplication </w:t>
      </w:r>
      <w:r>
        <w:rPr>
          <w:rFonts w:cs="Arial"/>
        </w:rPr>
        <w:t xml:space="preserve">for a </w:t>
      </w:r>
      <w:r w:rsidR="00D6740B">
        <w:rPr>
          <w:rFonts w:cs="Arial"/>
        </w:rPr>
        <w:t>Z</w:t>
      </w:r>
      <w:r w:rsidR="006120FE" w:rsidRPr="006120FE">
        <w:rPr>
          <w:rFonts w:cs="Arial"/>
        </w:rPr>
        <w:t>oning</w:t>
      </w:r>
      <w:r>
        <w:rPr>
          <w:rFonts w:cs="Arial"/>
        </w:rPr>
        <w:t xml:space="preserve"> </w:t>
      </w:r>
      <w:r w:rsidR="00D6740B">
        <w:rPr>
          <w:rFonts w:cs="Arial"/>
        </w:rPr>
        <w:t>B</w:t>
      </w:r>
      <w:r>
        <w:rPr>
          <w:rFonts w:cs="Arial"/>
        </w:rPr>
        <w:t>y-</w:t>
      </w:r>
      <w:r w:rsidR="00D6740B">
        <w:rPr>
          <w:rFonts w:cs="Arial"/>
        </w:rPr>
        <w:t>L</w:t>
      </w:r>
      <w:r>
        <w:rPr>
          <w:rFonts w:cs="Arial"/>
        </w:rPr>
        <w:t xml:space="preserve">aw </w:t>
      </w:r>
      <w:r w:rsidR="00D6740B">
        <w:rPr>
          <w:rFonts w:cs="Arial"/>
        </w:rPr>
        <w:t>A</w:t>
      </w:r>
      <w:r>
        <w:rPr>
          <w:rFonts w:cs="Arial"/>
        </w:rPr>
        <w:t>mendment (“ZBA”)</w:t>
      </w:r>
      <w:r w:rsidR="006120FE" w:rsidRPr="006120FE">
        <w:rPr>
          <w:rFonts w:cs="Arial"/>
        </w:rPr>
        <w:t>:</w:t>
      </w:r>
    </w:p>
    <w:p w:rsidR="006120FE" w:rsidRPr="006120FE" w:rsidRDefault="005F30F9" w:rsidP="005F30F9">
      <w:pPr>
        <w:pStyle w:val="DecisionBody"/>
        <w:numPr>
          <w:ilvl w:val="0"/>
          <w:numId w:val="0"/>
        </w:numPr>
        <w:spacing w:beforeLines="150" w:before="360" w:afterLines="150" w:after="360" w:line="360" w:lineRule="auto"/>
        <w:ind w:left="2160" w:hanging="731"/>
        <w:rPr>
          <w:rFonts w:cs="Arial"/>
        </w:rPr>
      </w:pPr>
      <w:proofErr w:type="gramStart"/>
      <w:r>
        <w:rPr>
          <w:rFonts w:cs="Arial"/>
        </w:rPr>
        <w:t>i</w:t>
      </w:r>
      <w:proofErr w:type="gramEnd"/>
      <w:r>
        <w:rPr>
          <w:rFonts w:cs="Arial"/>
        </w:rPr>
        <w:t>.</w:t>
      </w:r>
      <w:r>
        <w:rPr>
          <w:rFonts w:cs="Arial"/>
        </w:rPr>
        <w:tab/>
      </w:r>
      <w:r w:rsidR="006120FE" w:rsidRPr="006120FE">
        <w:rPr>
          <w:rFonts w:cs="Arial"/>
        </w:rPr>
        <w:t>from General Commercial "GC" Zone and Open Space "OS" Zone to a Site-Specific General Commercial "GC" Zone;</w:t>
      </w:r>
      <w:r w:rsidR="00D802CC">
        <w:rPr>
          <w:rFonts w:cs="Arial"/>
        </w:rPr>
        <w:t xml:space="preserve"> and</w:t>
      </w:r>
    </w:p>
    <w:p w:rsidR="006120FE" w:rsidRPr="006120FE" w:rsidRDefault="005F30F9" w:rsidP="005F30F9">
      <w:pPr>
        <w:pStyle w:val="DecisionBody"/>
        <w:numPr>
          <w:ilvl w:val="0"/>
          <w:numId w:val="0"/>
        </w:numPr>
        <w:spacing w:beforeLines="150" w:before="360" w:afterLines="150" w:after="360" w:line="360" w:lineRule="auto"/>
        <w:ind w:left="2160" w:hanging="720"/>
        <w:rPr>
          <w:rFonts w:cs="Arial"/>
        </w:rPr>
      </w:pPr>
      <w:r>
        <w:rPr>
          <w:rFonts w:cs="Arial"/>
        </w:rPr>
        <w:lastRenderedPageBreak/>
        <w:t>ii.</w:t>
      </w:r>
      <w:r>
        <w:rPr>
          <w:rFonts w:cs="Arial"/>
        </w:rPr>
        <w:tab/>
      </w:r>
      <w:r w:rsidR="006120FE" w:rsidRPr="006120FE">
        <w:rPr>
          <w:rFonts w:cs="Arial"/>
        </w:rPr>
        <w:t>and from Open Space "OS" Zone and General Commercial "GC" Zone to a Site-Specific Multiple Residential "RM5" Zone, Modified;</w:t>
      </w:r>
      <w:r w:rsidR="00D802CC">
        <w:rPr>
          <w:rFonts w:cs="Arial"/>
        </w:rPr>
        <w:t xml:space="preserve"> and</w:t>
      </w:r>
    </w:p>
    <w:p w:rsidR="006120FE" w:rsidRDefault="006120FE" w:rsidP="005F30F9">
      <w:pPr>
        <w:pStyle w:val="DecisionBody"/>
        <w:numPr>
          <w:ilvl w:val="0"/>
          <w:numId w:val="23"/>
        </w:numPr>
        <w:spacing w:beforeLines="150" w:before="360" w:afterLines="150" w:after="360" w:line="360" w:lineRule="auto"/>
        <w:rPr>
          <w:rFonts w:cs="Arial"/>
        </w:rPr>
      </w:pPr>
      <w:r w:rsidRPr="006120FE">
        <w:rPr>
          <w:rFonts w:cs="Arial"/>
        </w:rPr>
        <w:t>and from Open Space (OS) Zone to the Conservation/Hazard (P5) Zone</w:t>
      </w:r>
    </w:p>
    <w:p w:rsidR="00D802CC" w:rsidRDefault="00D802CC" w:rsidP="008F2B6A">
      <w:pPr>
        <w:pStyle w:val="DecisionBody"/>
        <w:spacing w:before="0" w:after="0" w:line="360" w:lineRule="auto"/>
        <w:rPr>
          <w:rFonts w:cs="Arial"/>
        </w:rPr>
      </w:pPr>
      <w:r>
        <w:rPr>
          <w:rFonts w:cs="Arial"/>
        </w:rPr>
        <w:t>The applications for the OPA and ZBA’s were refused by the City which prompted the appeal to this Board.  Therefore the Board has three files associated with these matters as follows:</w:t>
      </w:r>
    </w:p>
    <w:p w:rsidR="006120FE" w:rsidRPr="006120FE" w:rsidRDefault="006120FE" w:rsidP="005F30F9">
      <w:pPr>
        <w:pStyle w:val="DecisionBody"/>
        <w:numPr>
          <w:ilvl w:val="1"/>
          <w:numId w:val="11"/>
        </w:numPr>
        <w:spacing w:beforeLines="150" w:before="360" w:afterLines="150" w:after="360" w:line="360" w:lineRule="auto"/>
        <w:ind w:hanging="731"/>
        <w:rPr>
          <w:rFonts w:cs="Arial"/>
        </w:rPr>
      </w:pPr>
      <w:r w:rsidRPr="006120FE">
        <w:rPr>
          <w:rFonts w:cs="Arial"/>
        </w:rPr>
        <w:t xml:space="preserve">OMB File No. PL170282 </w:t>
      </w:r>
      <w:r w:rsidR="00D802CC">
        <w:rPr>
          <w:rFonts w:cs="Arial"/>
        </w:rPr>
        <w:t>–</w:t>
      </w:r>
      <w:r w:rsidRPr="006120FE">
        <w:rPr>
          <w:rFonts w:cs="Arial"/>
        </w:rPr>
        <w:t xml:space="preserve"> </w:t>
      </w:r>
      <w:r w:rsidR="00D802CC">
        <w:rPr>
          <w:rFonts w:cs="Arial"/>
        </w:rPr>
        <w:t xml:space="preserve">an appeal launched under subsection </w:t>
      </w:r>
      <w:r w:rsidRPr="006120FE">
        <w:rPr>
          <w:rFonts w:cs="Arial"/>
        </w:rPr>
        <w:t>22(7)</w:t>
      </w:r>
      <w:r w:rsidR="00D802CC">
        <w:rPr>
          <w:rFonts w:cs="Arial"/>
        </w:rPr>
        <w:t xml:space="preserve"> of the </w:t>
      </w:r>
      <w:r w:rsidR="00D802CC">
        <w:rPr>
          <w:rFonts w:cs="Arial"/>
          <w:i/>
        </w:rPr>
        <w:t>Planning Act</w:t>
      </w:r>
      <w:r w:rsidR="00D802CC">
        <w:rPr>
          <w:rFonts w:cs="Arial"/>
        </w:rPr>
        <w:t xml:space="preserve"> (“Act”) for the</w:t>
      </w:r>
      <w:r w:rsidRPr="006120FE">
        <w:rPr>
          <w:rFonts w:cs="Arial"/>
        </w:rPr>
        <w:t xml:space="preserve"> OPA </w:t>
      </w:r>
      <w:r w:rsidR="00D802CC">
        <w:rPr>
          <w:rFonts w:cs="Arial"/>
        </w:rPr>
        <w:t xml:space="preserve">which was </w:t>
      </w:r>
      <w:r w:rsidRPr="006120FE">
        <w:rPr>
          <w:rFonts w:cs="Arial"/>
        </w:rPr>
        <w:t xml:space="preserve">refused by the </w:t>
      </w:r>
      <w:r w:rsidR="00D802CC">
        <w:rPr>
          <w:rFonts w:cs="Arial"/>
        </w:rPr>
        <w:t>Ci</w:t>
      </w:r>
      <w:r w:rsidRPr="006120FE">
        <w:rPr>
          <w:rFonts w:cs="Arial"/>
        </w:rPr>
        <w:t>ty</w:t>
      </w:r>
      <w:r w:rsidR="00D802CC">
        <w:rPr>
          <w:rFonts w:cs="Arial"/>
        </w:rPr>
        <w:t>; and</w:t>
      </w:r>
    </w:p>
    <w:p w:rsidR="006120FE" w:rsidRPr="006120FE" w:rsidRDefault="006120FE" w:rsidP="005F30F9">
      <w:pPr>
        <w:pStyle w:val="DecisionBody"/>
        <w:numPr>
          <w:ilvl w:val="1"/>
          <w:numId w:val="11"/>
        </w:numPr>
        <w:spacing w:beforeLines="150" w:before="360" w:afterLines="150" w:after="360" w:line="360" w:lineRule="auto"/>
        <w:ind w:hanging="731"/>
        <w:rPr>
          <w:rFonts w:cs="Arial"/>
        </w:rPr>
      </w:pPr>
      <w:r w:rsidRPr="006120FE">
        <w:rPr>
          <w:rFonts w:cs="Arial"/>
        </w:rPr>
        <w:t xml:space="preserve">OMB File No. PL170283 </w:t>
      </w:r>
      <w:r w:rsidR="00D802CC">
        <w:rPr>
          <w:rFonts w:cs="Arial"/>
        </w:rPr>
        <w:t>–</w:t>
      </w:r>
      <w:r w:rsidRPr="006120FE">
        <w:rPr>
          <w:rFonts w:cs="Arial"/>
        </w:rPr>
        <w:t xml:space="preserve"> </w:t>
      </w:r>
      <w:r w:rsidR="00D802CC">
        <w:rPr>
          <w:rFonts w:cs="Arial"/>
        </w:rPr>
        <w:t>an appeal launc</w:t>
      </w:r>
      <w:r w:rsidR="00D6740B">
        <w:rPr>
          <w:rFonts w:cs="Arial"/>
        </w:rPr>
        <w:t>h</w:t>
      </w:r>
      <w:r w:rsidR="00D802CC">
        <w:rPr>
          <w:rFonts w:cs="Arial"/>
        </w:rPr>
        <w:t xml:space="preserve">ed under subsection </w:t>
      </w:r>
      <w:r w:rsidRPr="006120FE">
        <w:rPr>
          <w:rFonts w:cs="Arial"/>
        </w:rPr>
        <w:t>34(11)</w:t>
      </w:r>
      <w:r w:rsidR="00D802CC">
        <w:rPr>
          <w:rFonts w:cs="Arial"/>
        </w:rPr>
        <w:t xml:space="preserve"> of the Act for the</w:t>
      </w:r>
      <w:r w:rsidRPr="006120FE">
        <w:rPr>
          <w:rFonts w:cs="Arial"/>
        </w:rPr>
        <w:t xml:space="preserve"> ZBA </w:t>
      </w:r>
      <w:r w:rsidR="00D6740B">
        <w:rPr>
          <w:rFonts w:cs="Arial"/>
        </w:rPr>
        <w:t xml:space="preserve">against Zoning By-Law (“ZBL”) No. 05-200 which was </w:t>
      </w:r>
      <w:r w:rsidRPr="006120FE">
        <w:rPr>
          <w:rFonts w:cs="Arial"/>
        </w:rPr>
        <w:t xml:space="preserve">refused by the </w:t>
      </w:r>
      <w:r w:rsidR="00D6740B">
        <w:rPr>
          <w:rFonts w:cs="Arial"/>
        </w:rPr>
        <w:t>City; and</w:t>
      </w:r>
    </w:p>
    <w:p w:rsidR="006120FE" w:rsidRPr="006120FE" w:rsidRDefault="006120FE" w:rsidP="005F30F9">
      <w:pPr>
        <w:pStyle w:val="DecisionBody"/>
        <w:numPr>
          <w:ilvl w:val="1"/>
          <w:numId w:val="11"/>
        </w:numPr>
        <w:spacing w:beforeLines="150" w:before="360" w:afterLines="150" w:after="360" w:line="360" w:lineRule="auto"/>
        <w:ind w:hanging="731"/>
        <w:rPr>
          <w:rFonts w:cs="Arial"/>
        </w:rPr>
      </w:pPr>
      <w:r w:rsidRPr="006120FE">
        <w:rPr>
          <w:rFonts w:cs="Arial"/>
        </w:rPr>
        <w:t xml:space="preserve">OMB File No. PL170284 </w:t>
      </w:r>
      <w:r w:rsidR="00D6740B">
        <w:rPr>
          <w:rFonts w:cs="Arial"/>
        </w:rPr>
        <w:t>–</w:t>
      </w:r>
      <w:r w:rsidRPr="006120FE">
        <w:rPr>
          <w:rFonts w:cs="Arial"/>
        </w:rPr>
        <w:t xml:space="preserve"> </w:t>
      </w:r>
      <w:r w:rsidR="00D6740B">
        <w:rPr>
          <w:rFonts w:cs="Arial"/>
        </w:rPr>
        <w:t xml:space="preserve">an appeal launched under subsection </w:t>
      </w:r>
      <w:r w:rsidRPr="006120FE">
        <w:rPr>
          <w:rFonts w:cs="Arial"/>
        </w:rPr>
        <w:t xml:space="preserve">34(11) </w:t>
      </w:r>
      <w:r w:rsidR="00D6740B">
        <w:rPr>
          <w:rFonts w:cs="Arial"/>
        </w:rPr>
        <w:t>of the Act for the</w:t>
      </w:r>
      <w:r w:rsidRPr="006120FE">
        <w:rPr>
          <w:rFonts w:cs="Arial"/>
        </w:rPr>
        <w:t xml:space="preserve"> ZBA</w:t>
      </w:r>
      <w:r w:rsidR="00D6740B">
        <w:rPr>
          <w:rFonts w:cs="Arial"/>
        </w:rPr>
        <w:t xml:space="preserve"> against ZBL No. 3692-92 which was</w:t>
      </w:r>
      <w:r w:rsidRPr="006120FE">
        <w:rPr>
          <w:rFonts w:cs="Arial"/>
        </w:rPr>
        <w:t xml:space="preserve"> refused by the</w:t>
      </w:r>
      <w:r w:rsidR="00D6740B">
        <w:rPr>
          <w:rFonts w:cs="Arial"/>
        </w:rPr>
        <w:t xml:space="preserve"> City.</w:t>
      </w:r>
    </w:p>
    <w:p w:rsidR="006120FE" w:rsidRPr="006120FE" w:rsidRDefault="00D6740B" w:rsidP="008F2B6A">
      <w:pPr>
        <w:pStyle w:val="DecisionBody"/>
        <w:spacing w:before="0" w:after="0" w:line="360" w:lineRule="auto"/>
        <w:rPr>
          <w:rFonts w:cs="Arial"/>
        </w:rPr>
      </w:pPr>
      <w:r>
        <w:rPr>
          <w:rFonts w:cs="Arial"/>
        </w:rPr>
        <w:t>The Notice of Appeal set out the following reasons:</w:t>
      </w:r>
    </w:p>
    <w:p w:rsidR="006120FE" w:rsidRPr="006120FE" w:rsidRDefault="006120FE" w:rsidP="005F30F9">
      <w:pPr>
        <w:pStyle w:val="DecisionBody"/>
        <w:numPr>
          <w:ilvl w:val="1"/>
          <w:numId w:val="11"/>
        </w:numPr>
        <w:spacing w:beforeLines="150" w:before="360" w:afterLines="150" w:after="360" w:line="360" w:lineRule="auto"/>
        <w:ind w:hanging="731"/>
        <w:rPr>
          <w:rFonts w:cs="Arial"/>
        </w:rPr>
      </w:pPr>
      <w:r w:rsidRPr="006120FE">
        <w:rPr>
          <w:rFonts w:cs="Arial"/>
        </w:rPr>
        <w:t xml:space="preserve">The Decision </w:t>
      </w:r>
      <w:r w:rsidR="00D6740B">
        <w:rPr>
          <w:rFonts w:cs="Arial"/>
        </w:rPr>
        <w:t xml:space="preserve">[of the City] </w:t>
      </w:r>
      <w:r w:rsidRPr="006120FE">
        <w:rPr>
          <w:rFonts w:cs="Arial"/>
        </w:rPr>
        <w:t>is not consistent with the Provincial Policy Statement, 2014 ("PPS"), including, without limitation, the following policies: 1.1.1 (a, b, e, h), 1.1.3.2, 1.1.3.3, 1.1.3.6, 1.4.1 a), 1.7.1 (b, c, d), 2.1.1, 2.1.2, 2.6.1, 2.6.2, and 3.1.1 b);</w:t>
      </w:r>
    </w:p>
    <w:p w:rsidR="006120FE" w:rsidRPr="006120FE" w:rsidRDefault="006120FE" w:rsidP="005F30F9">
      <w:pPr>
        <w:pStyle w:val="DecisionBody"/>
        <w:numPr>
          <w:ilvl w:val="1"/>
          <w:numId w:val="11"/>
        </w:numPr>
        <w:spacing w:beforeLines="150" w:before="360" w:afterLines="150" w:after="360" w:line="360" w:lineRule="auto"/>
        <w:ind w:hanging="731"/>
        <w:rPr>
          <w:rFonts w:cs="Arial"/>
        </w:rPr>
      </w:pPr>
      <w:r w:rsidRPr="006120FE">
        <w:rPr>
          <w:rFonts w:cs="Arial"/>
        </w:rPr>
        <w:t>The Decision does not conform with the Growth Plan for the Greater Golden Horseshoe, 2006 ('Growth Plan"), including, without limitation, with respect to the following policies: 2.2.2.1 (a, b, d, e, h) and 2.2.3.7;</w:t>
      </w:r>
    </w:p>
    <w:p w:rsidR="006120FE" w:rsidRPr="006120FE" w:rsidRDefault="006120FE" w:rsidP="005F30F9">
      <w:pPr>
        <w:pStyle w:val="DecisionBody"/>
        <w:numPr>
          <w:ilvl w:val="1"/>
          <w:numId w:val="11"/>
        </w:numPr>
        <w:spacing w:beforeLines="150" w:before="360" w:afterLines="150" w:after="360" w:line="360" w:lineRule="auto"/>
        <w:ind w:hanging="731"/>
        <w:rPr>
          <w:rFonts w:cs="Arial"/>
        </w:rPr>
      </w:pPr>
      <w:r w:rsidRPr="006120FE">
        <w:rPr>
          <w:rFonts w:cs="Arial"/>
        </w:rPr>
        <w:lastRenderedPageBreak/>
        <w:t>The Decision does not conform to the general intent of the Official Plan, including, but not limited to policies related to the Urban Corridors, Sub-Regional Service Node, Neighbourhoods Designation, Residential Intensification, Housing, Open Space, Natural Heritage System, Linkages and policies under the Old Town Secondary Plan;</w:t>
      </w:r>
    </w:p>
    <w:p w:rsidR="006120FE" w:rsidRPr="006120FE" w:rsidRDefault="006120FE" w:rsidP="005F30F9">
      <w:pPr>
        <w:pStyle w:val="DecisionBody"/>
        <w:numPr>
          <w:ilvl w:val="1"/>
          <w:numId w:val="11"/>
        </w:numPr>
        <w:spacing w:beforeLines="150" w:before="360" w:afterLines="150" w:after="360" w:line="360" w:lineRule="auto"/>
        <w:ind w:hanging="731"/>
        <w:rPr>
          <w:rFonts w:cs="Arial"/>
        </w:rPr>
      </w:pPr>
      <w:r w:rsidRPr="006120FE">
        <w:rPr>
          <w:rFonts w:cs="Arial"/>
        </w:rPr>
        <w:t>The Decision fails to recognize that the proposed development is compatible with adjacent uses and the character of the neighbourhood and provides for adequate transition to adjacent properties. The proposal represents an efficient development on an underutilized parcel of land, in an area well served by community facilities. The Decision to refuse the applications does not support existing and future planned higher order transit initiatives in the City;</w:t>
      </w:r>
    </w:p>
    <w:p w:rsidR="006120FE" w:rsidRDefault="006120FE" w:rsidP="005F30F9">
      <w:pPr>
        <w:pStyle w:val="DecisionBody"/>
        <w:numPr>
          <w:ilvl w:val="1"/>
          <w:numId w:val="11"/>
        </w:numPr>
        <w:spacing w:beforeLines="150" w:before="360" w:afterLines="150" w:after="360" w:line="360" w:lineRule="auto"/>
        <w:ind w:hanging="731"/>
        <w:rPr>
          <w:rFonts w:cs="Arial"/>
        </w:rPr>
      </w:pPr>
      <w:r w:rsidRPr="006120FE">
        <w:rPr>
          <w:rFonts w:cs="Arial"/>
        </w:rPr>
        <w:t>The Decision fails to address or acknowledge the detailed reasons and analysis provided by City Planning staff who recommended approval of the proposed development for reasons outlined in their Staff Report PED17008 presented to the Planning Committee and Council.</w:t>
      </w:r>
    </w:p>
    <w:p w:rsidR="009908CA" w:rsidRDefault="00D6740B" w:rsidP="008F2B6A">
      <w:pPr>
        <w:pStyle w:val="DecisionBody"/>
        <w:spacing w:before="0" w:after="0" w:line="360" w:lineRule="auto"/>
        <w:rPr>
          <w:rFonts w:cs="Arial"/>
        </w:rPr>
      </w:pPr>
      <w:r>
        <w:rPr>
          <w:rFonts w:cs="Arial"/>
        </w:rPr>
        <w:t xml:space="preserve">The City’s in-house Planning Department had supported the applications and recommended approval to City Council as set out in their </w:t>
      </w:r>
      <w:r w:rsidR="006120FE" w:rsidRPr="006120FE">
        <w:rPr>
          <w:rFonts w:cs="Arial"/>
        </w:rPr>
        <w:t>Planning Staff Report</w:t>
      </w:r>
      <w:r>
        <w:rPr>
          <w:rFonts w:cs="Arial"/>
        </w:rPr>
        <w:t xml:space="preserve"> </w:t>
      </w:r>
      <w:proofErr w:type="gramStart"/>
      <w:r>
        <w:rPr>
          <w:rFonts w:cs="Arial"/>
        </w:rPr>
        <w:t xml:space="preserve">dated </w:t>
      </w:r>
      <w:r w:rsidR="006120FE" w:rsidRPr="006120FE">
        <w:rPr>
          <w:rFonts w:cs="Arial"/>
        </w:rPr>
        <w:t xml:space="preserve"> January</w:t>
      </w:r>
      <w:proofErr w:type="gramEnd"/>
      <w:r w:rsidR="006120FE" w:rsidRPr="006120FE">
        <w:rPr>
          <w:rFonts w:cs="Arial"/>
        </w:rPr>
        <w:t xml:space="preserve"> 31, 2017.</w:t>
      </w:r>
      <w:r w:rsidR="008F2B6A">
        <w:rPr>
          <w:rFonts w:cs="Arial"/>
        </w:rPr>
        <w:br/>
      </w:r>
    </w:p>
    <w:p w:rsidR="006120FE" w:rsidRPr="009908CA" w:rsidRDefault="00667403" w:rsidP="008F2B6A">
      <w:pPr>
        <w:pStyle w:val="DecisionBody"/>
        <w:spacing w:before="0" w:after="0" w:line="360" w:lineRule="auto"/>
        <w:rPr>
          <w:rFonts w:cs="Arial"/>
        </w:rPr>
      </w:pPr>
      <w:r w:rsidRPr="009908CA">
        <w:rPr>
          <w:rFonts w:cs="Arial"/>
        </w:rPr>
        <w:t>The parties were working on preparing a Procedural Order and while a draft was provided to the Board, a further refined version has since been submitted and is attached to this decision.  This Procedural Order governs the hearing and sets out the obligations of both parties and participants</w:t>
      </w:r>
      <w:r w:rsidR="009908CA" w:rsidRPr="009908CA">
        <w:rPr>
          <w:rFonts w:cs="Arial"/>
        </w:rPr>
        <w:t>, appended to this decision as Attachment 1.</w:t>
      </w:r>
      <w:r w:rsidRPr="009908CA">
        <w:rPr>
          <w:rFonts w:cs="Arial"/>
        </w:rPr>
        <w:t xml:space="preserve"> </w:t>
      </w:r>
      <w:r w:rsidR="001F227D">
        <w:rPr>
          <w:rFonts w:cs="Arial"/>
        </w:rPr>
        <w:t>Although the Procedural Order does not identify the Participants in the Order of Evidence, they will be heard at a time convenient to the Member presiding and with regard to the schedules of the Participants.</w:t>
      </w:r>
      <w:r w:rsidR="008F2B6A">
        <w:rPr>
          <w:rFonts w:cs="Arial"/>
        </w:rPr>
        <w:br/>
      </w:r>
    </w:p>
    <w:p w:rsidR="006120FE" w:rsidRPr="00834E4A" w:rsidRDefault="00667403" w:rsidP="008F2B6A">
      <w:pPr>
        <w:pStyle w:val="DecisionBody"/>
        <w:spacing w:before="0" w:after="0" w:line="360" w:lineRule="auto"/>
        <w:rPr>
          <w:rFonts w:cs="Arial"/>
        </w:rPr>
      </w:pPr>
      <w:r w:rsidRPr="00834E4A">
        <w:rPr>
          <w:rFonts w:cs="Arial"/>
        </w:rPr>
        <w:lastRenderedPageBreak/>
        <w:t xml:space="preserve">The Board scheduled a follow-up PHC to be conducted via Telephone Conference Call (“TCC”).  The TCC will be held on </w:t>
      </w:r>
      <w:r w:rsidR="00577948" w:rsidRPr="00514292">
        <w:rPr>
          <w:rFonts w:cs="Arial"/>
          <w:b/>
        </w:rPr>
        <w:t>Friday</w:t>
      </w:r>
      <w:r w:rsidR="00834E4A" w:rsidRPr="00514292">
        <w:rPr>
          <w:rFonts w:cs="Arial"/>
          <w:b/>
        </w:rPr>
        <w:t>,</w:t>
      </w:r>
      <w:r w:rsidR="00577948" w:rsidRPr="00514292">
        <w:rPr>
          <w:rFonts w:cs="Arial"/>
          <w:b/>
        </w:rPr>
        <w:t xml:space="preserve"> October 13, 2017 at 9 a</w:t>
      </w:r>
      <w:r w:rsidR="00834E4A" w:rsidRPr="00514292">
        <w:rPr>
          <w:rFonts w:cs="Arial"/>
          <w:b/>
        </w:rPr>
        <w:t>.</w:t>
      </w:r>
      <w:r w:rsidR="00577948" w:rsidRPr="00514292">
        <w:rPr>
          <w:rFonts w:cs="Arial"/>
          <w:b/>
        </w:rPr>
        <w:t>m</w:t>
      </w:r>
      <w:r w:rsidR="00834E4A" w:rsidRPr="00514292">
        <w:rPr>
          <w:rFonts w:cs="Arial"/>
          <w:b/>
        </w:rPr>
        <w:t>.</w:t>
      </w:r>
      <w:r w:rsidR="00577948" w:rsidRPr="00514292">
        <w:rPr>
          <w:rFonts w:cs="Arial"/>
          <w:b/>
        </w:rPr>
        <w:t xml:space="preserve"> with call-in numbers 416-212-8012 or toll-free 1-866-633-0848 </w:t>
      </w:r>
      <w:r w:rsidR="00834E4A" w:rsidRPr="00514292">
        <w:rPr>
          <w:rFonts w:cs="Arial"/>
          <w:b/>
        </w:rPr>
        <w:t>and when prompted enter</w:t>
      </w:r>
      <w:r w:rsidR="00577948" w:rsidRPr="00514292">
        <w:rPr>
          <w:rFonts w:cs="Arial"/>
          <w:b/>
        </w:rPr>
        <w:t xml:space="preserve"> code 1006967#.</w:t>
      </w:r>
      <w:r w:rsidR="00577948" w:rsidRPr="00834E4A">
        <w:rPr>
          <w:rFonts w:cs="Arial"/>
        </w:rPr>
        <w:t xml:space="preserve">  This TCC is for parties only.  I will continue to case-manage this file.</w:t>
      </w:r>
      <w:r w:rsidR="008F2B6A">
        <w:rPr>
          <w:rFonts w:cs="Arial"/>
        </w:rPr>
        <w:br/>
      </w:r>
    </w:p>
    <w:p w:rsidR="00592220" w:rsidRDefault="00577948" w:rsidP="008F2B6A">
      <w:pPr>
        <w:pStyle w:val="DecisionBody"/>
        <w:spacing w:before="0" w:after="0" w:line="360" w:lineRule="auto"/>
        <w:rPr>
          <w:rFonts w:cs="Arial"/>
        </w:rPr>
      </w:pPr>
      <w:r>
        <w:rPr>
          <w:rFonts w:cs="Arial"/>
        </w:rPr>
        <w:t xml:space="preserve">The Board also scheduled hearing dates for 10 days commencing </w:t>
      </w:r>
      <w:r w:rsidRPr="00514292">
        <w:rPr>
          <w:rFonts w:cs="Arial"/>
          <w:b/>
        </w:rPr>
        <w:t>Monday March 12, 2018 at 10:30 a</w:t>
      </w:r>
      <w:r w:rsidR="00834E4A" w:rsidRPr="00514292">
        <w:rPr>
          <w:rFonts w:cs="Arial"/>
          <w:b/>
        </w:rPr>
        <w:t>.</w:t>
      </w:r>
      <w:r w:rsidRPr="00514292">
        <w:rPr>
          <w:rFonts w:cs="Arial"/>
          <w:b/>
        </w:rPr>
        <w:t>m</w:t>
      </w:r>
      <w:r w:rsidR="00834E4A" w:rsidRPr="00514292">
        <w:rPr>
          <w:rFonts w:cs="Arial"/>
          <w:b/>
        </w:rPr>
        <w:t>.</w:t>
      </w:r>
      <w:r w:rsidRPr="00514292">
        <w:rPr>
          <w:rFonts w:cs="Arial"/>
          <w:b/>
        </w:rPr>
        <w:t xml:space="preserve"> and ending Friday</w:t>
      </w:r>
      <w:r w:rsidR="00834E4A" w:rsidRPr="00514292">
        <w:rPr>
          <w:rFonts w:cs="Arial"/>
          <w:b/>
        </w:rPr>
        <w:t>,</w:t>
      </w:r>
      <w:r w:rsidRPr="00514292">
        <w:rPr>
          <w:rFonts w:cs="Arial"/>
          <w:b/>
        </w:rPr>
        <w:t xml:space="preserve"> March 23, 2018.</w:t>
      </w:r>
      <w:r>
        <w:rPr>
          <w:rFonts w:cs="Arial"/>
        </w:rPr>
        <w:t xml:space="preserve">  The venue will be</w:t>
      </w:r>
      <w:r w:rsidR="00834E4A">
        <w:rPr>
          <w:rFonts w:cs="Arial"/>
        </w:rPr>
        <w:t>:</w:t>
      </w:r>
      <w:r>
        <w:rPr>
          <w:rFonts w:cs="Arial"/>
        </w:rPr>
        <w:t xml:space="preserve"> </w:t>
      </w:r>
      <w:r w:rsidR="008F2B6A">
        <w:rPr>
          <w:rFonts w:cs="Arial"/>
        </w:rPr>
        <w:br/>
      </w:r>
    </w:p>
    <w:p w:rsidR="00592220" w:rsidRPr="00592220" w:rsidRDefault="00592220" w:rsidP="00592220">
      <w:pPr>
        <w:pStyle w:val="DecisionBody"/>
        <w:numPr>
          <w:ilvl w:val="0"/>
          <w:numId w:val="0"/>
        </w:numPr>
        <w:spacing w:before="0" w:after="0" w:line="240" w:lineRule="auto"/>
        <w:jc w:val="center"/>
        <w:rPr>
          <w:b/>
        </w:rPr>
      </w:pPr>
      <w:r w:rsidRPr="00592220">
        <w:rPr>
          <w:b/>
        </w:rPr>
        <w:t>Dundas Town Hall</w:t>
      </w:r>
    </w:p>
    <w:p w:rsidR="00592220" w:rsidRPr="00592220" w:rsidRDefault="00592220" w:rsidP="00592220">
      <w:pPr>
        <w:pStyle w:val="DecisionBody"/>
        <w:numPr>
          <w:ilvl w:val="0"/>
          <w:numId w:val="0"/>
        </w:numPr>
        <w:spacing w:before="0" w:after="0" w:line="240" w:lineRule="auto"/>
        <w:jc w:val="center"/>
        <w:rPr>
          <w:b/>
        </w:rPr>
      </w:pPr>
      <w:r w:rsidRPr="00592220">
        <w:rPr>
          <w:b/>
        </w:rPr>
        <w:t>OMB Hearing Room (2</w:t>
      </w:r>
      <w:r w:rsidRPr="00592220">
        <w:rPr>
          <w:b/>
          <w:vertAlign w:val="superscript"/>
        </w:rPr>
        <w:t>nd</w:t>
      </w:r>
      <w:r w:rsidRPr="00592220">
        <w:rPr>
          <w:b/>
        </w:rPr>
        <w:t xml:space="preserve"> Floor Auditorium)</w:t>
      </w:r>
    </w:p>
    <w:p w:rsidR="00592220" w:rsidRPr="00592220" w:rsidRDefault="00592220" w:rsidP="00592220">
      <w:pPr>
        <w:pStyle w:val="DecisionBody"/>
        <w:numPr>
          <w:ilvl w:val="0"/>
          <w:numId w:val="0"/>
        </w:numPr>
        <w:spacing w:before="0" w:after="0" w:line="240" w:lineRule="auto"/>
        <w:jc w:val="center"/>
        <w:rPr>
          <w:b/>
        </w:rPr>
      </w:pPr>
      <w:r w:rsidRPr="00592220">
        <w:rPr>
          <w:b/>
        </w:rPr>
        <w:t>60 Main Street</w:t>
      </w:r>
    </w:p>
    <w:p w:rsidR="00592220" w:rsidRPr="00592220" w:rsidRDefault="00592220" w:rsidP="00592220">
      <w:pPr>
        <w:pStyle w:val="DecisionBody"/>
        <w:numPr>
          <w:ilvl w:val="0"/>
          <w:numId w:val="0"/>
        </w:numPr>
        <w:spacing w:before="0" w:after="0" w:line="240" w:lineRule="auto"/>
        <w:jc w:val="center"/>
        <w:rPr>
          <w:b/>
        </w:rPr>
      </w:pPr>
      <w:r w:rsidRPr="00592220">
        <w:rPr>
          <w:b/>
        </w:rPr>
        <w:t>Dundas Ontario</w:t>
      </w:r>
      <w:r w:rsidR="008F2B6A">
        <w:rPr>
          <w:b/>
        </w:rPr>
        <w:br/>
      </w:r>
    </w:p>
    <w:p w:rsidR="00577948" w:rsidRPr="00592220" w:rsidRDefault="00577948" w:rsidP="008F2B6A">
      <w:pPr>
        <w:pStyle w:val="DecisionBody"/>
        <w:spacing w:before="0" w:after="0" w:line="360" w:lineRule="auto"/>
        <w:rPr>
          <w:rFonts w:cs="Arial"/>
        </w:rPr>
      </w:pPr>
      <w:r w:rsidRPr="00592220">
        <w:rPr>
          <w:rFonts w:cs="Arial"/>
        </w:rPr>
        <w:t>I am not seized of this hearing.</w:t>
      </w:r>
      <w:r w:rsidR="008F2B6A">
        <w:rPr>
          <w:rFonts w:cs="Arial"/>
        </w:rPr>
        <w:br/>
      </w:r>
    </w:p>
    <w:p w:rsidR="006120FE" w:rsidRDefault="00577948" w:rsidP="008F2B6A">
      <w:pPr>
        <w:pStyle w:val="DecisionBody"/>
        <w:spacing w:before="0" w:after="0" w:line="360" w:lineRule="auto"/>
        <w:rPr>
          <w:rFonts w:cs="Arial"/>
        </w:rPr>
      </w:pPr>
      <w:r>
        <w:rPr>
          <w:rFonts w:cs="Arial"/>
        </w:rPr>
        <w:t xml:space="preserve">If possible, the City indicated it would try to secure an alternate venue for one day during the hearing which would be closer to Stoney Creek where many of the participants reside.  Ms. </w:t>
      </w:r>
      <w:proofErr w:type="spellStart"/>
      <w:r>
        <w:rPr>
          <w:rFonts w:cs="Arial"/>
        </w:rPr>
        <w:t>Bruzzese</w:t>
      </w:r>
      <w:proofErr w:type="spellEnd"/>
      <w:r>
        <w:rPr>
          <w:rFonts w:cs="Arial"/>
        </w:rPr>
        <w:t xml:space="preserve"> had indicated that some of her neighbours who were elderly had some difficulty in navigating public transit to travel from Stoney Creek to Dundas.  The Board appreciates the City’s efforts to try to secure an alternate location to accommodate those individuals.</w:t>
      </w:r>
      <w:r w:rsidR="008F2B6A">
        <w:rPr>
          <w:rFonts w:cs="Arial"/>
        </w:rPr>
        <w:br/>
      </w:r>
    </w:p>
    <w:p w:rsidR="008F2680" w:rsidRPr="00592220" w:rsidRDefault="00577948" w:rsidP="008F2B6A">
      <w:pPr>
        <w:pStyle w:val="DecisionBody"/>
        <w:spacing w:before="0" w:after="0" w:line="360" w:lineRule="auto"/>
        <w:rPr>
          <w:rFonts w:cs="Arial"/>
        </w:rPr>
      </w:pPr>
      <w:r w:rsidRPr="00592220">
        <w:rPr>
          <w:rFonts w:cs="Arial"/>
        </w:rPr>
        <w:t>The specifics of the alternate venue and date should be communicated to the Board’s Case Co-Ordinator, Ms. Leesa Kwong so that the participants are informed in advance.</w:t>
      </w:r>
    </w:p>
    <w:p w:rsidR="003620BF" w:rsidRPr="008320EC" w:rsidRDefault="00CC5C59" w:rsidP="00375F31">
      <w:pPr>
        <w:pStyle w:val="Member"/>
        <w:jc w:val="right"/>
        <w:rPr>
          <w:lang w:val="fr-CA"/>
        </w:rPr>
      </w:pPr>
      <w:r w:rsidRPr="008320EC">
        <w:rPr>
          <w:lang w:val="fr-CA"/>
        </w:rPr>
        <w:t>“</w:t>
      </w:r>
      <w:r w:rsidR="005F30F9" w:rsidRPr="008320EC">
        <w:rPr>
          <w:lang w:val="fr-CA"/>
        </w:rPr>
        <w:t>J. V. Zuidema</w:t>
      </w:r>
      <w:r w:rsidR="003620BF" w:rsidRPr="008320EC">
        <w:rPr>
          <w:lang w:val="fr-CA"/>
        </w:rPr>
        <w:t>”</w:t>
      </w:r>
    </w:p>
    <w:p w:rsidR="00420FFD" w:rsidRPr="008320EC" w:rsidRDefault="00420FFD" w:rsidP="00375F31">
      <w:pPr>
        <w:pStyle w:val="Member"/>
        <w:jc w:val="right"/>
        <w:rPr>
          <w:lang w:val="fr-CA"/>
        </w:rPr>
      </w:pPr>
    </w:p>
    <w:p w:rsidR="003620BF" w:rsidRPr="008320EC" w:rsidRDefault="005F30F9" w:rsidP="00375F31">
      <w:pPr>
        <w:pStyle w:val="Member"/>
        <w:jc w:val="right"/>
        <w:rPr>
          <w:i w:val="0"/>
          <w:lang w:val="fr-CA"/>
        </w:rPr>
      </w:pPr>
      <w:r w:rsidRPr="008320EC">
        <w:rPr>
          <w:i w:val="0"/>
          <w:lang w:val="fr-CA"/>
        </w:rPr>
        <w:t>J. V. ZUIDEMA</w:t>
      </w:r>
    </w:p>
    <w:p w:rsidR="003620BF" w:rsidRDefault="005F30F9" w:rsidP="00375F31">
      <w:pPr>
        <w:pStyle w:val="Member"/>
        <w:jc w:val="right"/>
        <w:rPr>
          <w:i w:val="0"/>
        </w:rPr>
      </w:pPr>
      <w:r>
        <w:rPr>
          <w:i w:val="0"/>
        </w:rPr>
        <w:t>VICE-CHAIR</w:t>
      </w:r>
    </w:p>
    <w:p w:rsidR="008F2B6A" w:rsidRDefault="008F2B6A" w:rsidP="00375F31">
      <w:pPr>
        <w:pStyle w:val="Member"/>
        <w:jc w:val="right"/>
        <w:rPr>
          <w:i w:val="0"/>
        </w:rPr>
      </w:pPr>
    </w:p>
    <w:p w:rsidR="008F2B6A" w:rsidRDefault="008F2B6A" w:rsidP="00375F31">
      <w:pPr>
        <w:pStyle w:val="Member"/>
        <w:jc w:val="right"/>
        <w:rPr>
          <w:i w:val="0"/>
        </w:rPr>
      </w:pPr>
    </w:p>
    <w:p w:rsidR="008F2B6A" w:rsidRDefault="008F2B6A"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DC4D31" w:rsidRDefault="00DC4D31" w:rsidP="008F2B6A">
      <w:pPr>
        <w:pStyle w:val="Member"/>
        <w:ind w:left="0"/>
        <w:rPr>
          <w:i w:val="0"/>
        </w:rPr>
      </w:pPr>
    </w:p>
    <w:p w:rsidR="008F2B6A" w:rsidRPr="005F30F9" w:rsidRDefault="008F2B6A" w:rsidP="00375F31">
      <w:pPr>
        <w:pStyle w:val="Member"/>
        <w:jc w:val="right"/>
        <w:rPr>
          <w:i w:val="0"/>
        </w:rPr>
      </w:pPr>
    </w:p>
    <w:p w:rsidR="001923CB" w:rsidRDefault="001923CB" w:rsidP="001923CB">
      <w:pPr>
        <w:jc w:val="center"/>
        <w:rPr>
          <w:rFonts w:ascii="Arial" w:hAnsi="Arial" w:cs="Arial"/>
          <w:lang w:eastAsia="en-CA"/>
        </w:rPr>
      </w:pPr>
      <w:r>
        <w:rPr>
          <w:rFonts w:ascii="Arial" w:hAnsi="Arial" w:cs="Arial"/>
          <w:lang w:eastAsia="en-CA"/>
        </w:rPr>
        <w:t>If there is an attachment referred to in this document,</w:t>
      </w:r>
    </w:p>
    <w:p w:rsidR="001923CB" w:rsidRDefault="001923CB" w:rsidP="001923CB">
      <w:pPr>
        <w:jc w:val="center"/>
        <w:rPr>
          <w:rFonts w:ascii="Arial" w:hAnsi="Arial" w:cs="Arial"/>
          <w:lang w:eastAsia="en-CA"/>
        </w:rPr>
      </w:pPr>
      <w:proofErr w:type="gramStart"/>
      <w:r>
        <w:rPr>
          <w:rFonts w:ascii="Arial" w:hAnsi="Arial" w:cs="Arial"/>
          <w:lang w:eastAsia="en-CA"/>
        </w:rPr>
        <w:t>please</w:t>
      </w:r>
      <w:proofErr w:type="gramEnd"/>
      <w:r>
        <w:rPr>
          <w:rFonts w:ascii="Arial" w:hAnsi="Arial" w:cs="Arial"/>
          <w:lang w:eastAsia="en-CA"/>
        </w:rPr>
        <w:t xml:space="preserve"> visit www.elto.gov.on.ca to view the attachment in PDF format.</w:t>
      </w:r>
    </w:p>
    <w:p w:rsidR="009A73F6" w:rsidRPr="009A73F6" w:rsidRDefault="009A73F6" w:rsidP="009A73F6">
      <w:pPr>
        <w:keepLines/>
        <w:jc w:val="center"/>
        <w:rPr>
          <w:rFonts w:ascii="Arial" w:hAnsi="Arial" w:cs="Arial"/>
        </w:rPr>
      </w:pPr>
    </w:p>
    <w:p w:rsidR="005A6B29" w:rsidRPr="005A767F" w:rsidRDefault="005A6B29" w:rsidP="009A73F6">
      <w:pPr>
        <w:keepLines/>
        <w:jc w:val="center"/>
        <w:rPr>
          <w:rFonts w:ascii="Arial" w:hAnsi="Arial" w:cs="Arial"/>
          <w:b/>
        </w:rPr>
      </w:pPr>
      <w:r w:rsidRPr="005A767F">
        <w:rPr>
          <w:rFonts w:ascii="Arial" w:hAnsi="Arial" w:cs="Arial"/>
          <w:b/>
        </w:rPr>
        <w:t>Ontario Municipal Board</w:t>
      </w:r>
    </w:p>
    <w:p w:rsidR="005A6B29" w:rsidRPr="005A767F" w:rsidRDefault="005A6B29" w:rsidP="009A73F6">
      <w:pPr>
        <w:keepLines/>
        <w:jc w:val="center"/>
        <w:rPr>
          <w:rFonts w:ascii="Arial" w:hAnsi="Arial" w:cs="Arial"/>
        </w:rPr>
      </w:pPr>
      <w:r w:rsidRPr="005A767F">
        <w:rPr>
          <w:rFonts w:ascii="Arial" w:hAnsi="Arial" w:cs="Arial"/>
        </w:rPr>
        <w:t>A constituent tribunal of Environment and Land Tribunals Ontario</w:t>
      </w:r>
    </w:p>
    <w:p w:rsidR="005A6B29" w:rsidRPr="005A767F" w:rsidRDefault="005A6B29" w:rsidP="009A73F6">
      <w:pPr>
        <w:pStyle w:val="Footer"/>
        <w:jc w:val="center"/>
        <w:rPr>
          <w:rFonts w:ascii="Arial" w:hAnsi="Arial" w:cs="Arial"/>
        </w:rPr>
      </w:pPr>
      <w:r w:rsidRPr="005A767F">
        <w:rPr>
          <w:rFonts w:ascii="Arial" w:hAnsi="Arial" w:cs="Arial"/>
        </w:rPr>
        <w:t xml:space="preserve">Website: </w:t>
      </w:r>
      <w:proofErr w:type="gramStart"/>
      <w:r w:rsidRPr="005A767F">
        <w:rPr>
          <w:rFonts w:ascii="Arial" w:hAnsi="Arial" w:cs="Arial"/>
        </w:rPr>
        <w:t>www.elto.gov.on.ca  Telephone</w:t>
      </w:r>
      <w:proofErr w:type="gramEnd"/>
      <w:r w:rsidRPr="005A767F">
        <w:rPr>
          <w:rFonts w:ascii="Arial" w:hAnsi="Arial" w:cs="Arial"/>
        </w:rPr>
        <w:t>: 416-212-6349  Toll Free: 1-866-448-2248</w:t>
      </w:r>
    </w:p>
    <w:sectPr w:rsidR="005A6B29" w:rsidRPr="005A767F" w:rsidSect="00B92BA3">
      <w:headerReference w:type="default" r:id="rId9"/>
      <w:pgSz w:w="12240" w:h="15840" w:code="1"/>
      <w:pgMar w:top="1239"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928" w:rsidRDefault="001C3928">
      <w:r>
        <w:separator/>
      </w:r>
    </w:p>
  </w:endnote>
  <w:endnote w:type="continuationSeparator" w:id="0">
    <w:p w:rsidR="001C3928" w:rsidRDefault="001C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928" w:rsidRDefault="001C3928">
      <w:r>
        <w:separator/>
      </w:r>
    </w:p>
  </w:footnote>
  <w:footnote w:type="continuationSeparator" w:id="0">
    <w:p w:rsidR="001C3928" w:rsidRDefault="001C3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D7" w:rsidRDefault="005D1ED7" w:rsidP="002D2254">
    <w:pPr>
      <w:pStyle w:val="Header"/>
      <w:tabs>
        <w:tab w:val="clear" w:pos="8640"/>
        <w:tab w:val="center" w:pos="4680"/>
        <w:tab w:val="left" w:pos="6804"/>
        <w:tab w:val="right" w:pos="9360"/>
      </w:tabs>
      <w:rPr>
        <w:rFonts w:ascii="Arial" w:hAnsi="Arial" w:cs="Arial"/>
        <w:noProof/>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B921DA">
      <w:rPr>
        <w:rFonts w:ascii="Arial" w:hAnsi="Arial" w:cs="Arial"/>
        <w:noProof/>
      </w:rPr>
      <w:t>2</w:t>
    </w:r>
    <w:r w:rsidRPr="005E51AF">
      <w:rPr>
        <w:rFonts w:ascii="Arial" w:hAnsi="Arial" w:cs="Arial"/>
        <w:noProof/>
      </w:rPr>
      <w:fldChar w:fldCharType="end"/>
    </w:r>
    <w:r w:rsidR="00C02B28">
      <w:rPr>
        <w:rFonts w:ascii="Arial" w:hAnsi="Arial" w:cs="Arial"/>
        <w:noProof/>
      </w:rPr>
      <w:tab/>
    </w:r>
    <w:r w:rsidR="002D2254">
      <w:rPr>
        <w:rFonts w:ascii="Arial" w:hAnsi="Arial" w:cs="Arial"/>
        <w:noProof/>
      </w:rPr>
      <w:tab/>
    </w:r>
    <w:r w:rsidRPr="005E51AF">
      <w:rPr>
        <w:rFonts w:ascii="Arial" w:hAnsi="Arial" w:cs="Arial"/>
        <w:noProof/>
      </w:rPr>
      <w:t>PL</w:t>
    </w:r>
    <w:r w:rsidR="0054190D">
      <w:rPr>
        <w:rFonts w:ascii="Arial" w:hAnsi="Arial" w:cs="Arial"/>
        <w:noProof/>
      </w:rPr>
      <w:t>170282</w:t>
    </w:r>
    <w:r w:rsidR="00375F31">
      <w:rPr>
        <w:rFonts w:ascii="Arial" w:hAnsi="Arial" w:cs="Arial"/>
        <w:noProof/>
      </w:rPr>
      <w:t xml:space="preserve"> </w:t>
    </w:r>
  </w:p>
  <w:p w:rsidR="008A1A0C" w:rsidRDefault="008A1A0C" w:rsidP="002D2254">
    <w:pPr>
      <w:pStyle w:val="Header"/>
      <w:tabs>
        <w:tab w:val="clear" w:pos="8640"/>
        <w:tab w:val="center" w:pos="4680"/>
        <w:tab w:val="left" w:pos="6804"/>
        <w:tab w:val="right" w:pos="9360"/>
      </w:tabs>
      <w:rPr>
        <w:rFonts w:ascii="Arial" w:hAnsi="Arial" w:cs="Arial"/>
        <w:noProof/>
      </w:rPr>
    </w:pPr>
  </w:p>
  <w:p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1D727A1"/>
    <w:multiLevelType w:val="hybridMultilevel"/>
    <w:tmpl w:val="E3389A22"/>
    <w:lvl w:ilvl="0" w:tplc="F60A7946">
      <w:start w:val="3"/>
      <w:numFmt w:val="lowerRoman"/>
      <w:lvlText w:val="%1."/>
      <w:lvlJc w:val="left"/>
      <w:pPr>
        <w:ind w:left="2149" w:hanging="720"/>
      </w:pPr>
      <w:rPr>
        <w:rFonts w:hint="default"/>
      </w:rPr>
    </w:lvl>
    <w:lvl w:ilvl="1" w:tplc="10090019" w:tentative="1">
      <w:start w:val="1"/>
      <w:numFmt w:val="lowerLetter"/>
      <w:lvlText w:val="%2."/>
      <w:lvlJc w:val="left"/>
      <w:pPr>
        <w:ind w:left="2509" w:hanging="360"/>
      </w:pPr>
    </w:lvl>
    <w:lvl w:ilvl="2" w:tplc="1009001B" w:tentative="1">
      <w:start w:val="1"/>
      <w:numFmt w:val="lowerRoman"/>
      <w:lvlText w:val="%3."/>
      <w:lvlJc w:val="right"/>
      <w:pPr>
        <w:ind w:left="3229" w:hanging="180"/>
      </w:pPr>
    </w:lvl>
    <w:lvl w:ilvl="3" w:tplc="1009000F" w:tentative="1">
      <w:start w:val="1"/>
      <w:numFmt w:val="decimal"/>
      <w:lvlText w:val="%4."/>
      <w:lvlJc w:val="left"/>
      <w:pPr>
        <w:ind w:left="3949" w:hanging="360"/>
      </w:pPr>
    </w:lvl>
    <w:lvl w:ilvl="4" w:tplc="10090019" w:tentative="1">
      <w:start w:val="1"/>
      <w:numFmt w:val="lowerLetter"/>
      <w:lvlText w:val="%5."/>
      <w:lvlJc w:val="left"/>
      <w:pPr>
        <w:ind w:left="4669" w:hanging="360"/>
      </w:pPr>
    </w:lvl>
    <w:lvl w:ilvl="5" w:tplc="1009001B" w:tentative="1">
      <w:start w:val="1"/>
      <w:numFmt w:val="lowerRoman"/>
      <w:lvlText w:val="%6."/>
      <w:lvlJc w:val="right"/>
      <w:pPr>
        <w:ind w:left="5389" w:hanging="180"/>
      </w:pPr>
    </w:lvl>
    <w:lvl w:ilvl="6" w:tplc="1009000F" w:tentative="1">
      <w:start w:val="1"/>
      <w:numFmt w:val="decimal"/>
      <w:lvlText w:val="%7."/>
      <w:lvlJc w:val="left"/>
      <w:pPr>
        <w:ind w:left="6109" w:hanging="360"/>
      </w:pPr>
    </w:lvl>
    <w:lvl w:ilvl="7" w:tplc="10090019" w:tentative="1">
      <w:start w:val="1"/>
      <w:numFmt w:val="lowerLetter"/>
      <w:lvlText w:val="%8."/>
      <w:lvlJc w:val="left"/>
      <w:pPr>
        <w:ind w:left="6829" w:hanging="360"/>
      </w:pPr>
    </w:lvl>
    <w:lvl w:ilvl="8" w:tplc="1009001B" w:tentative="1">
      <w:start w:val="1"/>
      <w:numFmt w:val="lowerRoman"/>
      <w:lvlText w:val="%9."/>
      <w:lvlJc w:val="right"/>
      <w:pPr>
        <w:ind w:left="7549" w:hanging="180"/>
      </w:pPr>
    </w:lvl>
  </w:abstractNum>
  <w:abstractNum w:abstractNumId="4">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935FBA"/>
    <w:multiLevelType w:val="hybridMultilevel"/>
    <w:tmpl w:val="88967E32"/>
    <w:lvl w:ilvl="0" w:tplc="5C825C26">
      <w:start w:val="3"/>
      <w:numFmt w:val="lowerRoman"/>
      <w:lvlText w:val="%1."/>
      <w:lvlJc w:val="left"/>
      <w:pPr>
        <w:ind w:left="2149" w:hanging="720"/>
      </w:pPr>
      <w:rPr>
        <w:rFonts w:hint="default"/>
      </w:rPr>
    </w:lvl>
    <w:lvl w:ilvl="1" w:tplc="10090019" w:tentative="1">
      <w:start w:val="1"/>
      <w:numFmt w:val="lowerLetter"/>
      <w:lvlText w:val="%2."/>
      <w:lvlJc w:val="left"/>
      <w:pPr>
        <w:ind w:left="2509" w:hanging="360"/>
      </w:pPr>
    </w:lvl>
    <w:lvl w:ilvl="2" w:tplc="1009001B" w:tentative="1">
      <w:start w:val="1"/>
      <w:numFmt w:val="lowerRoman"/>
      <w:lvlText w:val="%3."/>
      <w:lvlJc w:val="right"/>
      <w:pPr>
        <w:ind w:left="3229" w:hanging="180"/>
      </w:pPr>
    </w:lvl>
    <w:lvl w:ilvl="3" w:tplc="1009000F" w:tentative="1">
      <w:start w:val="1"/>
      <w:numFmt w:val="decimal"/>
      <w:lvlText w:val="%4."/>
      <w:lvlJc w:val="left"/>
      <w:pPr>
        <w:ind w:left="3949" w:hanging="360"/>
      </w:pPr>
    </w:lvl>
    <w:lvl w:ilvl="4" w:tplc="10090019" w:tentative="1">
      <w:start w:val="1"/>
      <w:numFmt w:val="lowerLetter"/>
      <w:lvlText w:val="%5."/>
      <w:lvlJc w:val="left"/>
      <w:pPr>
        <w:ind w:left="4669" w:hanging="360"/>
      </w:pPr>
    </w:lvl>
    <w:lvl w:ilvl="5" w:tplc="1009001B" w:tentative="1">
      <w:start w:val="1"/>
      <w:numFmt w:val="lowerRoman"/>
      <w:lvlText w:val="%6."/>
      <w:lvlJc w:val="right"/>
      <w:pPr>
        <w:ind w:left="5389" w:hanging="180"/>
      </w:pPr>
    </w:lvl>
    <w:lvl w:ilvl="6" w:tplc="1009000F" w:tentative="1">
      <w:start w:val="1"/>
      <w:numFmt w:val="decimal"/>
      <w:lvlText w:val="%7."/>
      <w:lvlJc w:val="left"/>
      <w:pPr>
        <w:ind w:left="6109" w:hanging="360"/>
      </w:pPr>
    </w:lvl>
    <w:lvl w:ilvl="7" w:tplc="10090019" w:tentative="1">
      <w:start w:val="1"/>
      <w:numFmt w:val="lowerLetter"/>
      <w:lvlText w:val="%8."/>
      <w:lvlJc w:val="left"/>
      <w:pPr>
        <w:ind w:left="6829" w:hanging="360"/>
      </w:pPr>
    </w:lvl>
    <w:lvl w:ilvl="8" w:tplc="1009001B" w:tentative="1">
      <w:start w:val="1"/>
      <w:numFmt w:val="lowerRoman"/>
      <w:lvlText w:val="%9."/>
      <w:lvlJc w:val="right"/>
      <w:pPr>
        <w:ind w:left="7549" w:hanging="180"/>
      </w:pPr>
    </w:lvl>
  </w:abstractNum>
  <w:abstractNum w:abstractNumId="10">
    <w:nsid w:val="29F60E5C"/>
    <w:multiLevelType w:val="hybridMultilevel"/>
    <w:tmpl w:val="A740E1E0"/>
    <w:lvl w:ilvl="0" w:tplc="CCEAC726">
      <w:start w:val="3"/>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A12260"/>
    <w:multiLevelType w:val="hybridMultilevel"/>
    <w:tmpl w:val="D2882F00"/>
    <w:lvl w:ilvl="0" w:tplc="921E247A">
      <w:start w:val="1"/>
      <w:numFmt w:val="decimal"/>
      <w:pStyle w:val="DecisionBody"/>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20"/>
  </w:num>
  <w:num w:numId="4">
    <w:abstractNumId w:val="8"/>
  </w:num>
  <w:num w:numId="5">
    <w:abstractNumId w:val="22"/>
  </w:num>
  <w:num w:numId="6">
    <w:abstractNumId w:val="5"/>
  </w:num>
  <w:num w:numId="7">
    <w:abstractNumId w:val="1"/>
  </w:num>
  <w:num w:numId="8">
    <w:abstractNumId w:val="19"/>
  </w:num>
  <w:num w:numId="9">
    <w:abstractNumId w:val="13"/>
  </w:num>
  <w:num w:numId="10">
    <w:abstractNumId w:val="12"/>
  </w:num>
  <w:num w:numId="11">
    <w:abstractNumId w:val="17"/>
  </w:num>
  <w:num w:numId="12">
    <w:abstractNumId w:val="21"/>
  </w:num>
  <w:num w:numId="13">
    <w:abstractNumId w:val="4"/>
  </w:num>
  <w:num w:numId="14">
    <w:abstractNumId w:val="14"/>
  </w:num>
  <w:num w:numId="15">
    <w:abstractNumId w:val="18"/>
  </w:num>
  <w:num w:numId="16">
    <w:abstractNumId w:val="16"/>
  </w:num>
  <w:num w:numId="17">
    <w:abstractNumId w:val="7"/>
  </w:num>
  <w:num w:numId="18">
    <w:abstractNumId w:val="11"/>
  </w:num>
  <w:num w:numId="19">
    <w:abstractNumId w:val="2"/>
  </w:num>
  <w:num w:numId="20">
    <w:abstractNumId w:val="0"/>
  </w:num>
  <w:num w:numId="21">
    <w:abstractNumId w:val="3"/>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C4"/>
    <w:rsid w:val="00007F16"/>
    <w:rsid w:val="0001195E"/>
    <w:rsid w:val="0001398A"/>
    <w:rsid w:val="000170F3"/>
    <w:rsid w:val="00017DFC"/>
    <w:rsid w:val="000251F7"/>
    <w:rsid w:val="000316F3"/>
    <w:rsid w:val="000319DB"/>
    <w:rsid w:val="00031C6E"/>
    <w:rsid w:val="0003783B"/>
    <w:rsid w:val="00040906"/>
    <w:rsid w:val="000424A6"/>
    <w:rsid w:val="00051A17"/>
    <w:rsid w:val="00054A9F"/>
    <w:rsid w:val="00075342"/>
    <w:rsid w:val="00076196"/>
    <w:rsid w:val="0008105B"/>
    <w:rsid w:val="00081B93"/>
    <w:rsid w:val="00083991"/>
    <w:rsid w:val="000914CF"/>
    <w:rsid w:val="00094348"/>
    <w:rsid w:val="000A5D3C"/>
    <w:rsid w:val="000B4BFB"/>
    <w:rsid w:val="000C21BB"/>
    <w:rsid w:val="000C480C"/>
    <w:rsid w:val="000C6878"/>
    <w:rsid w:val="000C7608"/>
    <w:rsid w:val="000D6F9D"/>
    <w:rsid w:val="000D7BBD"/>
    <w:rsid w:val="000E5D67"/>
    <w:rsid w:val="000F0BD6"/>
    <w:rsid w:val="001205D6"/>
    <w:rsid w:val="00126BBB"/>
    <w:rsid w:val="00135FC4"/>
    <w:rsid w:val="00137797"/>
    <w:rsid w:val="00145147"/>
    <w:rsid w:val="001551CC"/>
    <w:rsid w:val="001562BE"/>
    <w:rsid w:val="00162164"/>
    <w:rsid w:val="001634FB"/>
    <w:rsid w:val="001656BC"/>
    <w:rsid w:val="00166B80"/>
    <w:rsid w:val="001702F3"/>
    <w:rsid w:val="00172CE7"/>
    <w:rsid w:val="001765FB"/>
    <w:rsid w:val="00182765"/>
    <w:rsid w:val="00190DF3"/>
    <w:rsid w:val="001923CB"/>
    <w:rsid w:val="001A3C06"/>
    <w:rsid w:val="001A636C"/>
    <w:rsid w:val="001B5CE4"/>
    <w:rsid w:val="001C1D1C"/>
    <w:rsid w:val="001C3928"/>
    <w:rsid w:val="001D10DA"/>
    <w:rsid w:val="001D6F93"/>
    <w:rsid w:val="001F179F"/>
    <w:rsid w:val="001F227D"/>
    <w:rsid w:val="001F4D3D"/>
    <w:rsid w:val="0020298E"/>
    <w:rsid w:val="00205167"/>
    <w:rsid w:val="00213224"/>
    <w:rsid w:val="0021608D"/>
    <w:rsid w:val="00220639"/>
    <w:rsid w:val="0022133C"/>
    <w:rsid w:val="00225203"/>
    <w:rsid w:val="00226115"/>
    <w:rsid w:val="00231F87"/>
    <w:rsid w:val="002346B3"/>
    <w:rsid w:val="002419BB"/>
    <w:rsid w:val="002433A2"/>
    <w:rsid w:val="002446DE"/>
    <w:rsid w:val="00246A65"/>
    <w:rsid w:val="00252DAA"/>
    <w:rsid w:val="0026320F"/>
    <w:rsid w:val="00277F40"/>
    <w:rsid w:val="00283370"/>
    <w:rsid w:val="0028565A"/>
    <w:rsid w:val="00293E85"/>
    <w:rsid w:val="002959D2"/>
    <w:rsid w:val="002B47E9"/>
    <w:rsid w:val="002C00E1"/>
    <w:rsid w:val="002C58FD"/>
    <w:rsid w:val="002D2254"/>
    <w:rsid w:val="002D38E7"/>
    <w:rsid w:val="002E7C9F"/>
    <w:rsid w:val="002F493C"/>
    <w:rsid w:val="002F73E5"/>
    <w:rsid w:val="003051EA"/>
    <w:rsid w:val="00307DEE"/>
    <w:rsid w:val="00316394"/>
    <w:rsid w:val="00320575"/>
    <w:rsid w:val="00324440"/>
    <w:rsid w:val="003303D4"/>
    <w:rsid w:val="003339E7"/>
    <w:rsid w:val="00340879"/>
    <w:rsid w:val="00345480"/>
    <w:rsid w:val="0034774E"/>
    <w:rsid w:val="003506EA"/>
    <w:rsid w:val="00350E1B"/>
    <w:rsid w:val="003620BF"/>
    <w:rsid w:val="00367CB0"/>
    <w:rsid w:val="00375F31"/>
    <w:rsid w:val="0038484F"/>
    <w:rsid w:val="00391D19"/>
    <w:rsid w:val="00391DD7"/>
    <w:rsid w:val="003A1187"/>
    <w:rsid w:val="003B236D"/>
    <w:rsid w:val="003B298B"/>
    <w:rsid w:val="003B7CE2"/>
    <w:rsid w:val="003D2645"/>
    <w:rsid w:val="003F266C"/>
    <w:rsid w:val="003F2BE2"/>
    <w:rsid w:val="00401F7B"/>
    <w:rsid w:val="00403715"/>
    <w:rsid w:val="00404BC3"/>
    <w:rsid w:val="00420FFD"/>
    <w:rsid w:val="004233D2"/>
    <w:rsid w:val="00441A9B"/>
    <w:rsid w:val="004507E6"/>
    <w:rsid w:val="00452228"/>
    <w:rsid w:val="004568CC"/>
    <w:rsid w:val="004662FE"/>
    <w:rsid w:val="00476185"/>
    <w:rsid w:val="00476F61"/>
    <w:rsid w:val="00484153"/>
    <w:rsid w:val="004A4461"/>
    <w:rsid w:val="004B3EAB"/>
    <w:rsid w:val="004C06AB"/>
    <w:rsid w:val="004C5ADC"/>
    <w:rsid w:val="004E03A4"/>
    <w:rsid w:val="004E477A"/>
    <w:rsid w:val="004E4C91"/>
    <w:rsid w:val="004E4CD6"/>
    <w:rsid w:val="004F13B0"/>
    <w:rsid w:val="00505DF1"/>
    <w:rsid w:val="0051003E"/>
    <w:rsid w:val="00513CCD"/>
    <w:rsid w:val="00514292"/>
    <w:rsid w:val="005176E6"/>
    <w:rsid w:val="0054190D"/>
    <w:rsid w:val="0055024F"/>
    <w:rsid w:val="00576C45"/>
    <w:rsid w:val="00577948"/>
    <w:rsid w:val="00581834"/>
    <w:rsid w:val="00581FFB"/>
    <w:rsid w:val="00582D78"/>
    <w:rsid w:val="005832B8"/>
    <w:rsid w:val="00585632"/>
    <w:rsid w:val="0058684A"/>
    <w:rsid w:val="00591677"/>
    <w:rsid w:val="00592220"/>
    <w:rsid w:val="0059239E"/>
    <w:rsid w:val="005A6B29"/>
    <w:rsid w:val="005A767F"/>
    <w:rsid w:val="005B0EFC"/>
    <w:rsid w:val="005B2D34"/>
    <w:rsid w:val="005C618F"/>
    <w:rsid w:val="005C7251"/>
    <w:rsid w:val="005D1ED7"/>
    <w:rsid w:val="005E51AF"/>
    <w:rsid w:val="005F182A"/>
    <w:rsid w:val="005F21D2"/>
    <w:rsid w:val="005F30F9"/>
    <w:rsid w:val="005F7A16"/>
    <w:rsid w:val="006002DC"/>
    <w:rsid w:val="0060505C"/>
    <w:rsid w:val="006120FE"/>
    <w:rsid w:val="00614648"/>
    <w:rsid w:val="00616822"/>
    <w:rsid w:val="006373D9"/>
    <w:rsid w:val="006419E7"/>
    <w:rsid w:val="00641AD3"/>
    <w:rsid w:val="00642383"/>
    <w:rsid w:val="00647ECC"/>
    <w:rsid w:val="006510E9"/>
    <w:rsid w:val="00653B50"/>
    <w:rsid w:val="00655F95"/>
    <w:rsid w:val="00656CC7"/>
    <w:rsid w:val="00663C56"/>
    <w:rsid w:val="00665DAE"/>
    <w:rsid w:val="006664C3"/>
    <w:rsid w:val="00667403"/>
    <w:rsid w:val="006738C5"/>
    <w:rsid w:val="00677294"/>
    <w:rsid w:val="006A119C"/>
    <w:rsid w:val="006A19B7"/>
    <w:rsid w:val="006B7D6D"/>
    <w:rsid w:val="006C06B5"/>
    <w:rsid w:val="006F214C"/>
    <w:rsid w:val="006F2DF2"/>
    <w:rsid w:val="007057F0"/>
    <w:rsid w:val="00706196"/>
    <w:rsid w:val="00707B3B"/>
    <w:rsid w:val="00715DD1"/>
    <w:rsid w:val="00716030"/>
    <w:rsid w:val="00723440"/>
    <w:rsid w:val="007347D3"/>
    <w:rsid w:val="00752256"/>
    <w:rsid w:val="0076119A"/>
    <w:rsid w:val="00765C2D"/>
    <w:rsid w:val="00772718"/>
    <w:rsid w:val="00785A48"/>
    <w:rsid w:val="007A1709"/>
    <w:rsid w:val="007A2437"/>
    <w:rsid w:val="007A2C3D"/>
    <w:rsid w:val="007C08BD"/>
    <w:rsid w:val="007D7669"/>
    <w:rsid w:val="007E0C30"/>
    <w:rsid w:val="007F2FD6"/>
    <w:rsid w:val="007F7583"/>
    <w:rsid w:val="008046EB"/>
    <w:rsid w:val="0080724D"/>
    <w:rsid w:val="00810C9D"/>
    <w:rsid w:val="008173CF"/>
    <w:rsid w:val="00823753"/>
    <w:rsid w:val="008316DB"/>
    <w:rsid w:val="008320EC"/>
    <w:rsid w:val="0083211C"/>
    <w:rsid w:val="00834E4A"/>
    <w:rsid w:val="00835A80"/>
    <w:rsid w:val="00865727"/>
    <w:rsid w:val="00866681"/>
    <w:rsid w:val="0089782A"/>
    <w:rsid w:val="008A1A0C"/>
    <w:rsid w:val="008A3586"/>
    <w:rsid w:val="008B3EB4"/>
    <w:rsid w:val="008B667D"/>
    <w:rsid w:val="008C09C4"/>
    <w:rsid w:val="008C18C2"/>
    <w:rsid w:val="008C7470"/>
    <w:rsid w:val="008D3B01"/>
    <w:rsid w:val="008E147D"/>
    <w:rsid w:val="008E42E6"/>
    <w:rsid w:val="008E5B11"/>
    <w:rsid w:val="008E6014"/>
    <w:rsid w:val="008F2680"/>
    <w:rsid w:val="008F2B6A"/>
    <w:rsid w:val="008F2C7A"/>
    <w:rsid w:val="00900C5B"/>
    <w:rsid w:val="0091030D"/>
    <w:rsid w:val="00917854"/>
    <w:rsid w:val="00930FD3"/>
    <w:rsid w:val="00932D17"/>
    <w:rsid w:val="009333AA"/>
    <w:rsid w:val="00933ED8"/>
    <w:rsid w:val="00935ABA"/>
    <w:rsid w:val="00951EE2"/>
    <w:rsid w:val="00955D4E"/>
    <w:rsid w:val="0096422B"/>
    <w:rsid w:val="009650D8"/>
    <w:rsid w:val="009748FB"/>
    <w:rsid w:val="00976AA8"/>
    <w:rsid w:val="00981E7A"/>
    <w:rsid w:val="00982D02"/>
    <w:rsid w:val="009908CA"/>
    <w:rsid w:val="00990F55"/>
    <w:rsid w:val="00991697"/>
    <w:rsid w:val="00992D53"/>
    <w:rsid w:val="009A31C9"/>
    <w:rsid w:val="009A34A1"/>
    <w:rsid w:val="009A6D63"/>
    <w:rsid w:val="009A73F6"/>
    <w:rsid w:val="009C4D62"/>
    <w:rsid w:val="009D0B82"/>
    <w:rsid w:val="009D5078"/>
    <w:rsid w:val="009E0DF7"/>
    <w:rsid w:val="009E202F"/>
    <w:rsid w:val="009E6983"/>
    <w:rsid w:val="009F080F"/>
    <w:rsid w:val="009F3047"/>
    <w:rsid w:val="00A07D8A"/>
    <w:rsid w:val="00A113BE"/>
    <w:rsid w:val="00A20E8C"/>
    <w:rsid w:val="00A359DB"/>
    <w:rsid w:val="00A45D63"/>
    <w:rsid w:val="00A47406"/>
    <w:rsid w:val="00A550FC"/>
    <w:rsid w:val="00A65AFC"/>
    <w:rsid w:val="00A70E2F"/>
    <w:rsid w:val="00A70EA7"/>
    <w:rsid w:val="00A70F9B"/>
    <w:rsid w:val="00A756CC"/>
    <w:rsid w:val="00A763DE"/>
    <w:rsid w:val="00A81716"/>
    <w:rsid w:val="00A81DF8"/>
    <w:rsid w:val="00A86E97"/>
    <w:rsid w:val="00A92F55"/>
    <w:rsid w:val="00A955CF"/>
    <w:rsid w:val="00AA1090"/>
    <w:rsid w:val="00AA6E2C"/>
    <w:rsid w:val="00AB07FC"/>
    <w:rsid w:val="00AB7E2E"/>
    <w:rsid w:val="00AC71E9"/>
    <w:rsid w:val="00AD29BF"/>
    <w:rsid w:val="00AD6DB8"/>
    <w:rsid w:val="00AE075F"/>
    <w:rsid w:val="00AE1098"/>
    <w:rsid w:val="00AE1CEB"/>
    <w:rsid w:val="00AF5184"/>
    <w:rsid w:val="00B15723"/>
    <w:rsid w:val="00B157E1"/>
    <w:rsid w:val="00B16A05"/>
    <w:rsid w:val="00B225A1"/>
    <w:rsid w:val="00B25ACB"/>
    <w:rsid w:val="00B25ECF"/>
    <w:rsid w:val="00B27CE8"/>
    <w:rsid w:val="00B35686"/>
    <w:rsid w:val="00B51EBA"/>
    <w:rsid w:val="00B5261C"/>
    <w:rsid w:val="00B5585B"/>
    <w:rsid w:val="00B62606"/>
    <w:rsid w:val="00B6431E"/>
    <w:rsid w:val="00B65008"/>
    <w:rsid w:val="00B67AB9"/>
    <w:rsid w:val="00B702CE"/>
    <w:rsid w:val="00B721A7"/>
    <w:rsid w:val="00B73739"/>
    <w:rsid w:val="00B77B07"/>
    <w:rsid w:val="00B818DE"/>
    <w:rsid w:val="00B82874"/>
    <w:rsid w:val="00B921DA"/>
    <w:rsid w:val="00B92BA3"/>
    <w:rsid w:val="00BA5F87"/>
    <w:rsid w:val="00BB1683"/>
    <w:rsid w:val="00BB56A7"/>
    <w:rsid w:val="00BC66D9"/>
    <w:rsid w:val="00BE0FA0"/>
    <w:rsid w:val="00BF497A"/>
    <w:rsid w:val="00BF7426"/>
    <w:rsid w:val="00C00643"/>
    <w:rsid w:val="00C02B28"/>
    <w:rsid w:val="00C13F3B"/>
    <w:rsid w:val="00C2491E"/>
    <w:rsid w:val="00C410B4"/>
    <w:rsid w:val="00C53A74"/>
    <w:rsid w:val="00C87596"/>
    <w:rsid w:val="00C92977"/>
    <w:rsid w:val="00CA4FB3"/>
    <w:rsid w:val="00CC269B"/>
    <w:rsid w:val="00CC29F3"/>
    <w:rsid w:val="00CC5C59"/>
    <w:rsid w:val="00CD235D"/>
    <w:rsid w:val="00CD5591"/>
    <w:rsid w:val="00CD7FB4"/>
    <w:rsid w:val="00CE10CC"/>
    <w:rsid w:val="00CF3F96"/>
    <w:rsid w:val="00CF4C37"/>
    <w:rsid w:val="00CF55CF"/>
    <w:rsid w:val="00D008AB"/>
    <w:rsid w:val="00D05C3C"/>
    <w:rsid w:val="00D27BD2"/>
    <w:rsid w:val="00D30F49"/>
    <w:rsid w:val="00D353B4"/>
    <w:rsid w:val="00D42D9F"/>
    <w:rsid w:val="00D570A2"/>
    <w:rsid w:val="00D62F44"/>
    <w:rsid w:val="00D66856"/>
    <w:rsid w:val="00D6740B"/>
    <w:rsid w:val="00D76186"/>
    <w:rsid w:val="00D76720"/>
    <w:rsid w:val="00D76968"/>
    <w:rsid w:val="00D802CC"/>
    <w:rsid w:val="00D83C03"/>
    <w:rsid w:val="00D8571F"/>
    <w:rsid w:val="00D91064"/>
    <w:rsid w:val="00DB023D"/>
    <w:rsid w:val="00DB16DE"/>
    <w:rsid w:val="00DB49FE"/>
    <w:rsid w:val="00DC33A3"/>
    <w:rsid w:val="00DC4D31"/>
    <w:rsid w:val="00DD35F5"/>
    <w:rsid w:val="00DD6665"/>
    <w:rsid w:val="00DE62BC"/>
    <w:rsid w:val="00DF1DC4"/>
    <w:rsid w:val="00DF5BEB"/>
    <w:rsid w:val="00DF75FB"/>
    <w:rsid w:val="00E11D71"/>
    <w:rsid w:val="00E12DE7"/>
    <w:rsid w:val="00E15446"/>
    <w:rsid w:val="00E246C7"/>
    <w:rsid w:val="00E35691"/>
    <w:rsid w:val="00E40778"/>
    <w:rsid w:val="00E45C87"/>
    <w:rsid w:val="00E5336E"/>
    <w:rsid w:val="00E65759"/>
    <w:rsid w:val="00E70310"/>
    <w:rsid w:val="00E73226"/>
    <w:rsid w:val="00E87A9B"/>
    <w:rsid w:val="00E95FD4"/>
    <w:rsid w:val="00EA73B7"/>
    <w:rsid w:val="00EB2B3A"/>
    <w:rsid w:val="00EB3E73"/>
    <w:rsid w:val="00EB6455"/>
    <w:rsid w:val="00EC181A"/>
    <w:rsid w:val="00ED0861"/>
    <w:rsid w:val="00EE4BA3"/>
    <w:rsid w:val="00F20B8D"/>
    <w:rsid w:val="00F22E28"/>
    <w:rsid w:val="00F27191"/>
    <w:rsid w:val="00F376E5"/>
    <w:rsid w:val="00F404B1"/>
    <w:rsid w:val="00F408C2"/>
    <w:rsid w:val="00F44CE9"/>
    <w:rsid w:val="00F44D10"/>
    <w:rsid w:val="00F548C9"/>
    <w:rsid w:val="00F76E36"/>
    <w:rsid w:val="00F81556"/>
    <w:rsid w:val="00F90029"/>
    <w:rsid w:val="00F9597B"/>
    <w:rsid w:val="00FA016B"/>
    <w:rsid w:val="00FD10D9"/>
    <w:rsid w:val="00FD4182"/>
    <w:rsid w:val="00FE3524"/>
    <w:rsid w:val="00FE478E"/>
    <w:rsid w:val="00FE4D6A"/>
    <w:rsid w:val="00FF32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FE478E"/>
    <w:pPr>
      <w:keepNext/>
      <w:outlineLvl w:val="0"/>
    </w:pPr>
    <w:rPr>
      <w:rFonts w:ascii="Arial" w:hAnsi="Arial"/>
      <w:b/>
      <w:bCs/>
      <w:sz w:val="16"/>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A550FC"/>
    <w:pPr>
      <w:tabs>
        <w:tab w:val="center" w:pos="4320"/>
        <w:tab w:val="right" w:pos="8640"/>
      </w:tabs>
    </w:p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basedOn w:val="PartiesCounselAgent"/>
    <w:autoRedefine/>
    <w:rsid w:val="00AA1090"/>
    <w:pPr>
      <w:widowControl w:val="0"/>
      <w:numPr>
        <w:numId w:val="11"/>
      </w:numPr>
      <w:spacing w:before="240" w:after="240" w:line="360" w:lineRule="atLeast"/>
      <w:ind w:left="0" w:firstLine="0"/>
    </w:pPr>
    <w:rPr>
      <w:bC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character" w:customStyle="1" w:styleId="BodyTextChar">
    <w:name w:val="#BodyText Char"/>
    <w:link w:val="BodyText"/>
    <w:locked/>
    <w:rsid w:val="001923CB"/>
    <w:rPr>
      <w:sz w:val="24"/>
      <w:szCs w:val="24"/>
    </w:rPr>
  </w:style>
  <w:style w:type="paragraph" w:customStyle="1" w:styleId="BodyText">
    <w:name w:val="#BodyText"/>
    <w:basedOn w:val="Normal"/>
    <w:link w:val="BodyTextChar"/>
    <w:rsid w:val="001923CB"/>
    <w:pPr>
      <w:spacing w:after="240"/>
      <w:jc w:val="both"/>
    </w:pPr>
    <w:rPr>
      <w:lang w:val="en-CA" w:eastAsia="en-CA"/>
    </w:rPr>
  </w:style>
  <w:style w:type="character" w:styleId="CommentReference">
    <w:name w:val="annotation reference"/>
    <w:basedOn w:val="DefaultParagraphFont"/>
    <w:rsid w:val="00834E4A"/>
    <w:rPr>
      <w:sz w:val="16"/>
      <w:szCs w:val="16"/>
    </w:rPr>
  </w:style>
  <w:style w:type="paragraph" w:styleId="CommentText">
    <w:name w:val="annotation text"/>
    <w:basedOn w:val="Normal"/>
    <w:link w:val="CommentTextChar"/>
    <w:rsid w:val="00834E4A"/>
    <w:rPr>
      <w:sz w:val="20"/>
      <w:szCs w:val="20"/>
    </w:rPr>
  </w:style>
  <w:style w:type="character" w:customStyle="1" w:styleId="CommentTextChar">
    <w:name w:val="Comment Text Char"/>
    <w:basedOn w:val="DefaultParagraphFont"/>
    <w:link w:val="CommentText"/>
    <w:rsid w:val="00834E4A"/>
    <w:rPr>
      <w:lang w:val="en-US" w:eastAsia="en-US"/>
    </w:rPr>
  </w:style>
  <w:style w:type="paragraph" w:styleId="CommentSubject">
    <w:name w:val="annotation subject"/>
    <w:basedOn w:val="CommentText"/>
    <w:next w:val="CommentText"/>
    <w:link w:val="CommentSubjectChar"/>
    <w:rsid w:val="00834E4A"/>
    <w:rPr>
      <w:b/>
      <w:bCs/>
    </w:rPr>
  </w:style>
  <w:style w:type="character" w:customStyle="1" w:styleId="CommentSubjectChar">
    <w:name w:val="Comment Subject Char"/>
    <w:basedOn w:val="CommentTextChar"/>
    <w:link w:val="CommentSubject"/>
    <w:rsid w:val="00834E4A"/>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FE478E"/>
    <w:pPr>
      <w:keepNext/>
      <w:outlineLvl w:val="0"/>
    </w:pPr>
    <w:rPr>
      <w:rFonts w:ascii="Arial" w:hAnsi="Arial"/>
      <w:b/>
      <w:bCs/>
      <w:sz w:val="16"/>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A550FC"/>
    <w:pPr>
      <w:tabs>
        <w:tab w:val="center" w:pos="4320"/>
        <w:tab w:val="right" w:pos="8640"/>
      </w:tabs>
    </w:p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basedOn w:val="PartiesCounselAgent"/>
    <w:autoRedefine/>
    <w:rsid w:val="00AA1090"/>
    <w:pPr>
      <w:widowControl w:val="0"/>
      <w:numPr>
        <w:numId w:val="11"/>
      </w:numPr>
      <w:spacing w:before="240" w:after="240" w:line="360" w:lineRule="atLeast"/>
      <w:ind w:left="0" w:firstLine="0"/>
    </w:pPr>
    <w:rPr>
      <w:bC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character" w:customStyle="1" w:styleId="BodyTextChar">
    <w:name w:val="#BodyText Char"/>
    <w:link w:val="BodyText"/>
    <w:locked/>
    <w:rsid w:val="001923CB"/>
    <w:rPr>
      <w:sz w:val="24"/>
      <w:szCs w:val="24"/>
    </w:rPr>
  </w:style>
  <w:style w:type="paragraph" w:customStyle="1" w:styleId="BodyText">
    <w:name w:val="#BodyText"/>
    <w:basedOn w:val="Normal"/>
    <w:link w:val="BodyTextChar"/>
    <w:rsid w:val="001923CB"/>
    <w:pPr>
      <w:spacing w:after="240"/>
      <w:jc w:val="both"/>
    </w:pPr>
    <w:rPr>
      <w:lang w:val="en-CA" w:eastAsia="en-CA"/>
    </w:rPr>
  </w:style>
  <w:style w:type="character" w:styleId="CommentReference">
    <w:name w:val="annotation reference"/>
    <w:basedOn w:val="DefaultParagraphFont"/>
    <w:rsid w:val="00834E4A"/>
    <w:rPr>
      <w:sz w:val="16"/>
      <w:szCs w:val="16"/>
    </w:rPr>
  </w:style>
  <w:style w:type="paragraph" w:styleId="CommentText">
    <w:name w:val="annotation text"/>
    <w:basedOn w:val="Normal"/>
    <w:link w:val="CommentTextChar"/>
    <w:rsid w:val="00834E4A"/>
    <w:rPr>
      <w:sz w:val="20"/>
      <w:szCs w:val="20"/>
    </w:rPr>
  </w:style>
  <w:style w:type="character" w:customStyle="1" w:styleId="CommentTextChar">
    <w:name w:val="Comment Text Char"/>
    <w:basedOn w:val="DefaultParagraphFont"/>
    <w:link w:val="CommentText"/>
    <w:rsid w:val="00834E4A"/>
    <w:rPr>
      <w:lang w:val="en-US" w:eastAsia="en-US"/>
    </w:rPr>
  </w:style>
  <w:style w:type="paragraph" w:styleId="CommentSubject">
    <w:name w:val="annotation subject"/>
    <w:basedOn w:val="CommentText"/>
    <w:next w:val="CommentText"/>
    <w:link w:val="CommentSubjectChar"/>
    <w:rsid w:val="00834E4A"/>
    <w:rPr>
      <w:b/>
      <w:bCs/>
    </w:rPr>
  </w:style>
  <w:style w:type="character" w:customStyle="1" w:styleId="CommentSubjectChar">
    <w:name w:val="Comment Subject Char"/>
    <w:basedOn w:val="CommentTextChar"/>
    <w:link w:val="CommentSubject"/>
    <w:rsid w:val="00834E4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24982">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1573</Words>
  <Characters>8451</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2017-09-13T14:12:00Z</dcterms:created>
  <dcterms:modified xsi:type="dcterms:W3CDTF">2017-09-13T14:37:00Z</dcterms:modified>
</cp:coreProperties>
</file>