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CC0D88">
        <w:trPr>
          <w:trHeight w:val="281"/>
        </w:trPr>
        <w:tc>
          <w:tcPr>
            <w:tcW w:w="5778" w:type="dxa"/>
          </w:tcPr>
          <w:p w:rsidR="006D09B4" w:rsidRPr="001E764F" w:rsidRDefault="006D09B4" w:rsidP="006D09B4">
            <w:pPr>
              <w:rPr>
                <w:rFonts w:ascii="Arial" w:hAnsi="Arial" w:cs="Arial"/>
                <w:b/>
                <w:sz w:val="16"/>
                <w:szCs w:val="16"/>
              </w:rPr>
            </w:pPr>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5DCCE38E" wp14:editId="1842A218">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CC0D88">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CC0D88">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781F5D">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9900E6" w:rsidP="002159B4">
            <w:pPr>
              <w:rPr>
                <w:rFonts w:ascii="Arial" w:hAnsi="Arial" w:cs="Arial"/>
              </w:rPr>
            </w:pPr>
            <w:r>
              <w:rPr>
                <w:rFonts w:ascii="Arial" w:hAnsi="Arial" w:cs="Arial"/>
              </w:rPr>
              <w:t>January 16, 2019</w:t>
            </w:r>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CASE NO(S).:</w:t>
            </w:r>
          </w:p>
        </w:tc>
        <w:tc>
          <w:tcPr>
            <w:tcW w:w="1938" w:type="dxa"/>
            <w:shd w:val="clear" w:color="auto" w:fill="auto"/>
            <w:vAlign w:val="center"/>
          </w:tcPr>
          <w:p w:rsidR="0096299C" w:rsidRPr="001E764F" w:rsidRDefault="00781F5D" w:rsidP="00CC0D88">
            <w:pPr>
              <w:jc w:val="right"/>
              <w:rPr>
                <w:rFonts w:ascii="Arial" w:hAnsi="Arial" w:cs="Arial"/>
              </w:rPr>
            </w:pPr>
            <w:r>
              <w:rPr>
                <w:rFonts w:ascii="Arial" w:hAnsi="Arial" w:cs="Arial"/>
              </w:rPr>
              <w:t>PL170479</w:t>
            </w:r>
          </w:p>
        </w:tc>
      </w:tr>
      <w:tr w:rsidR="00781F5D" w:rsidRPr="001E764F" w:rsidTr="00781F5D">
        <w:tc>
          <w:tcPr>
            <w:tcW w:w="1818" w:type="dxa"/>
            <w:shd w:val="clear" w:color="auto" w:fill="auto"/>
            <w:vAlign w:val="center"/>
          </w:tcPr>
          <w:p w:rsidR="00781F5D" w:rsidRPr="001E764F" w:rsidRDefault="00781F5D" w:rsidP="002159B4">
            <w:pPr>
              <w:rPr>
                <w:rFonts w:ascii="Arial" w:hAnsi="Arial" w:cs="Arial"/>
                <w:b/>
              </w:rPr>
            </w:pPr>
          </w:p>
        </w:tc>
        <w:tc>
          <w:tcPr>
            <w:tcW w:w="3960" w:type="dxa"/>
            <w:shd w:val="clear" w:color="auto" w:fill="auto"/>
            <w:vAlign w:val="center"/>
          </w:tcPr>
          <w:p w:rsidR="00781F5D" w:rsidRDefault="00781F5D" w:rsidP="002159B4">
            <w:pPr>
              <w:rPr>
                <w:rFonts w:ascii="Arial" w:hAnsi="Arial" w:cs="Arial"/>
              </w:rPr>
            </w:pPr>
          </w:p>
        </w:tc>
        <w:tc>
          <w:tcPr>
            <w:tcW w:w="1890" w:type="dxa"/>
            <w:shd w:val="clear" w:color="auto" w:fill="auto"/>
            <w:vAlign w:val="center"/>
          </w:tcPr>
          <w:p w:rsidR="00781F5D" w:rsidRPr="001E764F" w:rsidRDefault="00781F5D" w:rsidP="002159B4">
            <w:pPr>
              <w:rPr>
                <w:rFonts w:ascii="Arial" w:hAnsi="Arial" w:cs="Arial"/>
                <w:b/>
              </w:rPr>
            </w:pPr>
          </w:p>
        </w:tc>
        <w:tc>
          <w:tcPr>
            <w:tcW w:w="1938" w:type="dxa"/>
            <w:shd w:val="clear" w:color="auto" w:fill="auto"/>
            <w:vAlign w:val="center"/>
          </w:tcPr>
          <w:p w:rsidR="00781F5D" w:rsidRDefault="00781F5D" w:rsidP="00781F5D">
            <w:pPr>
              <w:jc w:val="right"/>
              <w:rPr>
                <w:rFonts w:ascii="Arial" w:hAnsi="Arial" w:cs="Arial"/>
              </w:rPr>
            </w:pPr>
            <w:r>
              <w:rPr>
                <w:rFonts w:ascii="Arial" w:hAnsi="Arial" w:cs="Arial"/>
              </w:rPr>
              <w:t>PL180336</w:t>
            </w:r>
          </w:p>
        </w:tc>
      </w:tr>
      <w:tr w:rsidR="00CC0D88" w:rsidRPr="001E764F" w:rsidTr="00781F5D">
        <w:tc>
          <w:tcPr>
            <w:tcW w:w="1818" w:type="dxa"/>
            <w:shd w:val="clear" w:color="auto" w:fill="auto"/>
            <w:vAlign w:val="center"/>
          </w:tcPr>
          <w:p w:rsidR="00CC0D88" w:rsidRPr="001E764F" w:rsidRDefault="00CC0D88" w:rsidP="002159B4">
            <w:pPr>
              <w:rPr>
                <w:rFonts w:ascii="Arial" w:hAnsi="Arial" w:cs="Arial"/>
                <w:b/>
              </w:rPr>
            </w:pPr>
          </w:p>
        </w:tc>
        <w:tc>
          <w:tcPr>
            <w:tcW w:w="3960" w:type="dxa"/>
            <w:shd w:val="clear" w:color="auto" w:fill="auto"/>
            <w:vAlign w:val="center"/>
          </w:tcPr>
          <w:p w:rsidR="00CC0D88" w:rsidRPr="001D67CE" w:rsidRDefault="00CC0D88" w:rsidP="002159B4">
            <w:pPr>
              <w:rPr>
                <w:rFonts w:ascii="Arial" w:hAnsi="Arial" w:cs="Arial"/>
              </w:rPr>
            </w:pPr>
          </w:p>
        </w:tc>
        <w:tc>
          <w:tcPr>
            <w:tcW w:w="1890" w:type="dxa"/>
            <w:shd w:val="clear" w:color="auto" w:fill="auto"/>
            <w:vAlign w:val="center"/>
          </w:tcPr>
          <w:p w:rsidR="00CC0D88" w:rsidRPr="001E764F" w:rsidRDefault="00CC0D88" w:rsidP="002159B4">
            <w:pPr>
              <w:rPr>
                <w:rFonts w:ascii="Arial" w:hAnsi="Arial" w:cs="Arial"/>
                <w:b/>
              </w:rPr>
            </w:pPr>
          </w:p>
        </w:tc>
        <w:tc>
          <w:tcPr>
            <w:tcW w:w="1938" w:type="dxa"/>
            <w:shd w:val="clear" w:color="auto" w:fill="auto"/>
            <w:vAlign w:val="center"/>
          </w:tcPr>
          <w:p w:rsidR="00535BB0" w:rsidRDefault="00535BB0" w:rsidP="00781F5D">
            <w:pPr>
              <w:jc w:val="right"/>
              <w:rPr>
                <w:rFonts w:ascii="Arial" w:hAnsi="Arial" w:cs="Arial"/>
              </w:rPr>
            </w:pPr>
          </w:p>
        </w:tc>
      </w:tr>
    </w:tbl>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rsidTr="00CC0D88">
        <w:tc>
          <w:tcPr>
            <w:tcW w:w="9606" w:type="dxa"/>
            <w:tcBorders>
              <w:top w:val="nil"/>
              <w:left w:val="nil"/>
              <w:bottom w:val="nil"/>
              <w:right w:val="nil"/>
            </w:tcBorders>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bookmarkStart w:id="1" w:name="_GoBack"/>
            <w:bookmarkEnd w:id="1"/>
          </w:p>
        </w:tc>
      </w:tr>
    </w:tbl>
    <w:p w:rsidR="001D67CE" w:rsidRDefault="001D67CE" w:rsidP="00270AAE">
      <w:pPr>
        <w:rPr>
          <w:rFonts w:ascii="Arial" w:hAnsi="Arial" w:cs="Arial"/>
          <w:highlight w:val="yellow"/>
        </w:rPr>
      </w:pPr>
    </w:p>
    <w:p w:rsidR="001D67CE" w:rsidRDefault="001D67CE" w:rsidP="00270AAE">
      <w:pPr>
        <w:rPr>
          <w:rFonts w:ascii="Arial" w:hAnsi="Arial" w:cs="Arial"/>
          <w:highlight w:val="yellow"/>
        </w:rPr>
      </w:pPr>
    </w:p>
    <w:tbl>
      <w:tblPr>
        <w:tblW w:w="9606" w:type="dxa"/>
        <w:tblLook w:val="04A0" w:firstRow="1" w:lastRow="0" w:firstColumn="1" w:lastColumn="0" w:noHBand="0" w:noVBand="1"/>
      </w:tblPr>
      <w:tblGrid>
        <w:gridCol w:w="3652"/>
        <w:gridCol w:w="5954"/>
      </w:tblGrid>
      <w:tr w:rsidR="00CC0D88" w:rsidRPr="00054A35" w:rsidTr="00246184">
        <w:trPr>
          <w:cantSplit/>
          <w:trHeight w:val="732"/>
        </w:trPr>
        <w:tc>
          <w:tcPr>
            <w:tcW w:w="9606" w:type="dxa"/>
            <w:gridSpan w:val="2"/>
            <w:hideMark/>
          </w:tcPr>
          <w:p w:rsidR="00CC0D88" w:rsidRPr="00054A35" w:rsidRDefault="00CC0D88" w:rsidP="00246184">
            <w:pPr>
              <w:rPr>
                <w:rFonts w:ascii="Arial" w:hAnsi="Arial" w:cs="Arial"/>
              </w:rPr>
            </w:pPr>
            <w:r w:rsidRPr="00054A35">
              <w:rPr>
                <w:rFonts w:ascii="Arial" w:hAnsi="Arial" w:cs="Arial"/>
                <w:b/>
              </w:rPr>
              <w:t xml:space="preserve">PROCEEDING COMMENCED UNDER </w:t>
            </w:r>
            <w:r w:rsidRPr="00054A35">
              <w:rPr>
                <w:rFonts w:ascii="Arial" w:hAnsi="Arial" w:cs="Arial"/>
              </w:rPr>
              <w:t xml:space="preserve">subsection 22(7) of the </w:t>
            </w:r>
            <w:r w:rsidRPr="00054A35">
              <w:rPr>
                <w:rFonts w:ascii="Arial" w:hAnsi="Arial" w:cs="Arial"/>
                <w:i/>
              </w:rPr>
              <w:t>Planning Act</w:t>
            </w:r>
            <w:r w:rsidRPr="00054A35">
              <w:rPr>
                <w:rFonts w:ascii="Arial" w:hAnsi="Arial" w:cs="Arial"/>
              </w:rPr>
              <w:t xml:space="preserve">, R.S.O. </w:t>
            </w:r>
          </w:p>
          <w:p w:rsidR="00CC0D88" w:rsidRPr="00054A35" w:rsidRDefault="00CC0D88" w:rsidP="00246184">
            <w:pPr>
              <w:rPr>
                <w:rFonts w:ascii="Arial" w:hAnsi="Arial" w:cs="Arial"/>
              </w:rPr>
            </w:pPr>
            <w:r w:rsidRPr="00054A35">
              <w:rPr>
                <w:rFonts w:ascii="Arial" w:hAnsi="Arial" w:cs="Arial"/>
              </w:rPr>
              <w:t>1990, c. P.13, as amended</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Applicant and Appellant:</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Maple Valley Development Corporation Inc.</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Subject:</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Request to amend the Official Plan - Failure of the City of Mississauga to adopt the requested amendment</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Existing Designation:</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“Residential Low Density 1”</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Proposed Designated: </w:t>
            </w:r>
          </w:p>
        </w:tc>
        <w:tc>
          <w:tcPr>
            <w:tcW w:w="5954" w:type="dxa"/>
            <w:hideMark/>
          </w:tcPr>
          <w:p w:rsidR="00CC0D88" w:rsidRPr="00054A35" w:rsidRDefault="00CC0D88" w:rsidP="003C054E">
            <w:pPr>
              <w:ind w:left="743"/>
              <w:rPr>
                <w:rFonts w:ascii="Arial" w:hAnsi="Arial" w:cs="Arial"/>
                <w:lang w:val="en-CA"/>
              </w:rPr>
            </w:pPr>
            <w:r w:rsidRPr="00054A35">
              <w:rPr>
                <w:rFonts w:ascii="Arial" w:hAnsi="Arial" w:cs="Arial"/>
                <w:lang w:val="en-CA"/>
              </w:rPr>
              <w:t>"Residential Medium Density" and "Residential Low Density II" and to repeal the current Section 16.2.3 .4 ("Special Site 4") for the Applewood Neighbourhood Character Area and replace it with an amended version</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Purpose: </w:t>
            </w:r>
          </w:p>
        </w:tc>
        <w:tc>
          <w:tcPr>
            <w:tcW w:w="5954" w:type="dxa"/>
            <w:hideMark/>
          </w:tcPr>
          <w:p w:rsidR="00CC0D88" w:rsidRPr="00054A35" w:rsidRDefault="00CC0D88" w:rsidP="003C054E">
            <w:pPr>
              <w:ind w:left="743"/>
              <w:rPr>
                <w:rFonts w:ascii="Arial" w:hAnsi="Arial" w:cs="Arial"/>
                <w:lang w:val="en-CA"/>
              </w:rPr>
            </w:pPr>
            <w:r w:rsidRPr="00054A35">
              <w:rPr>
                <w:rFonts w:ascii="Arial" w:hAnsi="Arial" w:cs="Arial"/>
                <w:lang w:val="en-CA"/>
              </w:rPr>
              <w:t xml:space="preserve">To permit 38 three-storey stacked townhouse units, 4 three-storey street townhomes and a public walkway </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Property Address/Description: </w:t>
            </w:r>
          </w:p>
        </w:tc>
        <w:tc>
          <w:tcPr>
            <w:tcW w:w="5954" w:type="dxa"/>
            <w:hideMark/>
          </w:tcPr>
          <w:p w:rsidR="00CC0D88" w:rsidRPr="00054A35" w:rsidRDefault="00CC0D88" w:rsidP="003C054E">
            <w:pPr>
              <w:ind w:left="743"/>
              <w:rPr>
                <w:rFonts w:ascii="Arial" w:hAnsi="Arial" w:cs="Arial"/>
                <w:lang w:val="en-CA"/>
              </w:rPr>
            </w:pPr>
            <w:r w:rsidRPr="00054A35">
              <w:rPr>
                <w:rFonts w:ascii="Arial" w:hAnsi="Arial" w:cs="Arial"/>
                <w:lang w:val="en-CA"/>
              </w:rPr>
              <w:t xml:space="preserve">3111 </w:t>
            </w:r>
            <w:r>
              <w:rPr>
                <w:rFonts w:ascii="Arial" w:hAnsi="Arial" w:cs="Arial"/>
                <w:lang w:val="en-CA"/>
              </w:rPr>
              <w:t>and</w:t>
            </w:r>
            <w:r w:rsidRPr="00054A35">
              <w:rPr>
                <w:rFonts w:ascii="Arial" w:hAnsi="Arial" w:cs="Arial"/>
                <w:lang w:val="en-CA"/>
              </w:rPr>
              <w:t xml:space="preserve"> 3123 Cawthra Road</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Municipality: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City of Mississauga</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Approval Authority File No.: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OPA/OZ-16/001</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OMB Case No.: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PL170479</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OMB File No.: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PL170479</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OMB Case Name: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Maple Valley Development Corporation Inc. v. Mississauga (City)</w:t>
            </w:r>
          </w:p>
        </w:tc>
      </w:tr>
      <w:tr w:rsidR="00CC0D88" w:rsidRPr="00054A35" w:rsidTr="00246184">
        <w:trPr>
          <w:cantSplit/>
          <w:trHeight w:val="732"/>
        </w:trPr>
        <w:tc>
          <w:tcPr>
            <w:tcW w:w="9606" w:type="dxa"/>
            <w:gridSpan w:val="2"/>
          </w:tcPr>
          <w:p w:rsidR="00CC0D88" w:rsidRPr="00054A35" w:rsidRDefault="00CC0D88" w:rsidP="00246184">
            <w:pPr>
              <w:rPr>
                <w:rFonts w:ascii="Arial" w:hAnsi="Arial" w:cs="Arial"/>
                <w:b/>
              </w:rPr>
            </w:pPr>
          </w:p>
          <w:p w:rsidR="00CC0D88" w:rsidRPr="00054A35" w:rsidRDefault="00CC0D88" w:rsidP="00246184">
            <w:pPr>
              <w:rPr>
                <w:rFonts w:ascii="Arial" w:hAnsi="Arial" w:cs="Arial"/>
                <w:b/>
              </w:rPr>
            </w:pPr>
          </w:p>
          <w:p w:rsidR="00CC0D88" w:rsidRPr="00054A35" w:rsidRDefault="00CC0D88" w:rsidP="00246184">
            <w:pPr>
              <w:rPr>
                <w:rFonts w:ascii="Arial" w:hAnsi="Arial" w:cs="Arial"/>
              </w:rPr>
            </w:pPr>
            <w:r w:rsidRPr="00054A35">
              <w:rPr>
                <w:rFonts w:ascii="Arial" w:hAnsi="Arial" w:cs="Arial"/>
                <w:b/>
              </w:rPr>
              <w:t xml:space="preserve">PROCEEDING COMMENCED UNDER </w:t>
            </w:r>
            <w:r w:rsidRPr="00054A35">
              <w:rPr>
                <w:rFonts w:ascii="Arial" w:hAnsi="Arial" w:cs="Arial"/>
              </w:rPr>
              <w:t xml:space="preserve">subsection 34(11) of the Planning Act, R.S.O. </w:t>
            </w:r>
          </w:p>
          <w:p w:rsidR="00CC0D88" w:rsidRPr="00054A35" w:rsidRDefault="00CC0D88" w:rsidP="00246184">
            <w:pPr>
              <w:rPr>
                <w:rFonts w:ascii="Arial" w:hAnsi="Arial" w:cs="Arial"/>
              </w:rPr>
            </w:pPr>
            <w:r w:rsidRPr="00054A35">
              <w:rPr>
                <w:rFonts w:ascii="Arial" w:hAnsi="Arial" w:cs="Arial"/>
              </w:rPr>
              <w:t>1990, c. P.13, as amended</w:t>
            </w:r>
          </w:p>
          <w:p w:rsidR="00CC0D88" w:rsidRPr="00054A35" w:rsidRDefault="00CC0D88" w:rsidP="00246184">
            <w:pPr>
              <w:rPr>
                <w:rFonts w:ascii="Arial" w:hAnsi="Arial" w:cs="Arial"/>
              </w:rPr>
            </w:pP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Applicant and Appellant:</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Maple Valley Development Corporation Inc.</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Subject:</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 xml:space="preserve">Application to amend Zoning By-law No. 0225-2007 - Neglect of  the City of Mississauga to </w:t>
            </w:r>
            <w:r w:rsidRPr="00054A35">
              <w:rPr>
                <w:rFonts w:ascii="Arial" w:hAnsi="Arial" w:cs="Arial"/>
              </w:rPr>
              <w:lastRenderedPageBreak/>
              <w:t>make a decision</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lastRenderedPageBreak/>
              <w:t>Existing Zoning:</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Residential Low Density 1 – Special Site 4</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Proposed Zoning: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 xml:space="preserve">R3 (detached dwellings to RM9 - Exception Horizontal Multiple Dwellings </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Purpose: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 xml:space="preserve">To permit 38 three-storey stacked townhomes and condominium road </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Property Address/Description: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 xml:space="preserve">3111 </w:t>
            </w:r>
            <w:r w:rsidR="003C054E">
              <w:rPr>
                <w:rFonts w:ascii="Arial" w:hAnsi="Arial" w:cs="Arial"/>
              </w:rPr>
              <w:t>and</w:t>
            </w:r>
            <w:r w:rsidRPr="00054A35">
              <w:rPr>
                <w:rFonts w:ascii="Arial" w:hAnsi="Arial" w:cs="Arial"/>
              </w:rPr>
              <w:t xml:space="preserve"> 3123 Cawthra Road</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Municipality: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City of Mississauga</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Municipality File No.: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OPA/OZ-16/001</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OMB Case No.: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PL170479</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OMB File No.: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PL170480</w:t>
            </w:r>
          </w:p>
        </w:tc>
      </w:tr>
    </w:tbl>
    <w:p w:rsidR="00CC0D88" w:rsidRPr="00054A35" w:rsidRDefault="00CC0D88" w:rsidP="00CC0D88">
      <w:pPr>
        <w:rPr>
          <w:rFonts w:ascii="Arial" w:hAnsi="Arial" w:cs="Arial"/>
        </w:rPr>
      </w:pPr>
    </w:p>
    <w:tbl>
      <w:tblPr>
        <w:tblW w:w="9606" w:type="dxa"/>
        <w:tblLook w:val="04A0" w:firstRow="1" w:lastRow="0" w:firstColumn="1" w:lastColumn="0" w:noHBand="0" w:noVBand="1"/>
      </w:tblPr>
      <w:tblGrid>
        <w:gridCol w:w="3652"/>
        <w:gridCol w:w="5954"/>
      </w:tblGrid>
      <w:tr w:rsidR="00CC0D88" w:rsidRPr="00054A35" w:rsidTr="00246184">
        <w:trPr>
          <w:cantSplit/>
          <w:trHeight w:val="732"/>
        </w:trPr>
        <w:tc>
          <w:tcPr>
            <w:tcW w:w="9606" w:type="dxa"/>
            <w:gridSpan w:val="2"/>
            <w:hideMark/>
          </w:tcPr>
          <w:p w:rsidR="00CC0D88" w:rsidRPr="00054A35" w:rsidRDefault="00CC0D88" w:rsidP="00246184">
            <w:pPr>
              <w:rPr>
                <w:rFonts w:ascii="Arial" w:hAnsi="Arial" w:cs="Arial"/>
              </w:rPr>
            </w:pPr>
            <w:r w:rsidRPr="00054A35">
              <w:rPr>
                <w:rFonts w:ascii="Arial" w:hAnsi="Arial" w:cs="Arial"/>
                <w:b/>
              </w:rPr>
              <w:t xml:space="preserve">PROCEEDING COMMENCED UNDER </w:t>
            </w:r>
            <w:r w:rsidRPr="00054A35">
              <w:rPr>
                <w:rFonts w:ascii="Arial" w:hAnsi="Arial" w:cs="Arial"/>
              </w:rPr>
              <w:t xml:space="preserve">subsection 51(34) of the </w:t>
            </w:r>
            <w:r w:rsidRPr="00054A35">
              <w:rPr>
                <w:rFonts w:ascii="Arial" w:hAnsi="Arial" w:cs="Arial"/>
                <w:i/>
              </w:rPr>
              <w:t>Planning Act</w:t>
            </w:r>
            <w:r w:rsidRPr="00054A35">
              <w:rPr>
                <w:rFonts w:ascii="Arial" w:hAnsi="Arial" w:cs="Arial"/>
              </w:rPr>
              <w:t xml:space="preserve">, R.S.O. </w:t>
            </w:r>
          </w:p>
          <w:p w:rsidR="00CC0D88" w:rsidRPr="00054A35" w:rsidRDefault="00CC0D88" w:rsidP="00246184">
            <w:pPr>
              <w:rPr>
                <w:rFonts w:ascii="Arial" w:hAnsi="Arial" w:cs="Arial"/>
              </w:rPr>
            </w:pPr>
            <w:r w:rsidRPr="00054A35">
              <w:rPr>
                <w:rFonts w:ascii="Arial" w:hAnsi="Arial" w:cs="Arial"/>
              </w:rPr>
              <w:t>1990, c. P.13, as amended</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Applicant and Appellant:</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Maple Valley Development Corporation Inc.</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Subject:</w:t>
            </w:r>
          </w:p>
        </w:tc>
        <w:tc>
          <w:tcPr>
            <w:tcW w:w="5954" w:type="dxa"/>
            <w:hideMark/>
          </w:tcPr>
          <w:p w:rsidR="00CC0D88" w:rsidRPr="00054A35" w:rsidRDefault="00CC0D88" w:rsidP="003C054E">
            <w:pPr>
              <w:ind w:left="743" w:right="-108"/>
              <w:rPr>
                <w:rFonts w:ascii="Arial" w:hAnsi="Arial" w:cs="Arial"/>
              </w:rPr>
            </w:pPr>
            <w:r w:rsidRPr="00054A35">
              <w:rPr>
                <w:rFonts w:ascii="Arial" w:hAnsi="Arial" w:cs="Arial"/>
              </w:rPr>
              <w:t>Proposed Plan of Subdivision - Failure of City of Mississauga to make a decision</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Purpose:</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To permit 2 residential blocks, a public walkway and a new public road (a cul-de-sac at the end of Ericson Road)</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Property Address/Description: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 xml:space="preserve">3111 </w:t>
            </w:r>
            <w:r>
              <w:rPr>
                <w:rFonts w:ascii="Arial" w:hAnsi="Arial" w:cs="Arial"/>
              </w:rPr>
              <w:t>and</w:t>
            </w:r>
            <w:r w:rsidRPr="00054A35">
              <w:rPr>
                <w:rFonts w:ascii="Arial" w:hAnsi="Arial" w:cs="Arial"/>
              </w:rPr>
              <w:t xml:space="preserve"> 3123 Cawthra Road</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Municipality: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City of Mississauga</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Municipality File No.: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TM-16/001</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OMB Case No.: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PL170479</w:t>
            </w:r>
          </w:p>
        </w:tc>
      </w:tr>
      <w:tr w:rsidR="00CC0D88" w:rsidRPr="00054A35" w:rsidTr="00246184">
        <w:tc>
          <w:tcPr>
            <w:tcW w:w="3652" w:type="dxa"/>
            <w:hideMark/>
          </w:tcPr>
          <w:p w:rsidR="00CC0D88" w:rsidRPr="00054A35" w:rsidRDefault="00CC0D88" w:rsidP="00246184">
            <w:pPr>
              <w:rPr>
                <w:rFonts w:ascii="Arial" w:hAnsi="Arial" w:cs="Arial"/>
              </w:rPr>
            </w:pPr>
            <w:r w:rsidRPr="00054A35">
              <w:rPr>
                <w:rFonts w:ascii="Arial" w:hAnsi="Arial" w:cs="Arial"/>
              </w:rPr>
              <w:t xml:space="preserve">OMB File No.: </w:t>
            </w:r>
          </w:p>
        </w:tc>
        <w:tc>
          <w:tcPr>
            <w:tcW w:w="5954" w:type="dxa"/>
            <w:hideMark/>
          </w:tcPr>
          <w:p w:rsidR="00CC0D88" w:rsidRPr="00054A35" w:rsidRDefault="00CC0D88" w:rsidP="003C054E">
            <w:pPr>
              <w:ind w:left="743"/>
              <w:rPr>
                <w:rFonts w:ascii="Arial" w:hAnsi="Arial" w:cs="Arial"/>
              </w:rPr>
            </w:pPr>
            <w:r w:rsidRPr="00054A35">
              <w:rPr>
                <w:rFonts w:ascii="Arial" w:hAnsi="Arial" w:cs="Arial"/>
              </w:rPr>
              <w:t>PL170481</w:t>
            </w:r>
          </w:p>
        </w:tc>
      </w:tr>
    </w:tbl>
    <w:p w:rsidR="00CC0D88" w:rsidRPr="00054A35" w:rsidRDefault="00CC0D88" w:rsidP="00CC0D88">
      <w:pPr>
        <w:rPr>
          <w:rFonts w:ascii="Arial" w:hAnsi="Arial" w:cs="Arial"/>
        </w:rPr>
      </w:pPr>
    </w:p>
    <w:tbl>
      <w:tblPr>
        <w:tblW w:w="10068" w:type="dxa"/>
        <w:tblLook w:val="04A0" w:firstRow="1" w:lastRow="0" w:firstColumn="1" w:lastColumn="0" w:noHBand="0" w:noVBand="1"/>
      </w:tblPr>
      <w:tblGrid>
        <w:gridCol w:w="3348"/>
        <w:gridCol w:w="120"/>
        <w:gridCol w:w="5388"/>
        <w:gridCol w:w="1212"/>
      </w:tblGrid>
      <w:tr w:rsidR="00CC0D88" w:rsidRPr="00054A35" w:rsidTr="00246184">
        <w:trPr>
          <w:cantSplit/>
          <w:trHeight w:val="732"/>
        </w:trPr>
        <w:tc>
          <w:tcPr>
            <w:tcW w:w="10068" w:type="dxa"/>
            <w:gridSpan w:val="4"/>
            <w:hideMark/>
          </w:tcPr>
          <w:p w:rsidR="00CC0D88" w:rsidRPr="00054A35" w:rsidRDefault="00CC0D88" w:rsidP="00246184">
            <w:pPr>
              <w:rPr>
                <w:rFonts w:ascii="Arial" w:hAnsi="Arial" w:cs="Arial"/>
              </w:rPr>
            </w:pPr>
            <w:r w:rsidRPr="00054A35">
              <w:rPr>
                <w:rFonts w:ascii="Arial" w:hAnsi="Arial" w:cs="Arial"/>
                <w:b/>
              </w:rPr>
              <w:t xml:space="preserve">PROCEEDING COMMENCED UNDER </w:t>
            </w:r>
            <w:r w:rsidRPr="00054A35">
              <w:rPr>
                <w:rFonts w:ascii="Arial" w:hAnsi="Arial" w:cs="Arial"/>
              </w:rPr>
              <w:t xml:space="preserve">subsection 22(7) of the </w:t>
            </w:r>
            <w:r w:rsidRPr="00054A35">
              <w:rPr>
                <w:rFonts w:ascii="Arial" w:hAnsi="Arial" w:cs="Arial"/>
                <w:i/>
              </w:rPr>
              <w:t>Planning Act</w:t>
            </w:r>
            <w:r w:rsidRPr="00054A35">
              <w:rPr>
                <w:rFonts w:ascii="Arial" w:hAnsi="Arial" w:cs="Arial"/>
              </w:rPr>
              <w:t>, R.S.O. 1990, c. P.13, as amended</w:t>
            </w:r>
          </w:p>
        </w:tc>
      </w:tr>
      <w:tr w:rsidR="00CC0D88" w:rsidRPr="00054A35" w:rsidTr="00246184">
        <w:tc>
          <w:tcPr>
            <w:tcW w:w="3468" w:type="dxa"/>
            <w:gridSpan w:val="2"/>
            <w:hideMark/>
          </w:tcPr>
          <w:p w:rsidR="00CC0D88" w:rsidRPr="00054A35" w:rsidRDefault="00CC0D88" w:rsidP="00246184">
            <w:pPr>
              <w:rPr>
                <w:rFonts w:ascii="Arial" w:hAnsi="Arial" w:cs="Arial"/>
              </w:rPr>
            </w:pPr>
            <w:r w:rsidRPr="00054A35">
              <w:rPr>
                <w:rFonts w:ascii="Arial" w:hAnsi="Arial" w:cs="Arial"/>
              </w:rPr>
              <w:t>Applicant and Appellant:</w:t>
            </w:r>
          </w:p>
        </w:tc>
        <w:tc>
          <w:tcPr>
            <w:tcW w:w="6600" w:type="dxa"/>
            <w:gridSpan w:val="2"/>
            <w:hideMark/>
          </w:tcPr>
          <w:p w:rsidR="00CC0D88" w:rsidRPr="00054A35" w:rsidRDefault="00CC0D88" w:rsidP="003C054E">
            <w:pPr>
              <w:ind w:left="927"/>
              <w:rPr>
                <w:rFonts w:ascii="Arial" w:hAnsi="Arial" w:cs="Arial"/>
              </w:rPr>
            </w:pPr>
            <w:r w:rsidRPr="00054A35">
              <w:rPr>
                <w:rFonts w:ascii="Arial" w:hAnsi="Arial" w:cs="Arial"/>
              </w:rPr>
              <w:t>Sky-Cawthra Development Inc.</w:t>
            </w:r>
          </w:p>
        </w:tc>
      </w:tr>
      <w:tr w:rsidR="00CC0D88" w:rsidRPr="00054A35" w:rsidTr="00246184">
        <w:tc>
          <w:tcPr>
            <w:tcW w:w="3468" w:type="dxa"/>
            <w:gridSpan w:val="2"/>
            <w:hideMark/>
          </w:tcPr>
          <w:p w:rsidR="00CC0D88" w:rsidRPr="00054A35" w:rsidRDefault="00CC0D88" w:rsidP="00246184">
            <w:pPr>
              <w:rPr>
                <w:rFonts w:ascii="Arial" w:hAnsi="Arial" w:cs="Arial"/>
              </w:rPr>
            </w:pPr>
            <w:r w:rsidRPr="00054A35">
              <w:rPr>
                <w:rFonts w:ascii="Arial" w:hAnsi="Arial" w:cs="Arial"/>
              </w:rPr>
              <w:t>Subject:</w:t>
            </w:r>
          </w:p>
        </w:tc>
        <w:tc>
          <w:tcPr>
            <w:tcW w:w="6600" w:type="dxa"/>
            <w:gridSpan w:val="2"/>
            <w:hideMark/>
          </w:tcPr>
          <w:p w:rsidR="00CC0D88" w:rsidRPr="00054A35" w:rsidRDefault="00CC0D88" w:rsidP="003C054E">
            <w:pPr>
              <w:ind w:left="927"/>
              <w:rPr>
                <w:rFonts w:ascii="Arial" w:hAnsi="Arial" w:cs="Arial"/>
              </w:rPr>
            </w:pPr>
            <w:r w:rsidRPr="00054A35">
              <w:rPr>
                <w:rFonts w:ascii="Arial" w:hAnsi="Arial" w:cs="Arial"/>
              </w:rPr>
              <w:t>Request to amend the Official Plan - Failure of  City of Mississauga to adopt the requested amendment</w:t>
            </w:r>
          </w:p>
        </w:tc>
      </w:tr>
      <w:tr w:rsidR="00CC0D88" w:rsidRPr="00054A35" w:rsidTr="00246184">
        <w:tc>
          <w:tcPr>
            <w:tcW w:w="3468" w:type="dxa"/>
            <w:gridSpan w:val="2"/>
            <w:hideMark/>
          </w:tcPr>
          <w:p w:rsidR="00CC0D88" w:rsidRPr="00054A35" w:rsidRDefault="00CC0D88" w:rsidP="00246184">
            <w:pPr>
              <w:rPr>
                <w:rFonts w:ascii="Arial" w:hAnsi="Arial" w:cs="Arial"/>
              </w:rPr>
            </w:pPr>
            <w:r w:rsidRPr="00054A35">
              <w:rPr>
                <w:rFonts w:ascii="Arial" w:hAnsi="Arial" w:cs="Arial"/>
              </w:rPr>
              <w:t>Existing Designation:</w:t>
            </w:r>
          </w:p>
        </w:tc>
        <w:tc>
          <w:tcPr>
            <w:tcW w:w="6600" w:type="dxa"/>
            <w:gridSpan w:val="2"/>
            <w:hideMark/>
          </w:tcPr>
          <w:p w:rsidR="00CC0D88" w:rsidRPr="00054A35" w:rsidRDefault="00CC0D88" w:rsidP="003C054E">
            <w:pPr>
              <w:ind w:left="927"/>
              <w:rPr>
                <w:rFonts w:ascii="Arial" w:hAnsi="Arial" w:cs="Arial"/>
              </w:rPr>
            </w:pPr>
            <w:r w:rsidRPr="00054A35">
              <w:rPr>
                <w:rFonts w:ascii="Arial" w:hAnsi="Arial" w:cs="Arial"/>
              </w:rPr>
              <w:t>Residential Low Density  1</w:t>
            </w:r>
          </w:p>
        </w:tc>
      </w:tr>
      <w:tr w:rsidR="00CC0D88" w:rsidRPr="00054A35" w:rsidTr="00246184">
        <w:tc>
          <w:tcPr>
            <w:tcW w:w="3468" w:type="dxa"/>
            <w:gridSpan w:val="2"/>
            <w:hideMark/>
          </w:tcPr>
          <w:p w:rsidR="00CC0D88" w:rsidRPr="00054A35" w:rsidRDefault="00CC0D88" w:rsidP="00246184">
            <w:pPr>
              <w:rPr>
                <w:rFonts w:ascii="Arial" w:hAnsi="Arial" w:cs="Arial"/>
              </w:rPr>
            </w:pPr>
            <w:r w:rsidRPr="00054A35">
              <w:rPr>
                <w:rFonts w:ascii="Arial" w:hAnsi="Arial" w:cs="Arial"/>
              </w:rPr>
              <w:t xml:space="preserve">Proposed Designated: </w:t>
            </w:r>
          </w:p>
        </w:tc>
        <w:tc>
          <w:tcPr>
            <w:tcW w:w="6600" w:type="dxa"/>
            <w:gridSpan w:val="2"/>
            <w:hideMark/>
          </w:tcPr>
          <w:p w:rsidR="00CC0D88" w:rsidRPr="00054A35" w:rsidRDefault="00CC0D88" w:rsidP="003C054E">
            <w:pPr>
              <w:ind w:left="927"/>
              <w:rPr>
                <w:rFonts w:ascii="Arial" w:hAnsi="Arial" w:cs="Arial"/>
              </w:rPr>
            </w:pPr>
            <w:r w:rsidRPr="00054A35">
              <w:rPr>
                <w:rFonts w:ascii="Arial" w:hAnsi="Arial" w:cs="Arial"/>
              </w:rPr>
              <w:t>Residential Medium Density</w:t>
            </w:r>
          </w:p>
        </w:tc>
      </w:tr>
      <w:tr w:rsidR="00CC0D88" w:rsidRPr="00054A35" w:rsidTr="00246184">
        <w:tc>
          <w:tcPr>
            <w:tcW w:w="3468" w:type="dxa"/>
            <w:gridSpan w:val="2"/>
            <w:hideMark/>
          </w:tcPr>
          <w:p w:rsidR="00CC0D88" w:rsidRPr="00054A35" w:rsidRDefault="00CC0D88" w:rsidP="00246184">
            <w:pPr>
              <w:rPr>
                <w:rFonts w:ascii="Arial" w:hAnsi="Arial" w:cs="Arial"/>
              </w:rPr>
            </w:pPr>
            <w:r w:rsidRPr="00054A35">
              <w:rPr>
                <w:rFonts w:ascii="Arial" w:hAnsi="Arial" w:cs="Arial"/>
              </w:rPr>
              <w:t xml:space="preserve">Purpose: </w:t>
            </w:r>
          </w:p>
        </w:tc>
        <w:tc>
          <w:tcPr>
            <w:tcW w:w="6600" w:type="dxa"/>
            <w:gridSpan w:val="2"/>
            <w:hideMark/>
          </w:tcPr>
          <w:p w:rsidR="00CC0D88" w:rsidRPr="00054A35" w:rsidRDefault="00CC0D88" w:rsidP="003C054E">
            <w:pPr>
              <w:ind w:left="927"/>
              <w:rPr>
                <w:rFonts w:ascii="Arial" w:hAnsi="Arial" w:cs="Arial"/>
              </w:rPr>
            </w:pPr>
            <w:r w:rsidRPr="00054A35">
              <w:rPr>
                <w:rFonts w:ascii="Arial" w:hAnsi="Arial" w:cs="Arial"/>
              </w:rPr>
              <w:t>To permit 6 condominium townhouse units</w:t>
            </w:r>
          </w:p>
        </w:tc>
      </w:tr>
      <w:tr w:rsidR="00CC0D88" w:rsidRPr="00054A35" w:rsidTr="00246184">
        <w:tc>
          <w:tcPr>
            <w:tcW w:w="3468" w:type="dxa"/>
            <w:gridSpan w:val="2"/>
            <w:hideMark/>
          </w:tcPr>
          <w:p w:rsidR="00CC0D88" w:rsidRPr="00054A35" w:rsidRDefault="00CC0D88" w:rsidP="00246184">
            <w:pPr>
              <w:rPr>
                <w:rFonts w:ascii="Arial" w:hAnsi="Arial" w:cs="Arial"/>
              </w:rPr>
            </w:pPr>
            <w:r w:rsidRPr="00054A35">
              <w:rPr>
                <w:rFonts w:ascii="Arial" w:hAnsi="Arial" w:cs="Arial"/>
              </w:rPr>
              <w:t xml:space="preserve">Property Address/Description: </w:t>
            </w:r>
          </w:p>
        </w:tc>
        <w:tc>
          <w:tcPr>
            <w:tcW w:w="6600" w:type="dxa"/>
            <w:gridSpan w:val="2"/>
            <w:hideMark/>
          </w:tcPr>
          <w:p w:rsidR="00CC0D88" w:rsidRPr="00054A35" w:rsidRDefault="00CC0D88" w:rsidP="003C054E">
            <w:pPr>
              <w:ind w:left="927"/>
              <w:rPr>
                <w:rFonts w:ascii="Arial" w:hAnsi="Arial" w:cs="Arial"/>
              </w:rPr>
            </w:pPr>
            <w:r w:rsidRPr="00054A35">
              <w:rPr>
                <w:rFonts w:ascii="Arial" w:hAnsi="Arial" w:cs="Arial"/>
              </w:rPr>
              <w:t>3105 Cawthra Road</w:t>
            </w:r>
          </w:p>
        </w:tc>
      </w:tr>
      <w:tr w:rsidR="00CC0D88" w:rsidRPr="00054A35" w:rsidTr="00246184">
        <w:tc>
          <w:tcPr>
            <w:tcW w:w="3468" w:type="dxa"/>
            <w:gridSpan w:val="2"/>
            <w:hideMark/>
          </w:tcPr>
          <w:p w:rsidR="00CC0D88" w:rsidRPr="00054A35" w:rsidRDefault="00CC0D88" w:rsidP="00246184">
            <w:pPr>
              <w:rPr>
                <w:rFonts w:ascii="Arial" w:hAnsi="Arial" w:cs="Arial"/>
              </w:rPr>
            </w:pPr>
            <w:r w:rsidRPr="00054A35">
              <w:rPr>
                <w:rFonts w:ascii="Arial" w:hAnsi="Arial" w:cs="Arial"/>
              </w:rPr>
              <w:t xml:space="preserve">Municipality: </w:t>
            </w:r>
          </w:p>
        </w:tc>
        <w:tc>
          <w:tcPr>
            <w:tcW w:w="6600" w:type="dxa"/>
            <w:gridSpan w:val="2"/>
            <w:hideMark/>
          </w:tcPr>
          <w:p w:rsidR="00CC0D88" w:rsidRPr="00054A35" w:rsidRDefault="00CC0D88" w:rsidP="003C054E">
            <w:pPr>
              <w:ind w:left="927"/>
              <w:rPr>
                <w:rFonts w:ascii="Arial" w:hAnsi="Arial" w:cs="Arial"/>
              </w:rPr>
            </w:pPr>
            <w:r w:rsidRPr="00054A35">
              <w:rPr>
                <w:rFonts w:ascii="Arial" w:hAnsi="Arial" w:cs="Arial"/>
              </w:rPr>
              <w:t>City of Mississauga</w:t>
            </w:r>
          </w:p>
        </w:tc>
      </w:tr>
      <w:tr w:rsidR="00CC0D88" w:rsidRPr="00054A35" w:rsidTr="00246184">
        <w:tc>
          <w:tcPr>
            <w:tcW w:w="3468" w:type="dxa"/>
            <w:gridSpan w:val="2"/>
            <w:hideMark/>
          </w:tcPr>
          <w:p w:rsidR="00CC0D88" w:rsidRPr="00054A35" w:rsidRDefault="00CC0D88" w:rsidP="00246184">
            <w:pPr>
              <w:rPr>
                <w:rFonts w:ascii="Arial" w:hAnsi="Arial" w:cs="Arial"/>
              </w:rPr>
            </w:pPr>
            <w:r w:rsidRPr="00054A35">
              <w:rPr>
                <w:rFonts w:ascii="Arial" w:hAnsi="Arial" w:cs="Arial"/>
              </w:rPr>
              <w:t xml:space="preserve">Approval Authority File No.: </w:t>
            </w:r>
          </w:p>
        </w:tc>
        <w:tc>
          <w:tcPr>
            <w:tcW w:w="6600" w:type="dxa"/>
            <w:gridSpan w:val="2"/>
            <w:hideMark/>
          </w:tcPr>
          <w:p w:rsidR="00CC0D88" w:rsidRPr="00054A35" w:rsidRDefault="00CC0D88" w:rsidP="003C054E">
            <w:pPr>
              <w:ind w:left="927"/>
              <w:rPr>
                <w:rFonts w:ascii="Arial" w:hAnsi="Arial" w:cs="Arial"/>
              </w:rPr>
            </w:pPr>
            <w:r w:rsidRPr="00054A35">
              <w:rPr>
                <w:rFonts w:ascii="Arial" w:hAnsi="Arial" w:cs="Arial"/>
              </w:rPr>
              <w:t>OZ 17/011 W3</w:t>
            </w:r>
          </w:p>
        </w:tc>
      </w:tr>
      <w:tr w:rsidR="00CC0D88" w:rsidRPr="00054A35" w:rsidTr="00246184">
        <w:tc>
          <w:tcPr>
            <w:tcW w:w="3468" w:type="dxa"/>
            <w:gridSpan w:val="2"/>
            <w:hideMark/>
          </w:tcPr>
          <w:p w:rsidR="00CC0D88" w:rsidRPr="00054A35" w:rsidRDefault="00CC0D88" w:rsidP="00246184">
            <w:pPr>
              <w:rPr>
                <w:rFonts w:ascii="Arial" w:hAnsi="Arial" w:cs="Arial"/>
              </w:rPr>
            </w:pPr>
            <w:r w:rsidRPr="00054A35">
              <w:rPr>
                <w:rFonts w:ascii="Arial" w:hAnsi="Arial" w:cs="Arial"/>
              </w:rPr>
              <w:t xml:space="preserve">OMB Case No.: </w:t>
            </w:r>
          </w:p>
        </w:tc>
        <w:tc>
          <w:tcPr>
            <w:tcW w:w="6600" w:type="dxa"/>
            <w:gridSpan w:val="2"/>
            <w:hideMark/>
          </w:tcPr>
          <w:p w:rsidR="00CC0D88" w:rsidRPr="00054A35" w:rsidRDefault="00CC0D88" w:rsidP="003C054E">
            <w:pPr>
              <w:ind w:left="927"/>
              <w:rPr>
                <w:rFonts w:ascii="Arial" w:hAnsi="Arial" w:cs="Arial"/>
              </w:rPr>
            </w:pPr>
            <w:r w:rsidRPr="00054A35">
              <w:rPr>
                <w:rFonts w:ascii="Arial" w:hAnsi="Arial" w:cs="Arial"/>
              </w:rPr>
              <w:t>PL180336</w:t>
            </w:r>
          </w:p>
        </w:tc>
      </w:tr>
      <w:tr w:rsidR="00CC0D88" w:rsidRPr="00054A35" w:rsidTr="00246184">
        <w:tc>
          <w:tcPr>
            <w:tcW w:w="3468" w:type="dxa"/>
            <w:gridSpan w:val="2"/>
            <w:hideMark/>
          </w:tcPr>
          <w:p w:rsidR="00CC0D88" w:rsidRPr="00054A35" w:rsidRDefault="00CC0D88" w:rsidP="00246184">
            <w:pPr>
              <w:rPr>
                <w:rFonts w:ascii="Arial" w:hAnsi="Arial" w:cs="Arial"/>
              </w:rPr>
            </w:pPr>
            <w:r w:rsidRPr="00054A35">
              <w:rPr>
                <w:rFonts w:ascii="Arial" w:hAnsi="Arial" w:cs="Arial"/>
              </w:rPr>
              <w:t xml:space="preserve">OMB File No.: </w:t>
            </w:r>
          </w:p>
        </w:tc>
        <w:tc>
          <w:tcPr>
            <w:tcW w:w="6600" w:type="dxa"/>
            <w:gridSpan w:val="2"/>
            <w:hideMark/>
          </w:tcPr>
          <w:p w:rsidR="00CC0D88" w:rsidRPr="00054A35" w:rsidRDefault="00CC0D88" w:rsidP="003C054E">
            <w:pPr>
              <w:ind w:left="927"/>
              <w:rPr>
                <w:rFonts w:ascii="Arial" w:hAnsi="Arial" w:cs="Arial"/>
              </w:rPr>
            </w:pPr>
            <w:r w:rsidRPr="00054A35">
              <w:rPr>
                <w:rFonts w:ascii="Arial" w:hAnsi="Arial" w:cs="Arial"/>
              </w:rPr>
              <w:t>PL180336</w:t>
            </w:r>
          </w:p>
        </w:tc>
      </w:tr>
      <w:tr w:rsidR="00CC0D88" w:rsidRPr="00054A35" w:rsidTr="00246184">
        <w:tc>
          <w:tcPr>
            <w:tcW w:w="3468" w:type="dxa"/>
            <w:gridSpan w:val="2"/>
            <w:hideMark/>
          </w:tcPr>
          <w:p w:rsidR="00CC0D88" w:rsidRPr="00054A35" w:rsidRDefault="00CC0D88" w:rsidP="00246184">
            <w:pPr>
              <w:rPr>
                <w:rFonts w:ascii="Arial" w:hAnsi="Arial" w:cs="Arial"/>
              </w:rPr>
            </w:pPr>
            <w:r w:rsidRPr="00054A35">
              <w:rPr>
                <w:rFonts w:ascii="Arial" w:hAnsi="Arial" w:cs="Arial"/>
              </w:rPr>
              <w:t xml:space="preserve">OMB Case Name: </w:t>
            </w:r>
          </w:p>
        </w:tc>
        <w:tc>
          <w:tcPr>
            <w:tcW w:w="6600" w:type="dxa"/>
            <w:gridSpan w:val="2"/>
            <w:hideMark/>
          </w:tcPr>
          <w:p w:rsidR="00CC0D88" w:rsidRPr="00054A35" w:rsidRDefault="00CC0D88" w:rsidP="003C054E">
            <w:pPr>
              <w:ind w:left="927"/>
              <w:rPr>
                <w:rFonts w:ascii="Arial" w:hAnsi="Arial" w:cs="Arial"/>
              </w:rPr>
            </w:pPr>
            <w:r w:rsidRPr="00054A35">
              <w:rPr>
                <w:rFonts w:ascii="Arial" w:hAnsi="Arial" w:cs="Arial"/>
              </w:rPr>
              <w:t>Sky-Cawthra Developments Inc. V. Mississauga (City)</w:t>
            </w:r>
          </w:p>
        </w:tc>
      </w:tr>
      <w:tr w:rsidR="00CC0D88" w:rsidRPr="00054A35" w:rsidTr="00246184">
        <w:tc>
          <w:tcPr>
            <w:tcW w:w="3468" w:type="dxa"/>
            <w:gridSpan w:val="2"/>
          </w:tcPr>
          <w:p w:rsidR="00CC0D88" w:rsidRPr="00054A35" w:rsidRDefault="00CC0D88" w:rsidP="00246184">
            <w:pPr>
              <w:rPr>
                <w:rFonts w:ascii="Arial" w:hAnsi="Arial" w:cs="Arial"/>
              </w:rPr>
            </w:pPr>
          </w:p>
        </w:tc>
        <w:tc>
          <w:tcPr>
            <w:tcW w:w="6600" w:type="dxa"/>
            <w:gridSpan w:val="2"/>
          </w:tcPr>
          <w:p w:rsidR="00CC0D88" w:rsidRPr="00054A35" w:rsidRDefault="00CC0D88" w:rsidP="00246184">
            <w:pPr>
              <w:rPr>
                <w:rFonts w:ascii="Arial" w:hAnsi="Arial" w:cs="Arial"/>
              </w:rPr>
            </w:pPr>
          </w:p>
        </w:tc>
      </w:tr>
      <w:tr w:rsidR="00CC0D88" w:rsidRPr="00054A35" w:rsidTr="00246184">
        <w:trPr>
          <w:gridAfter w:val="1"/>
          <w:wAfter w:w="1212" w:type="dxa"/>
          <w:cantSplit/>
          <w:trHeight w:val="732"/>
        </w:trPr>
        <w:tc>
          <w:tcPr>
            <w:tcW w:w="8856" w:type="dxa"/>
            <w:gridSpan w:val="3"/>
            <w:hideMark/>
          </w:tcPr>
          <w:p w:rsidR="00CC0D88" w:rsidRPr="00054A35" w:rsidRDefault="00CC0D88" w:rsidP="00246184">
            <w:pPr>
              <w:rPr>
                <w:rFonts w:ascii="Arial" w:hAnsi="Arial" w:cs="Arial"/>
              </w:rPr>
            </w:pPr>
            <w:r w:rsidRPr="00054A35">
              <w:rPr>
                <w:rFonts w:ascii="Arial" w:hAnsi="Arial" w:cs="Arial"/>
                <w:b/>
              </w:rPr>
              <w:lastRenderedPageBreak/>
              <w:t xml:space="preserve">PROCEEDING COMMENCED UNDER </w:t>
            </w:r>
            <w:r w:rsidRPr="00054A35">
              <w:rPr>
                <w:rFonts w:ascii="Arial" w:hAnsi="Arial" w:cs="Arial"/>
              </w:rPr>
              <w:t xml:space="preserve">subsection 34(11) of the </w:t>
            </w:r>
            <w:r w:rsidRPr="00054A35">
              <w:rPr>
                <w:rFonts w:ascii="Arial" w:hAnsi="Arial" w:cs="Arial"/>
                <w:i/>
              </w:rPr>
              <w:t>Planning Act</w:t>
            </w:r>
            <w:r w:rsidRPr="00054A35">
              <w:rPr>
                <w:rFonts w:ascii="Arial" w:hAnsi="Arial" w:cs="Arial"/>
              </w:rPr>
              <w:t>, R.S.O. 1990, c. P.13, as amended</w:t>
            </w: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Applicant and Appellant:</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Sky-Cawthra Development Inc.</w:t>
            </w: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Subject:</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Application to amend Zoning By-law No. 0225-2007 - Refusal or neglect of the City of Mississauga to make a decision</w:t>
            </w: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Existing Zoning:</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“R3” Zone</w:t>
            </w: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 xml:space="preserve">Proposed Zoning: </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 xml:space="preserve">“RM6” zone and site specific </w:t>
            </w: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 xml:space="preserve">Purpose: </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To permit 6 condominium townhouse units</w:t>
            </w:r>
          </w:p>
        </w:tc>
      </w:tr>
      <w:tr w:rsidR="00CC0D88" w:rsidRPr="00054A35" w:rsidTr="00246184">
        <w:trPr>
          <w:gridAfter w:val="1"/>
          <w:wAfter w:w="1212" w:type="dxa"/>
        </w:trPr>
        <w:tc>
          <w:tcPr>
            <w:tcW w:w="3348" w:type="dxa"/>
            <w:hideMark/>
          </w:tcPr>
          <w:p w:rsidR="00CC0D88" w:rsidRPr="00054A35" w:rsidRDefault="00CC0D88" w:rsidP="00246184">
            <w:pPr>
              <w:ind w:right="-270"/>
              <w:rPr>
                <w:rFonts w:ascii="Arial" w:hAnsi="Arial" w:cs="Arial"/>
              </w:rPr>
            </w:pPr>
            <w:r w:rsidRPr="00054A35">
              <w:rPr>
                <w:rFonts w:ascii="Arial" w:hAnsi="Arial" w:cs="Arial"/>
              </w:rPr>
              <w:t xml:space="preserve">Property Address/Description: </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3105 Cawthra Road</w:t>
            </w: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 xml:space="preserve">Municipality: </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City of Mississauga</w:t>
            </w: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 xml:space="preserve">Municipality File No.: </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OZ 17/011 W3</w:t>
            </w: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 xml:space="preserve">OMB Case No.: </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PL180336</w:t>
            </w: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 xml:space="preserve">OMB File No.: </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PL180337</w:t>
            </w:r>
          </w:p>
        </w:tc>
      </w:tr>
      <w:tr w:rsidR="00CC0D88" w:rsidRPr="00054A35" w:rsidTr="00246184">
        <w:trPr>
          <w:gridAfter w:val="1"/>
          <w:wAfter w:w="1212" w:type="dxa"/>
          <w:cantSplit/>
          <w:trHeight w:val="732"/>
        </w:trPr>
        <w:tc>
          <w:tcPr>
            <w:tcW w:w="8856" w:type="dxa"/>
            <w:gridSpan w:val="3"/>
            <w:hideMark/>
          </w:tcPr>
          <w:p w:rsidR="00CC0D88" w:rsidRDefault="00CC0D88" w:rsidP="00246184">
            <w:pPr>
              <w:rPr>
                <w:rFonts w:ascii="Arial" w:hAnsi="Arial" w:cs="Arial"/>
                <w:b/>
              </w:rPr>
            </w:pPr>
          </w:p>
          <w:p w:rsidR="00CC0D88" w:rsidRDefault="00CC0D88" w:rsidP="00246184">
            <w:pPr>
              <w:rPr>
                <w:rFonts w:ascii="Arial" w:hAnsi="Arial" w:cs="Arial"/>
              </w:rPr>
            </w:pPr>
            <w:r w:rsidRPr="00054A35">
              <w:rPr>
                <w:rFonts w:ascii="Arial" w:hAnsi="Arial" w:cs="Arial"/>
                <w:b/>
              </w:rPr>
              <w:t xml:space="preserve">PROCEEDING COMMENCED UNDER </w:t>
            </w:r>
            <w:r w:rsidRPr="00054A35">
              <w:rPr>
                <w:rFonts w:ascii="Arial" w:hAnsi="Arial" w:cs="Arial"/>
              </w:rPr>
              <w:t xml:space="preserve">subsection 51(34) of the </w:t>
            </w:r>
            <w:r w:rsidRPr="00054A35">
              <w:rPr>
                <w:rFonts w:ascii="Arial" w:hAnsi="Arial" w:cs="Arial"/>
                <w:i/>
              </w:rPr>
              <w:t>Planning Act</w:t>
            </w:r>
            <w:r w:rsidRPr="00054A35">
              <w:rPr>
                <w:rFonts w:ascii="Arial" w:hAnsi="Arial" w:cs="Arial"/>
              </w:rPr>
              <w:t>, R.S.O. 1990, c. P.13, as amended</w:t>
            </w:r>
          </w:p>
          <w:p w:rsidR="00CC0D88" w:rsidRPr="00054A35" w:rsidRDefault="00CC0D88" w:rsidP="00246184">
            <w:pPr>
              <w:rPr>
                <w:rFonts w:ascii="Arial" w:hAnsi="Arial" w:cs="Arial"/>
              </w:rPr>
            </w:pP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Applicant and Appellant:</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Sky-Cawthra Development Inc.</w:t>
            </w: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Subject:</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Proposed Plan of Subdivision - Failure of  the City of Mississauga to make a decision</w:t>
            </w: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Purpose:</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To permit 6 condominium townhouse units</w:t>
            </w:r>
          </w:p>
        </w:tc>
      </w:tr>
      <w:tr w:rsidR="00CC0D88" w:rsidRPr="00054A35" w:rsidTr="00246184">
        <w:trPr>
          <w:gridAfter w:val="1"/>
          <w:wAfter w:w="1212" w:type="dxa"/>
        </w:trPr>
        <w:tc>
          <w:tcPr>
            <w:tcW w:w="3348" w:type="dxa"/>
            <w:hideMark/>
          </w:tcPr>
          <w:p w:rsidR="00CC0D88" w:rsidRPr="00054A35" w:rsidRDefault="00CC0D88" w:rsidP="00246184">
            <w:pPr>
              <w:ind w:right="-270"/>
              <w:rPr>
                <w:rFonts w:ascii="Arial" w:hAnsi="Arial" w:cs="Arial"/>
              </w:rPr>
            </w:pPr>
            <w:r w:rsidRPr="00054A35">
              <w:rPr>
                <w:rFonts w:ascii="Arial" w:hAnsi="Arial" w:cs="Arial"/>
              </w:rPr>
              <w:t xml:space="preserve">Property Address/Description: </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3105 Cawthra Road</w:t>
            </w: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 xml:space="preserve">Municipality: </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City of Mississauga</w:t>
            </w: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 xml:space="preserve">Municipality File No.: </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T-M 17003 W3</w:t>
            </w:r>
          </w:p>
        </w:tc>
      </w:tr>
      <w:tr w:rsidR="00CC0D88" w:rsidRPr="00054A35" w:rsidTr="00246184">
        <w:trPr>
          <w:gridAfter w:val="1"/>
          <w:wAfter w:w="1212" w:type="dxa"/>
        </w:trPr>
        <w:tc>
          <w:tcPr>
            <w:tcW w:w="3348" w:type="dxa"/>
            <w:hideMark/>
          </w:tcPr>
          <w:p w:rsidR="00CC0D88" w:rsidRPr="00054A35" w:rsidRDefault="00CC0D88" w:rsidP="00246184">
            <w:pPr>
              <w:rPr>
                <w:rFonts w:ascii="Arial" w:hAnsi="Arial" w:cs="Arial"/>
              </w:rPr>
            </w:pPr>
            <w:r w:rsidRPr="00054A35">
              <w:rPr>
                <w:rFonts w:ascii="Arial" w:hAnsi="Arial" w:cs="Arial"/>
              </w:rPr>
              <w:t xml:space="preserve">OMB Case No.: </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PL180336</w:t>
            </w:r>
          </w:p>
        </w:tc>
      </w:tr>
      <w:tr w:rsidR="00CC0D88" w:rsidRPr="00054A35" w:rsidTr="00246184">
        <w:trPr>
          <w:gridAfter w:val="1"/>
          <w:wAfter w:w="1212" w:type="dxa"/>
          <w:trHeight w:val="497"/>
        </w:trPr>
        <w:tc>
          <w:tcPr>
            <w:tcW w:w="3348" w:type="dxa"/>
            <w:hideMark/>
          </w:tcPr>
          <w:p w:rsidR="00CC0D88" w:rsidRPr="00054A35" w:rsidRDefault="00CC0D88" w:rsidP="00246184">
            <w:pPr>
              <w:rPr>
                <w:rFonts w:ascii="Arial" w:hAnsi="Arial" w:cs="Arial"/>
              </w:rPr>
            </w:pPr>
            <w:r w:rsidRPr="00054A35">
              <w:rPr>
                <w:rFonts w:ascii="Arial" w:hAnsi="Arial" w:cs="Arial"/>
              </w:rPr>
              <w:t xml:space="preserve">OMB File No.: </w:t>
            </w:r>
          </w:p>
        </w:tc>
        <w:tc>
          <w:tcPr>
            <w:tcW w:w="5508" w:type="dxa"/>
            <w:gridSpan w:val="2"/>
            <w:hideMark/>
          </w:tcPr>
          <w:p w:rsidR="00CC0D88" w:rsidRPr="00054A35" w:rsidRDefault="00CC0D88" w:rsidP="003C054E">
            <w:pPr>
              <w:ind w:left="1047"/>
              <w:rPr>
                <w:rFonts w:ascii="Arial" w:hAnsi="Arial" w:cs="Arial"/>
              </w:rPr>
            </w:pPr>
            <w:r w:rsidRPr="00054A35">
              <w:rPr>
                <w:rFonts w:ascii="Arial" w:hAnsi="Arial" w:cs="Arial"/>
              </w:rPr>
              <w:t>PL180338</w:t>
            </w:r>
          </w:p>
        </w:tc>
      </w:tr>
    </w:tbl>
    <w:p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3C054E">
        <w:tc>
          <w:tcPr>
            <w:tcW w:w="4338" w:type="dxa"/>
          </w:tcPr>
          <w:p w:rsidR="00B268A7" w:rsidRPr="00C940BC" w:rsidRDefault="00B268A7" w:rsidP="00270AAE">
            <w:pPr>
              <w:rPr>
                <w:rFonts w:ascii="Arial" w:hAnsi="Arial" w:cs="Arial"/>
              </w:rPr>
            </w:pPr>
            <w:r w:rsidRPr="001E764F">
              <w:rPr>
                <w:rFonts w:ascii="Arial" w:hAnsi="Arial" w:cs="Arial"/>
                <w:b/>
              </w:rPr>
              <w:t>Heard:</w:t>
            </w:r>
          </w:p>
        </w:tc>
        <w:tc>
          <w:tcPr>
            <w:tcW w:w="5238" w:type="dxa"/>
          </w:tcPr>
          <w:p w:rsidR="00B268A7" w:rsidRPr="001E764F" w:rsidRDefault="0096299C" w:rsidP="00270AAE">
            <w:pPr>
              <w:rPr>
                <w:rFonts w:ascii="Arial" w:hAnsi="Arial" w:cs="Arial"/>
              </w:rPr>
            </w:pPr>
            <w:r>
              <w:rPr>
                <w:rFonts w:ascii="Arial" w:hAnsi="Arial" w:cs="Arial"/>
              </w:rPr>
              <w:t>November 20, 2018 in Mississauga, Ontario</w:t>
            </w:r>
          </w:p>
        </w:tc>
      </w:tr>
    </w:tbl>
    <w:tbl>
      <w:tblPr>
        <w:tblW w:w="9606" w:type="dxa"/>
        <w:tblLook w:val="0000" w:firstRow="0" w:lastRow="0" w:firstColumn="0" w:lastColumn="0" w:noHBand="0" w:noVBand="0"/>
      </w:tblPr>
      <w:tblGrid>
        <w:gridCol w:w="4361"/>
        <w:gridCol w:w="5245"/>
      </w:tblGrid>
      <w:tr w:rsidR="0089782A" w:rsidRPr="001E764F" w:rsidTr="003C054E">
        <w:tc>
          <w:tcPr>
            <w:tcW w:w="4361" w:type="dxa"/>
          </w:tcPr>
          <w:bookmarkEnd w:id="0"/>
          <w:p w:rsidR="0089782A" w:rsidRPr="00C940BC" w:rsidRDefault="0089782A" w:rsidP="00270AAE">
            <w:pPr>
              <w:rPr>
                <w:rFonts w:ascii="Arial" w:hAnsi="Arial" w:cs="Arial"/>
              </w:rPr>
            </w:pPr>
            <w:r w:rsidRPr="001E764F">
              <w:rPr>
                <w:rFonts w:ascii="Arial" w:hAnsi="Arial" w:cs="Arial"/>
                <w:b/>
              </w:rPr>
              <w:t>APPEARANCES:</w:t>
            </w:r>
          </w:p>
        </w:tc>
        <w:tc>
          <w:tcPr>
            <w:tcW w:w="5245" w:type="dxa"/>
          </w:tcPr>
          <w:p w:rsidR="0089782A" w:rsidRPr="001E764F" w:rsidRDefault="0089782A" w:rsidP="00270AAE">
            <w:pPr>
              <w:rPr>
                <w:rFonts w:ascii="Arial" w:hAnsi="Arial" w:cs="Arial"/>
              </w:rPr>
            </w:pPr>
          </w:p>
        </w:tc>
      </w:tr>
      <w:tr w:rsidR="0089782A" w:rsidRPr="001E764F" w:rsidTr="003C054E">
        <w:tc>
          <w:tcPr>
            <w:tcW w:w="4361" w:type="dxa"/>
          </w:tcPr>
          <w:p w:rsidR="0089782A" w:rsidRPr="001E764F" w:rsidRDefault="0089782A" w:rsidP="00270AAE">
            <w:pPr>
              <w:rPr>
                <w:rFonts w:ascii="Arial" w:hAnsi="Arial" w:cs="Arial"/>
              </w:rPr>
            </w:pPr>
          </w:p>
        </w:tc>
        <w:tc>
          <w:tcPr>
            <w:tcW w:w="5245" w:type="dxa"/>
          </w:tcPr>
          <w:p w:rsidR="0089782A" w:rsidRPr="001E764F" w:rsidRDefault="0089782A" w:rsidP="00270AAE">
            <w:pPr>
              <w:rPr>
                <w:rFonts w:ascii="Arial" w:hAnsi="Arial" w:cs="Arial"/>
              </w:rPr>
            </w:pPr>
          </w:p>
        </w:tc>
      </w:tr>
      <w:tr w:rsidR="008046EB" w:rsidRPr="001E764F" w:rsidTr="003C054E">
        <w:tc>
          <w:tcPr>
            <w:tcW w:w="4361" w:type="dxa"/>
          </w:tcPr>
          <w:p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CF3F96" w:rsidRPr="001E764F" w:rsidTr="000731FC">
        <w:tc>
          <w:tcPr>
            <w:tcW w:w="4361" w:type="dxa"/>
          </w:tcPr>
          <w:p w:rsidR="00CF3F96" w:rsidRPr="001E764F" w:rsidRDefault="00CF3F96" w:rsidP="00270AAE">
            <w:pPr>
              <w:rPr>
                <w:rFonts w:ascii="Arial" w:hAnsi="Arial" w:cs="Arial"/>
              </w:rPr>
            </w:pPr>
          </w:p>
        </w:tc>
        <w:tc>
          <w:tcPr>
            <w:tcW w:w="5245" w:type="dxa"/>
          </w:tcPr>
          <w:p w:rsidR="00CF3F96" w:rsidRPr="001D67CE" w:rsidRDefault="00CF3F96" w:rsidP="00270AAE">
            <w:pPr>
              <w:rPr>
                <w:rFonts w:ascii="Arial" w:hAnsi="Arial" w:cs="Arial"/>
              </w:rPr>
            </w:pPr>
          </w:p>
        </w:tc>
      </w:tr>
      <w:tr w:rsidR="001D67CE" w:rsidRPr="001E764F" w:rsidTr="000731FC">
        <w:tc>
          <w:tcPr>
            <w:tcW w:w="4361" w:type="dxa"/>
          </w:tcPr>
          <w:p w:rsidR="001D67CE" w:rsidRPr="001E764F" w:rsidRDefault="003A64BB" w:rsidP="000731FC">
            <w:pPr>
              <w:rPr>
                <w:rFonts w:ascii="Arial" w:hAnsi="Arial" w:cs="Arial"/>
              </w:rPr>
            </w:pPr>
            <w:r>
              <w:rPr>
                <w:rFonts w:ascii="Arial" w:hAnsi="Arial" w:cs="Arial"/>
              </w:rPr>
              <w:t>Sky</w:t>
            </w:r>
            <w:r w:rsidR="000731FC">
              <w:rPr>
                <w:rFonts w:ascii="Arial" w:hAnsi="Arial" w:cs="Arial"/>
              </w:rPr>
              <w:t>-</w:t>
            </w:r>
            <w:r>
              <w:rPr>
                <w:rFonts w:ascii="Arial" w:hAnsi="Arial" w:cs="Arial"/>
              </w:rPr>
              <w:t>Cawthra Development Inc.</w:t>
            </w:r>
          </w:p>
        </w:tc>
        <w:tc>
          <w:tcPr>
            <w:tcW w:w="5245" w:type="dxa"/>
          </w:tcPr>
          <w:p w:rsidR="001D67CE" w:rsidRPr="001D67CE" w:rsidRDefault="003A64BB" w:rsidP="00270AAE">
            <w:pPr>
              <w:rPr>
                <w:rFonts w:ascii="Arial" w:hAnsi="Arial" w:cs="Arial"/>
              </w:rPr>
            </w:pPr>
            <w:r>
              <w:rPr>
                <w:rFonts w:ascii="Arial" w:hAnsi="Arial" w:cs="Arial"/>
              </w:rPr>
              <w:t>Chris Tanzola</w:t>
            </w:r>
          </w:p>
        </w:tc>
      </w:tr>
      <w:tr w:rsidR="003C054E" w:rsidRPr="001E764F" w:rsidTr="000731FC">
        <w:tc>
          <w:tcPr>
            <w:tcW w:w="4361" w:type="dxa"/>
          </w:tcPr>
          <w:p w:rsidR="003C054E" w:rsidRDefault="003C054E" w:rsidP="00270AAE">
            <w:pPr>
              <w:rPr>
                <w:rFonts w:ascii="Arial" w:hAnsi="Arial" w:cs="Arial"/>
              </w:rPr>
            </w:pPr>
          </w:p>
        </w:tc>
        <w:tc>
          <w:tcPr>
            <w:tcW w:w="5245" w:type="dxa"/>
          </w:tcPr>
          <w:p w:rsidR="003C054E" w:rsidRDefault="003C054E" w:rsidP="00270AAE">
            <w:pPr>
              <w:rPr>
                <w:rFonts w:ascii="Arial" w:hAnsi="Arial" w:cs="Arial"/>
              </w:rPr>
            </w:pPr>
          </w:p>
        </w:tc>
      </w:tr>
      <w:tr w:rsidR="001D67CE" w:rsidRPr="001E764F" w:rsidTr="000731FC">
        <w:tc>
          <w:tcPr>
            <w:tcW w:w="4361" w:type="dxa"/>
          </w:tcPr>
          <w:p w:rsidR="001D67CE" w:rsidRPr="001E764F" w:rsidRDefault="003A64BB" w:rsidP="00270AAE">
            <w:pPr>
              <w:rPr>
                <w:rFonts w:ascii="Arial" w:hAnsi="Arial" w:cs="Arial"/>
              </w:rPr>
            </w:pPr>
            <w:r>
              <w:rPr>
                <w:rFonts w:ascii="Arial" w:hAnsi="Arial" w:cs="Arial"/>
              </w:rPr>
              <w:t>Maple Valley Development Corporation Inc.</w:t>
            </w:r>
          </w:p>
        </w:tc>
        <w:tc>
          <w:tcPr>
            <w:tcW w:w="5245" w:type="dxa"/>
          </w:tcPr>
          <w:p w:rsidR="001D67CE" w:rsidRPr="001D67CE" w:rsidRDefault="003A64BB" w:rsidP="00270AAE">
            <w:pPr>
              <w:rPr>
                <w:rFonts w:ascii="Arial" w:hAnsi="Arial" w:cs="Arial"/>
              </w:rPr>
            </w:pPr>
            <w:r>
              <w:rPr>
                <w:rFonts w:ascii="Arial" w:hAnsi="Arial" w:cs="Arial"/>
              </w:rPr>
              <w:t>Kailey Sutton</w:t>
            </w:r>
          </w:p>
        </w:tc>
      </w:tr>
      <w:tr w:rsidR="003C054E" w:rsidRPr="001E764F" w:rsidTr="000731FC">
        <w:tc>
          <w:tcPr>
            <w:tcW w:w="4361" w:type="dxa"/>
          </w:tcPr>
          <w:p w:rsidR="003C054E" w:rsidRDefault="003C054E" w:rsidP="00270AAE">
            <w:pPr>
              <w:rPr>
                <w:rFonts w:ascii="Arial" w:hAnsi="Arial" w:cs="Arial"/>
              </w:rPr>
            </w:pPr>
          </w:p>
        </w:tc>
        <w:tc>
          <w:tcPr>
            <w:tcW w:w="5245" w:type="dxa"/>
          </w:tcPr>
          <w:p w:rsidR="003C054E" w:rsidRDefault="003C054E" w:rsidP="00270AAE">
            <w:pPr>
              <w:rPr>
                <w:rFonts w:ascii="Arial" w:hAnsi="Arial" w:cs="Arial"/>
              </w:rPr>
            </w:pPr>
          </w:p>
        </w:tc>
      </w:tr>
      <w:tr w:rsidR="001D67CE" w:rsidRPr="001E764F" w:rsidTr="000731FC">
        <w:tc>
          <w:tcPr>
            <w:tcW w:w="4361" w:type="dxa"/>
          </w:tcPr>
          <w:p w:rsidR="001D67CE" w:rsidRPr="001E764F" w:rsidRDefault="003A64BB" w:rsidP="00270AAE">
            <w:pPr>
              <w:rPr>
                <w:rFonts w:ascii="Arial" w:hAnsi="Arial" w:cs="Arial"/>
              </w:rPr>
            </w:pPr>
            <w:r>
              <w:rPr>
                <w:rFonts w:ascii="Arial" w:hAnsi="Arial" w:cs="Arial"/>
              </w:rPr>
              <w:t>City of Mississauga</w:t>
            </w:r>
          </w:p>
        </w:tc>
        <w:tc>
          <w:tcPr>
            <w:tcW w:w="5245" w:type="dxa"/>
          </w:tcPr>
          <w:p w:rsidR="001D67CE" w:rsidRPr="001D67CE" w:rsidRDefault="003A64BB" w:rsidP="00270AAE">
            <w:pPr>
              <w:rPr>
                <w:rFonts w:ascii="Arial" w:hAnsi="Arial" w:cs="Arial"/>
              </w:rPr>
            </w:pPr>
            <w:r>
              <w:rPr>
                <w:rFonts w:ascii="Arial" w:hAnsi="Arial" w:cs="Arial"/>
              </w:rPr>
              <w:t>Michal Minkowski</w:t>
            </w:r>
          </w:p>
        </w:tc>
      </w:tr>
      <w:tr w:rsidR="000731FC" w:rsidRPr="001E764F" w:rsidTr="000731FC">
        <w:tc>
          <w:tcPr>
            <w:tcW w:w="4361" w:type="dxa"/>
          </w:tcPr>
          <w:p w:rsidR="000731FC" w:rsidRDefault="000731FC" w:rsidP="00270AAE">
            <w:pPr>
              <w:rPr>
                <w:rFonts w:ascii="Arial" w:hAnsi="Arial" w:cs="Arial"/>
              </w:rPr>
            </w:pPr>
          </w:p>
        </w:tc>
        <w:tc>
          <w:tcPr>
            <w:tcW w:w="5245" w:type="dxa"/>
          </w:tcPr>
          <w:p w:rsidR="000731FC" w:rsidRDefault="000731FC" w:rsidP="00270AAE">
            <w:pPr>
              <w:rPr>
                <w:rFonts w:ascii="Arial" w:hAnsi="Arial" w:cs="Arial"/>
              </w:rPr>
            </w:pPr>
          </w:p>
        </w:tc>
      </w:tr>
      <w:tr w:rsidR="000731FC" w:rsidRPr="001E764F" w:rsidTr="000731FC">
        <w:tc>
          <w:tcPr>
            <w:tcW w:w="4361" w:type="dxa"/>
          </w:tcPr>
          <w:p w:rsidR="000731FC" w:rsidRDefault="000731FC" w:rsidP="00270AAE">
            <w:pPr>
              <w:rPr>
                <w:rFonts w:ascii="Arial" w:hAnsi="Arial" w:cs="Arial"/>
              </w:rPr>
            </w:pPr>
            <w:r>
              <w:rPr>
                <w:rFonts w:ascii="Arial" w:hAnsi="Arial" w:cs="Arial"/>
              </w:rPr>
              <w:lastRenderedPageBreak/>
              <w:t>Regional Municipality of Peel</w:t>
            </w:r>
          </w:p>
        </w:tc>
        <w:tc>
          <w:tcPr>
            <w:tcW w:w="5245" w:type="dxa"/>
          </w:tcPr>
          <w:p w:rsidR="000731FC" w:rsidRDefault="000731FC" w:rsidP="00270AAE">
            <w:pPr>
              <w:rPr>
                <w:rFonts w:ascii="Arial" w:hAnsi="Arial" w:cs="Arial"/>
              </w:rPr>
            </w:pPr>
            <w:r>
              <w:rPr>
                <w:rFonts w:ascii="Arial" w:hAnsi="Arial" w:cs="Arial"/>
              </w:rPr>
              <w:t>Rachel Godley</w:t>
            </w:r>
          </w:p>
        </w:tc>
      </w:tr>
      <w:tr w:rsidR="001D67CE" w:rsidRPr="001E764F" w:rsidTr="000731FC">
        <w:tc>
          <w:tcPr>
            <w:tcW w:w="4361" w:type="dxa"/>
          </w:tcPr>
          <w:p w:rsidR="001D67CE" w:rsidRPr="001E764F" w:rsidRDefault="001D67CE" w:rsidP="00270AAE">
            <w:pPr>
              <w:rPr>
                <w:rFonts w:ascii="Arial" w:hAnsi="Arial" w:cs="Arial"/>
              </w:rPr>
            </w:pPr>
          </w:p>
        </w:tc>
        <w:tc>
          <w:tcPr>
            <w:tcW w:w="5245" w:type="dxa"/>
          </w:tcPr>
          <w:p w:rsidR="001D67CE" w:rsidRPr="001D67CE" w:rsidRDefault="001D67CE" w:rsidP="00270AAE">
            <w:pPr>
              <w:rPr>
                <w:rFonts w:ascii="Arial" w:hAnsi="Arial" w:cs="Arial"/>
              </w:rPr>
            </w:pPr>
          </w:p>
        </w:tc>
      </w:tr>
    </w:tbl>
    <w:p w:rsidR="000731FC" w:rsidRDefault="000731FC" w:rsidP="003C054E">
      <w:pPr>
        <w:pStyle w:val="DecisionDeliveredby"/>
        <w:pBdr>
          <w:bottom w:val="single" w:sz="4" w:space="1" w:color="auto"/>
        </w:pBdr>
        <w:rPr>
          <w:rFonts w:cs="Arial"/>
        </w:rPr>
      </w:pPr>
    </w:p>
    <w:p w:rsidR="00D265BD" w:rsidRPr="003C054E" w:rsidRDefault="0096299C" w:rsidP="003C054E">
      <w:pPr>
        <w:pStyle w:val="DecisionDeliveredby"/>
        <w:pBdr>
          <w:bottom w:val="single" w:sz="4" w:space="1" w:color="auto"/>
        </w:pBdr>
        <w:rPr>
          <w:rFonts w:cs="Arial"/>
          <w:b w:val="0"/>
        </w:rPr>
      </w:pPr>
      <w:r w:rsidRPr="0096299C">
        <w:rPr>
          <w:rFonts w:cs="Arial"/>
        </w:rPr>
        <w:t>MEMORANDUM OF ORA</w:t>
      </w:r>
      <w:r>
        <w:rPr>
          <w:rFonts w:cs="Arial"/>
        </w:rPr>
        <w:t>L DECISION DELIVERED BY JOHN DOUGLAS ON NOVEMBER 20, 2018</w:t>
      </w:r>
      <w:r w:rsidRPr="0096299C">
        <w:rPr>
          <w:rFonts w:cs="Arial"/>
        </w:rPr>
        <w:t xml:space="preserve"> AND</w:t>
      </w:r>
      <w:r>
        <w:rPr>
          <w:rFonts w:cs="Arial"/>
        </w:rPr>
        <w:t xml:space="preserve"> </w:t>
      </w:r>
      <w:r w:rsidRPr="0096299C">
        <w:rPr>
          <w:rFonts w:cs="Arial"/>
        </w:rPr>
        <w:t>ORDER OF THE TRIBUNAL</w:t>
      </w:r>
    </w:p>
    <w:p w:rsidR="00935095" w:rsidRPr="003C054E" w:rsidRDefault="00935095" w:rsidP="003C054E">
      <w:pPr>
        <w:pStyle w:val="Heading1"/>
        <w:spacing w:beforeLines="150" w:before="360" w:afterLines="150" w:after="360"/>
      </w:pPr>
      <w:r w:rsidRPr="00AC548D">
        <w:t>INTRODUCTION</w:t>
      </w:r>
    </w:p>
    <w:p w:rsidR="00E15006" w:rsidRDefault="008A3C0E" w:rsidP="003C054E">
      <w:pPr>
        <w:pStyle w:val="DecisionBody"/>
        <w:spacing w:beforeLines="150" w:before="360" w:afterLines="150" w:after="360"/>
      </w:pPr>
      <w:r>
        <w:t>This Pre-hearing Conference (“PHC”) was held with respect to two Local Planning Appeal Tribunal (</w:t>
      </w:r>
      <w:r w:rsidR="00947A89">
        <w:t xml:space="preserve"> “Tribunal”</w:t>
      </w:r>
      <w:r>
        <w:t>) files</w:t>
      </w:r>
      <w:r w:rsidR="00E15006">
        <w:t>,</w:t>
      </w:r>
      <w:r w:rsidR="00702986">
        <w:t xml:space="preserve"> PL180336 and PL170479</w:t>
      </w:r>
      <w:r>
        <w:t>.</w:t>
      </w:r>
      <w:r w:rsidR="00E15006">
        <w:t xml:space="preserve"> The properties related to these appeals </w:t>
      </w:r>
      <w:r w:rsidR="009D257E">
        <w:t>are adjacent to each other but</w:t>
      </w:r>
      <w:r w:rsidR="00E15006">
        <w:t xml:space="preserve"> owned by t</w:t>
      </w:r>
      <w:r w:rsidR="009D257E">
        <w:t>wo separate entities. T</w:t>
      </w:r>
      <w:r w:rsidR="00C751B4">
        <w:t>o address the interests of the Parties and</w:t>
      </w:r>
      <w:r w:rsidR="009D257E">
        <w:t xml:space="preserve"> the City of Mississauga (the “City”)</w:t>
      </w:r>
      <w:r w:rsidR="00E15006">
        <w:t xml:space="preserve"> </w:t>
      </w:r>
      <w:r w:rsidR="00535BB0">
        <w:t xml:space="preserve">in an efficient manner, </w:t>
      </w:r>
      <w:r w:rsidR="00702986">
        <w:t>the parties are requesting that these two files be</w:t>
      </w:r>
      <w:r w:rsidR="00E15006">
        <w:t xml:space="preserve"> consolidate</w:t>
      </w:r>
      <w:r w:rsidR="00702986">
        <w:t>d</w:t>
      </w:r>
      <w:r w:rsidR="00E15006">
        <w:t xml:space="preserve"> for the purpose of a hearing before the Tribunal.</w:t>
      </w:r>
    </w:p>
    <w:p w:rsidR="00935095" w:rsidRDefault="008A3C0E" w:rsidP="003C054E">
      <w:pPr>
        <w:pStyle w:val="DecisionBody"/>
        <w:spacing w:beforeLines="150" w:before="360" w:afterLines="150" w:after="360"/>
      </w:pPr>
      <w:r>
        <w:t>In both files the applicants/appellants h</w:t>
      </w:r>
      <w:r w:rsidR="00535BB0">
        <w:t>ave appealed the failure of the</w:t>
      </w:r>
      <w:r>
        <w:t xml:space="preserve"> to make a decision on an Official Plan Amendment (“OPA”), a Zoning By-law Amendment (“ZBLA”) and a draft Plan of Subdivision for their respective properties.</w:t>
      </w:r>
    </w:p>
    <w:p w:rsidR="00375C73" w:rsidRDefault="008A3C0E" w:rsidP="003C054E">
      <w:pPr>
        <w:pStyle w:val="DecisionBody"/>
        <w:spacing w:beforeLines="150" w:before="360" w:afterLines="150" w:after="360"/>
      </w:pPr>
      <w:r>
        <w:t>The appeal</w:t>
      </w:r>
      <w:r w:rsidR="00E15006">
        <w:t>s</w:t>
      </w:r>
      <w:r>
        <w:t xml:space="preserve"> by Maple Valley Development Corporation Inc. </w:t>
      </w:r>
      <w:r w:rsidR="003C054E">
        <w:t xml:space="preserve">(“Maple Development”) </w:t>
      </w:r>
      <w:r>
        <w:t xml:space="preserve">(LPAT file PL170479) </w:t>
      </w:r>
      <w:r w:rsidR="00307050">
        <w:t>is with respect to property</w:t>
      </w:r>
      <w:r w:rsidR="00E15006">
        <w:t xml:space="preserve"> know</w:t>
      </w:r>
      <w:r w:rsidR="00307050">
        <w:t>n</w:t>
      </w:r>
      <w:r w:rsidR="00E15006">
        <w:t xml:space="preserve"> municipally as 3111 </w:t>
      </w:r>
      <w:r w:rsidR="003C054E">
        <w:t>and</w:t>
      </w:r>
      <w:r w:rsidR="00485FFA">
        <w:t xml:space="preserve"> </w:t>
      </w:r>
      <w:r w:rsidR="00E15006">
        <w:t>3123 Cawthra Road, in the City of Mississauga</w:t>
      </w:r>
      <w:r>
        <w:t xml:space="preserve">. </w:t>
      </w:r>
      <w:r w:rsidR="00E15006">
        <w:t>The purpose of the original applications is</w:t>
      </w:r>
      <w:r w:rsidR="00307050">
        <w:t xml:space="preserve"> to permit </w:t>
      </w:r>
      <w:r w:rsidR="00E15006">
        <w:t xml:space="preserve">development of this property for 38 three-storey </w:t>
      </w:r>
      <w:r w:rsidR="00307050">
        <w:t>stacked townhomes, 4 three</w:t>
      </w:r>
      <w:r w:rsidR="00485FFA">
        <w:t>-</w:t>
      </w:r>
      <w:r w:rsidR="00307050">
        <w:t>storey street townhomes, a public pathway and the completion of a new public road (cul-de-sac).</w:t>
      </w:r>
    </w:p>
    <w:p w:rsidR="00170548" w:rsidRDefault="00E15006" w:rsidP="003C054E">
      <w:pPr>
        <w:pStyle w:val="DecisionBody"/>
        <w:spacing w:beforeLines="150" w:before="360" w:afterLines="150" w:after="360"/>
      </w:pPr>
      <w:r>
        <w:t xml:space="preserve">The appeal by </w:t>
      </w:r>
      <w:r w:rsidR="008A3C0E">
        <w:t>Sky</w:t>
      </w:r>
      <w:r w:rsidR="000731FC">
        <w:t>-</w:t>
      </w:r>
      <w:r w:rsidR="008A3C0E">
        <w:t>Cawthra Development Inc.</w:t>
      </w:r>
      <w:r w:rsidR="003C054E">
        <w:t xml:space="preserve"> (“Sky</w:t>
      </w:r>
      <w:r w:rsidR="000731FC">
        <w:t>-</w:t>
      </w:r>
      <w:r w:rsidR="003C054E">
        <w:t>Cawthra”)</w:t>
      </w:r>
      <w:r w:rsidR="008A3C0E">
        <w:t xml:space="preserve"> </w:t>
      </w:r>
      <w:r>
        <w:t>(</w:t>
      </w:r>
      <w:r w:rsidR="00947A89">
        <w:t xml:space="preserve">Tribunal </w:t>
      </w:r>
      <w:r>
        <w:t>file PL180336) is with respect</w:t>
      </w:r>
      <w:r w:rsidR="00307050">
        <w:t xml:space="preserve"> to property known municipally as 3105 Cawthra Road, in the City of Mississauga. The purpose of the original application is to permit development of this property for six condominium townhouse units.</w:t>
      </w:r>
    </w:p>
    <w:p w:rsidR="00935095" w:rsidRDefault="00307050" w:rsidP="003C054E">
      <w:pPr>
        <w:pStyle w:val="DecisionBody"/>
        <w:spacing w:beforeLines="150" w:before="360" w:afterLines="150" w:after="360"/>
      </w:pPr>
      <w:r>
        <w:t xml:space="preserve">The Affidavit of Service </w:t>
      </w:r>
      <w:r w:rsidR="00093B9B">
        <w:t>for PL170479 was entered as Exhibit 1 at a previous PHC. The Affidavit of Service for PL180336 was entered as Exhibit 2 at this PHC.</w:t>
      </w:r>
    </w:p>
    <w:p w:rsidR="00F92019" w:rsidRPr="00AC548D" w:rsidRDefault="00F92019" w:rsidP="003C054E">
      <w:pPr>
        <w:pStyle w:val="Heading1"/>
        <w:spacing w:beforeLines="150" w:before="360" w:afterLines="150" w:after="360"/>
      </w:pPr>
      <w:r>
        <w:lastRenderedPageBreak/>
        <w:t>Consolidation</w:t>
      </w:r>
    </w:p>
    <w:p w:rsidR="00935095" w:rsidRDefault="00F92019" w:rsidP="003C054E">
      <w:pPr>
        <w:pStyle w:val="DecisionBody"/>
        <w:spacing w:beforeLines="150" w:before="360" w:afterLines="150" w:after="360"/>
      </w:pPr>
      <w:r>
        <w:t xml:space="preserve">Chris Tanzola advised that the applicants were requesting the Tribunal consolidate these files. </w:t>
      </w:r>
    </w:p>
    <w:p w:rsidR="0047735B" w:rsidRDefault="00F92019" w:rsidP="003C054E">
      <w:pPr>
        <w:pStyle w:val="DecisionBody"/>
        <w:spacing w:beforeLines="150" w:before="360" w:afterLines="150" w:after="360"/>
      </w:pPr>
      <w:r>
        <w:t xml:space="preserve">Mr. Tanzola advised that the two properties have frontage on Cawthra Road </w:t>
      </w:r>
      <w:r w:rsidR="00CD42F6">
        <w:t xml:space="preserve">and are adjacent to each other. Mr. Tanzola indicated the City </w:t>
      </w:r>
      <w:r w:rsidR="00F1179A">
        <w:t xml:space="preserve">had </w:t>
      </w:r>
      <w:r w:rsidR="00CD42F6">
        <w:t>expressed a concern with respect to the number and location of access points to Cawthra Road from the subject properties. T</w:t>
      </w:r>
      <w:r w:rsidR="00F1179A">
        <w:t>o address this and other concerns</w:t>
      </w:r>
      <w:r w:rsidR="00CD42F6">
        <w:t xml:space="preserve"> </w:t>
      </w:r>
      <w:r w:rsidR="0047735B">
        <w:t>Sky</w:t>
      </w:r>
      <w:r w:rsidR="000731FC">
        <w:t>-</w:t>
      </w:r>
      <w:r w:rsidR="0047735B">
        <w:t xml:space="preserve">Cawthra and Maple Development jointly developed an alternate concept </w:t>
      </w:r>
      <w:r w:rsidR="00F1179A">
        <w:t xml:space="preserve">plan </w:t>
      </w:r>
      <w:r w:rsidR="0047735B">
        <w:t>which resulted in one access/egress for both properties to Caw</w:t>
      </w:r>
      <w:r w:rsidR="00560C32">
        <w:t>thra located across from and in-</w:t>
      </w:r>
      <w:r w:rsidR="0047735B">
        <w:t>line with Silver Creek B</w:t>
      </w:r>
      <w:r w:rsidR="003C054E">
        <w:t>ou</w:t>
      </w:r>
      <w:r w:rsidR="0047735B">
        <w:t>l</w:t>
      </w:r>
      <w:r w:rsidR="003C054E">
        <w:t>e</w:t>
      </w:r>
      <w:r w:rsidR="0047735B">
        <w:t>v</w:t>
      </w:r>
      <w:r w:rsidR="003C054E">
        <w:t>ar</w:t>
      </w:r>
      <w:r w:rsidR="0047735B">
        <w:t>d. In the alternative concept plan, the Sky</w:t>
      </w:r>
      <w:r w:rsidR="000731FC">
        <w:t>-</w:t>
      </w:r>
      <w:r w:rsidR="0047735B">
        <w:t>Cawthra property does not have direct access and, by agreement, would have to access Cawthra</w:t>
      </w:r>
      <w:r w:rsidR="00560C32">
        <w:t xml:space="preserve"> Road</w:t>
      </w:r>
      <w:r w:rsidR="0047735B">
        <w:t xml:space="preserve"> through th</w:t>
      </w:r>
      <w:r w:rsidR="00560C32">
        <w:t xml:space="preserve">e Maple Valley Development </w:t>
      </w:r>
      <w:r w:rsidR="0047735B">
        <w:t>property.</w:t>
      </w:r>
    </w:p>
    <w:p w:rsidR="00E432C8" w:rsidRDefault="0047735B" w:rsidP="003C054E">
      <w:pPr>
        <w:pStyle w:val="DecisionBody"/>
        <w:spacing w:beforeLines="150" w:before="360" w:afterLines="150" w:after="360"/>
      </w:pPr>
      <w:r>
        <w:t>The Tribunal discussed the implications of consolidation for the parties and participants based on Rule 16 of the Tribunal</w:t>
      </w:r>
      <w:r w:rsidR="00947A89">
        <w:t>’s</w:t>
      </w:r>
      <w:r>
        <w:t xml:space="preserve"> </w:t>
      </w:r>
      <w:r w:rsidRPr="00D743B4">
        <w:rPr>
          <w:i/>
        </w:rPr>
        <w:t>Rules of Practice and Procedure</w:t>
      </w:r>
      <w:r w:rsidR="00AD0C07">
        <w:rPr>
          <w:i/>
        </w:rPr>
        <w:t>:</w:t>
      </w:r>
    </w:p>
    <w:p w:rsidR="00AD0C07" w:rsidRPr="000731FC" w:rsidRDefault="00CD42F6" w:rsidP="006A3D4C">
      <w:pPr>
        <w:pStyle w:val="DecisionBody"/>
        <w:numPr>
          <w:ilvl w:val="0"/>
          <w:numId w:val="0"/>
        </w:numPr>
        <w:spacing w:afterLines="50" w:after="120" w:line="240" w:lineRule="auto"/>
        <w:ind w:left="698" w:right="1418" w:firstLine="720"/>
        <w:rPr>
          <w:b/>
          <w:sz w:val="20"/>
          <w:szCs w:val="20"/>
        </w:rPr>
      </w:pPr>
      <w:r w:rsidRPr="000731FC">
        <w:rPr>
          <w:b/>
          <w:sz w:val="20"/>
          <w:szCs w:val="20"/>
        </w:rPr>
        <w:t>RULE 16</w:t>
      </w:r>
    </w:p>
    <w:p w:rsidR="00AD0C07" w:rsidRPr="006A3D4C" w:rsidRDefault="006A3D4C" w:rsidP="006A3D4C">
      <w:pPr>
        <w:pStyle w:val="DecisionBody"/>
        <w:numPr>
          <w:ilvl w:val="0"/>
          <w:numId w:val="0"/>
        </w:numPr>
        <w:spacing w:afterLines="50" w:after="120" w:line="240" w:lineRule="auto"/>
        <w:ind w:left="698" w:right="1418" w:firstLine="720"/>
        <w:rPr>
          <w:b/>
          <w:i/>
          <w:sz w:val="20"/>
          <w:szCs w:val="20"/>
        </w:rPr>
      </w:pPr>
      <w:r w:rsidRPr="000731FC">
        <w:rPr>
          <w:b/>
          <w:sz w:val="20"/>
          <w:szCs w:val="20"/>
        </w:rPr>
        <w:t>CONSOLIDATION</w:t>
      </w:r>
    </w:p>
    <w:p w:rsidR="006A3D4C" w:rsidRDefault="00CD42F6" w:rsidP="00AD0C07">
      <w:pPr>
        <w:pStyle w:val="DecisionBody"/>
        <w:numPr>
          <w:ilvl w:val="0"/>
          <w:numId w:val="0"/>
        </w:numPr>
        <w:spacing w:afterLines="50" w:after="120" w:line="240" w:lineRule="auto"/>
        <w:ind w:left="2160" w:right="1418" w:hanging="742"/>
        <w:rPr>
          <w:sz w:val="20"/>
          <w:szCs w:val="20"/>
        </w:rPr>
      </w:pPr>
      <w:r w:rsidRPr="00AD0C07">
        <w:rPr>
          <w:sz w:val="20"/>
          <w:szCs w:val="20"/>
        </w:rPr>
        <w:t>16.01</w:t>
      </w:r>
      <w:r w:rsidRPr="00AD0C07">
        <w:rPr>
          <w:sz w:val="20"/>
          <w:szCs w:val="20"/>
        </w:rPr>
        <w:tab/>
      </w:r>
      <w:r w:rsidRPr="006A3D4C">
        <w:rPr>
          <w:b/>
          <w:sz w:val="20"/>
          <w:szCs w:val="20"/>
        </w:rPr>
        <w:t>Combining Proceedings or Hearing Matters Together</w:t>
      </w:r>
      <w:r w:rsidRPr="00AD0C07">
        <w:rPr>
          <w:sz w:val="20"/>
          <w:szCs w:val="20"/>
        </w:rPr>
        <w:t xml:space="preserve">  </w:t>
      </w:r>
    </w:p>
    <w:p w:rsidR="00CD42F6" w:rsidRPr="00AD0C07" w:rsidRDefault="00CD42F6" w:rsidP="006A3D4C">
      <w:pPr>
        <w:pStyle w:val="DecisionBody"/>
        <w:numPr>
          <w:ilvl w:val="0"/>
          <w:numId w:val="0"/>
        </w:numPr>
        <w:spacing w:afterLines="50" w:after="120" w:line="240" w:lineRule="auto"/>
        <w:ind w:left="2160" w:right="1418"/>
        <w:rPr>
          <w:sz w:val="20"/>
          <w:szCs w:val="20"/>
        </w:rPr>
      </w:pPr>
      <w:r w:rsidRPr="00AD0C07">
        <w:rPr>
          <w:sz w:val="20"/>
          <w:szCs w:val="20"/>
        </w:rPr>
        <w:t>The Tribunal may order that two or more proceedings be consolidated, heard at the same time, or heard one after the other, or stay or adjourn any matter until the determination of any other matter.</w:t>
      </w:r>
    </w:p>
    <w:p w:rsidR="006A3D4C" w:rsidRDefault="00CD42F6" w:rsidP="00AD0C07">
      <w:pPr>
        <w:pStyle w:val="DecisionBody"/>
        <w:numPr>
          <w:ilvl w:val="0"/>
          <w:numId w:val="0"/>
        </w:numPr>
        <w:spacing w:afterLines="50" w:after="120" w:line="240" w:lineRule="auto"/>
        <w:ind w:left="2160" w:right="1418" w:hanging="742"/>
        <w:rPr>
          <w:sz w:val="20"/>
          <w:szCs w:val="20"/>
        </w:rPr>
      </w:pPr>
      <w:r w:rsidRPr="00AD0C07">
        <w:rPr>
          <w:sz w:val="20"/>
          <w:szCs w:val="20"/>
        </w:rPr>
        <w:t>16.02</w:t>
      </w:r>
      <w:r w:rsidRPr="00AD0C07">
        <w:rPr>
          <w:sz w:val="20"/>
          <w:szCs w:val="20"/>
        </w:rPr>
        <w:tab/>
      </w:r>
      <w:r w:rsidRPr="006A3D4C">
        <w:rPr>
          <w:b/>
          <w:sz w:val="20"/>
          <w:szCs w:val="20"/>
        </w:rPr>
        <w:t>Effect of Consolidating Proceedings</w:t>
      </w:r>
      <w:r w:rsidRPr="00AD0C07">
        <w:rPr>
          <w:sz w:val="20"/>
          <w:szCs w:val="20"/>
        </w:rPr>
        <w:t xml:space="preserve">   </w:t>
      </w:r>
    </w:p>
    <w:p w:rsidR="00CD42F6" w:rsidRPr="00AD0C07" w:rsidRDefault="00CD42F6" w:rsidP="006A3D4C">
      <w:pPr>
        <w:pStyle w:val="DecisionBody"/>
        <w:numPr>
          <w:ilvl w:val="0"/>
          <w:numId w:val="0"/>
        </w:numPr>
        <w:spacing w:afterLines="50" w:after="120" w:line="240" w:lineRule="auto"/>
        <w:ind w:left="2160" w:right="1418"/>
        <w:rPr>
          <w:sz w:val="20"/>
          <w:szCs w:val="20"/>
        </w:rPr>
      </w:pPr>
      <w:r w:rsidRPr="00AD0C07">
        <w:rPr>
          <w:sz w:val="20"/>
          <w:szCs w:val="20"/>
        </w:rPr>
        <w:t>When two or more proceedings are consolidated,</w:t>
      </w:r>
    </w:p>
    <w:p w:rsidR="00CD42F6" w:rsidRPr="00AD0C07" w:rsidRDefault="00F95E7A" w:rsidP="00AD0C07">
      <w:pPr>
        <w:pStyle w:val="DecisionBody"/>
        <w:numPr>
          <w:ilvl w:val="0"/>
          <w:numId w:val="0"/>
        </w:numPr>
        <w:spacing w:afterLines="50" w:after="120" w:line="240" w:lineRule="auto"/>
        <w:ind w:left="2880" w:right="1418" w:hanging="720"/>
        <w:rPr>
          <w:sz w:val="20"/>
          <w:szCs w:val="20"/>
        </w:rPr>
      </w:pPr>
      <w:r w:rsidRPr="00AD0C07">
        <w:rPr>
          <w:sz w:val="20"/>
          <w:szCs w:val="20"/>
        </w:rPr>
        <w:t xml:space="preserve">a) </w:t>
      </w:r>
      <w:r w:rsidR="00AD0C07">
        <w:rPr>
          <w:sz w:val="20"/>
          <w:szCs w:val="20"/>
        </w:rPr>
        <w:tab/>
      </w:r>
      <w:r w:rsidR="00CD42F6" w:rsidRPr="00AD0C07">
        <w:rPr>
          <w:sz w:val="20"/>
          <w:szCs w:val="20"/>
        </w:rPr>
        <w:t>statutory procedural requirements for any of the original separate proceedings apply, where appropriate, to the consolidated proceeding;</w:t>
      </w:r>
    </w:p>
    <w:p w:rsidR="00CD42F6" w:rsidRPr="00AD0C07" w:rsidRDefault="00F95E7A" w:rsidP="00AD0C07">
      <w:pPr>
        <w:pStyle w:val="DecisionBody"/>
        <w:numPr>
          <w:ilvl w:val="0"/>
          <w:numId w:val="0"/>
        </w:numPr>
        <w:spacing w:afterLines="50" w:after="120" w:line="240" w:lineRule="auto"/>
        <w:ind w:left="2880" w:right="1418" w:hanging="720"/>
        <w:rPr>
          <w:sz w:val="20"/>
          <w:szCs w:val="20"/>
        </w:rPr>
      </w:pPr>
      <w:r w:rsidRPr="00AD0C07">
        <w:rPr>
          <w:sz w:val="20"/>
          <w:szCs w:val="20"/>
        </w:rPr>
        <w:t xml:space="preserve">b)  </w:t>
      </w:r>
      <w:r w:rsidR="00AD0C07">
        <w:rPr>
          <w:sz w:val="20"/>
          <w:szCs w:val="20"/>
        </w:rPr>
        <w:tab/>
      </w:r>
      <w:r w:rsidR="00CD42F6" w:rsidRPr="00AD0C07">
        <w:rPr>
          <w:sz w:val="20"/>
          <w:szCs w:val="20"/>
        </w:rPr>
        <w:t>parties to each of the original separate proceedings are parties to the consolidated proceeding; and,</w:t>
      </w:r>
    </w:p>
    <w:p w:rsidR="00CD42F6" w:rsidRDefault="00F95E7A" w:rsidP="00AD0C07">
      <w:pPr>
        <w:pStyle w:val="DecisionBody"/>
        <w:numPr>
          <w:ilvl w:val="0"/>
          <w:numId w:val="0"/>
        </w:numPr>
        <w:spacing w:afterLines="50" w:after="120" w:line="240" w:lineRule="auto"/>
        <w:ind w:left="2880" w:right="1418" w:hanging="720"/>
        <w:rPr>
          <w:sz w:val="20"/>
          <w:szCs w:val="20"/>
        </w:rPr>
      </w:pPr>
      <w:r w:rsidRPr="00AD0C07">
        <w:rPr>
          <w:sz w:val="20"/>
          <w:szCs w:val="20"/>
        </w:rPr>
        <w:t xml:space="preserve">c)  </w:t>
      </w:r>
      <w:r w:rsidR="00AD0C07">
        <w:rPr>
          <w:sz w:val="20"/>
          <w:szCs w:val="20"/>
        </w:rPr>
        <w:tab/>
      </w:r>
      <w:r w:rsidR="00CD42F6" w:rsidRPr="00AD0C07">
        <w:rPr>
          <w:sz w:val="20"/>
          <w:szCs w:val="20"/>
        </w:rPr>
        <w:t>evidence to be presented in each of the separate proceedings is evidence in the consolidated proceeding.</w:t>
      </w:r>
    </w:p>
    <w:p w:rsidR="006A3D4C" w:rsidRPr="00AD0C07" w:rsidRDefault="006A3D4C" w:rsidP="00AD0C07">
      <w:pPr>
        <w:pStyle w:val="DecisionBody"/>
        <w:numPr>
          <w:ilvl w:val="0"/>
          <w:numId w:val="0"/>
        </w:numPr>
        <w:spacing w:afterLines="50" w:after="120" w:line="240" w:lineRule="auto"/>
        <w:ind w:left="2880" w:right="1418" w:hanging="720"/>
        <w:rPr>
          <w:sz w:val="20"/>
          <w:szCs w:val="20"/>
        </w:rPr>
      </w:pPr>
    </w:p>
    <w:p w:rsidR="006A3D4C" w:rsidRDefault="00CD42F6" w:rsidP="006A3D4C">
      <w:pPr>
        <w:pStyle w:val="DecisionBody"/>
        <w:numPr>
          <w:ilvl w:val="0"/>
          <w:numId w:val="0"/>
        </w:numPr>
        <w:spacing w:afterLines="50" w:after="120" w:line="240" w:lineRule="auto"/>
        <w:ind w:left="2160" w:right="1418" w:hanging="742"/>
        <w:rPr>
          <w:sz w:val="20"/>
          <w:szCs w:val="20"/>
        </w:rPr>
      </w:pPr>
      <w:r w:rsidRPr="00AD0C07">
        <w:rPr>
          <w:sz w:val="20"/>
          <w:szCs w:val="20"/>
        </w:rPr>
        <w:t>16.03</w:t>
      </w:r>
      <w:r w:rsidRPr="00AD0C07">
        <w:rPr>
          <w:sz w:val="20"/>
          <w:szCs w:val="20"/>
        </w:rPr>
        <w:tab/>
      </w:r>
      <w:r w:rsidRPr="006A3D4C">
        <w:rPr>
          <w:b/>
          <w:sz w:val="20"/>
          <w:szCs w:val="20"/>
        </w:rPr>
        <w:t>Effect of Hearing Matters Together</w:t>
      </w:r>
    </w:p>
    <w:p w:rsidR="00CD42F6" w:rsidRPr="00AD0C07" w:rsidRDefault="00CD42F6" w:rsidP="006A3D4C">
      <w:pPr>
        <w:pStyle w:val="DecisionBody"/>
        <w:numPr>
          <w:ilvl w:val="0"/>
          <w:numId w:val="0"/>
        </w:numPr>
        <w:spacing w:afterLines="50" w:after="120" w:line="240" w:lineRule="auto"/>
        <w:ind w:left="2160" w:right="1418"/>
        <w:rPr>
          <w:sz w:val="20"/>
          <w:szCs w:val="20"/>
        </w:rPr>
      </w:pPr>
      <w:r w:rsidRPr="00AD0C07">
        <w:rPr>
          <w:sz w:val="20"/>
          <w:szCs w:val="20"/>
        </w:rPr>
        <w:t xml:space="preserve">When two or more proceedings are heard together but not </w:t>
      </w:r>
      <w:r w:rsidRPr="00AD0C07">
        <w:rPr>
          <w:sz w:val="20"/>
          <w:szCs w:val="20"/>
        </w:rPr>
        <w:lastRenderedPageBreak/>
        <w:t>consolidated,</w:t>
      </w:r>
    </w:p>
    <w:p w:rsidR="00CD42F6" w:rsidRPr="00AD0C07" w:rsidRDefault="00F95E7A" w:rsidP="006A3D4C">
      <w:pPr>
        <w:pStyle w:val="DecisionBody"/>
        <w:numPr>
          <w:ilvl w:val="0"/>
          <w:numId w:val="0"/>
        </w:numPr>
        <w:spacing w:afterLines="50" w:after="120" w:line="240" w:lineRule="auto"/>
        <w:ind w:left="2880" w:right="1418" w:hanging="720"/>
        <w:rPr>
          <w:sz w:val="20"/>
          <w:szCs w:val="20"/>
        </w:rPr>
      </w:pPr>
      <w:r w:rsidRPr="00AD0C07">
        <w:rPr>
          <w:sz w:val="20"/>
          <w:szCs w:val="20"/>
        </w:rPr>
        <w:t xml:space="preserve">a)  </w:t>
      </w:r>
      <w:r w:rsidR="006A3D4C">
        <w:rPr>
          <w:sz w:val="20"/>
          <w:szCs w:val="20"/>
        </w:rPr>
        <w:tab/>
      </w:r>
      <w:r w:rsidR="00CD42F6" w:rsidRPr="00AD0C07">
        <w:rPr>
          <w:sz w:val="20"/>
          <w:szCs w:val="20"/>
        </w:rPr>
        <w:t>statutory requirements for each proceeding apply only to that particular proceeding and not to the others;</w:t>
      </w:r>
    </w:p>
    <w:p w:rsidR="00CD42F6" w:rsidRPr="00AD0C07" w:rsidRDefault="00F95E7A" w:rsidP="006A3D4C">
      <w:pPr>
        <w:pStyle w:val="DecisionBody"/>
        <w:numPr>
          <w:ilvl w:val="0"/>
          <w:numId w:val="0"/>
        </w:numPr>
        <w:spacing w:afterLines="50" w:after="120" w:line="240" w:lineRule="auto"/>
        <w:ind w:left="2880" w:right="1418" w:hanging="720"/>
        <w:rPr>
          <w:sz w:val="20"/>
          <w:szCs w:val="20"/>
        </w:rPr>
      </w:pPr>
      <w:r w:rsidRPr="00AD0C07">
        <w:rPr>
          <w:sz w:val="20"/>
          <w:szCs w:val="20"/>
        </w:rPr>
        <w:t xml:space="preserve">b)  </w:t>
      </w:r>
      <w:r w:rsidR="006A3D4C">
        <w:rPr>
          <w:sz w:val="20"/>
          <w:szCs w:val="20"/>
        </w:rPr>
        <w:tab/>
      </w:r>
      <w:r w:rsidR="00CD42F6" w:rsidRPr="00AD0C07">
        <w:rPr>
          <w:sz w:val="20"/>
          <w:szCs w:val="20"/>
        </w:rPr>
        <w:t>parties to the hearing are parties to their individual proceedings only and not parties to the other proceedings; and,</w:t>
      </w:r>
    </w:p>
    <w:p w:rsidR="00CD42F6" w:rsidRPr="00AD0C07" w:rsidRDefault="00F95E7A" w:rsidP="006A3D4C">
      <w:pPr>
        <w:pStyle w:val="DecisionBody"/>
        <w:numPr>
          <w:ilvl w:val="0"/>
          <w:numId w:val="0"/>
        </w:numPr>
        <w:spacing w:afterLines="50" w:after="120" w:line="240" w:lineRule="auto"/>
        <w:ind w:left="2880" w:right="1418" w:hanging="720"/>
        <w:rPr>
          <w:sz w:val="20"/>
          <w:szCs w:val="20"/>
        </w:rPr>
      </w:pPr>
      <w:r w:rsidRPr="00AD0C07">
        <w:rPr>
          <w:sz w:val="20"/>
          <w:szCs w:val="20"/>
        </w:rPr>
        <w:t xml:space="preserve">c)  </w:t>
      </w:r>
      <w:r w:rsidR="006A3D4C">
        <w:rPr>
          <w:sz w:val="20"/>
          <w:szCs w:val="20"/>
        </w:rPr>
        <w:tab/>
      </w:r>
      <w:r w:rsidR="00CD42F6" w:rsidRPr="00AD0C07">
        <w:rPr>
          <w:sz w:val="20"/>
          <w:szCs w:val="20"/>
        </w:rPr>
        <w:t>unless otherwise ordered by the Tribunal, evidence in the hearing is evidence in each proceeding to which it could apply.</w:t>
      </w:r>
    </w:p>
    <w:p w:rsidR="006A3D4C" w:rsidRDefault="00CD42F6" w:rsidP="006A3D4C">
      <w:pPr>
        <w:pStyle w:val="DecisionBody"/>
        <w:numPr>
          <w:ilvl w:val="0"/>
          <w:numId w:val="0"/>
        </w:numPr>
        <w:spacing w:afterLines="50" w:after="120" w:line="240" w:lineRule="auto"/>
        <w:ind w:left="2160" w:right="1418" w:hanging="742"/>
        <w:rPr>
          <w:sz w:val="20"/>
          <w:szCs w:val="20"/>
        </w:rPr>
      </w:pPr>
      <w:r w:rsidRPr="00AD0C07">
        <w:rPr>
          <w:sz w:val="20"/>
          <w:szCs w:val="20"/>
        </w:rPr>
        <w:t xml:space="preserve">16.04 </w:t>
      </w:r>
      <w:r w:rsidR="006A3D4C">
        <w:rPr>
          <w:sz w:val="20"/>
          <w:szCs w:val="20"/>
        </w:rPr>
        <w:tab/>
      </w:r>
      <w:r w:rsidRPr="006A3D4C">
        <w:rPr>
          <w:b/>
          <w:sz w:val="20"/>
          <w:szCs w:val="20"/>
        </w:rPr>
        <w:t>Tribunal May Reverse Decision for Consolidated Proceedings</w:t>
      </w:r>
    </w:p>
    <w:p w:rsidR="00F95E7A" w:rsidRPr="00AD0C07" w:rsidRDefault="00CD42F6" w:rsidP="006A3D4C">
      <w:pPr>
        <w:pStyle w:val="DecisionBody"/>
        <w:numPr>
          <w:ilvl w:val="0"/>
          <w:numId w:val="0"/>
        </w:numPr>
        <w:spacing w:afterLines="50" w:after="120" w:line="240" w:lineRule="auto"/>
        <w:ind w:left="2160" w:right="1418"/>
        <w:rPr>
          <w:sz w:val="20"/>
          <w:szCs w:val="20"/>
        </w:rPr>
      </w:pPr>
      <w:r w:rsidRPr="00AD0C07">
        <w:rPr>
          <w:sz w:val="20"/>
          <w:szCs w:val="20"/>
        </w:rPr>
        <w:t>The Tribunal may separate consolidated proceedings or matters heard together at any time if it finds that the proceedings have become unduly complicated, delayed or repetitive or a party is unduly prejudiced.</w:t>
      </w:r>
    </w:p>
    <w:p w:rsidR="00F94FDD" w:rsidRDefault="0047735B" w:rsidP="003C054E">
      <w:pPr>
        <w:pStyle w:val="Heading1"/>
        <w:spacing w:beforeLines="150" w:before="360" w:afterLines="150" w:after="360"/>
      </w:pPr>
      <w:r>
        <w:t>Decision</w:t>
      </w:r>
    </w:p>
    <w:p w:rsidR="0047735B" w:rsidRPr="00932340" w:rsidRDefault="0047735B" w:rsidP="003C054E">
      <w:pPr>
        <w:pStyle w:val="DecisionBody"/>
        <w:spacing w:beforeLines="150" w:before="360" w:afterLines="150" w:after="360"/>
      </w:pPr>
      <w:r w:rsidRPr="00932340">
        <w:t>The Tribunal is satisfied</w:t>
      </w:r>
      <w:r w:rsidR="00F95E7A" w:rsidRPr="00932340">
        <w:t xml:space="preserve"> that the parties understand the effect of consolidation.</w:t>
      </w:r>
      <w:r w:rsidR="0022517C" w:rsidRPr="00932340">
        <w:t xml:space="preserve"> Further, the Tribunal finds that consolidation makes sense and will result in a fair and more efficient hearing process for the parties an</w:t>
      </w:r>
      <w:r w:rsidR="00560C32">
        <w:t>d the participants. T</w:t>
      </w:r>
      <w:r w:rsidR="0022517C" w:rsidRPr="00932340">
        <w:t>he Tribunal directs that files PL170479 and PL1803</w:t>
      </w:r>
      <w:r w:rsidR="000731FC">
        <w:t>36</w:t>
      </w:r>
      <w:r w:rsidR="0022517C" w:rsidRPr="00932340">
        <w:t xml:space="preserve"> are consolidated.</w:t>
      </w:r>
    </w:p>
    <w:p w:rsidR="00F95E7A" w:rsidRPr="00932340" w:rsidRDefault="00932340" w:rsidP="003C054E">
      <w:pPr>
        <w:pStyle w:val="DecisionBody"/>
        <w:spacing w:beforeLines="150" w:before="360" w:afterLines="150" w:after="360"/>
      </w:pPr>
      <w:r w:rsidRPr="00932340">
        <w:t>Counsel for the Region</w:t>
      </w:r>
      <w:r w:rsidR="00053FDF">
        <w:t>al</w:t>
      </w:r>
      <w:r w:rsidRPr="00932340">
        <w:t xml:space="preserve"> </w:t>
      </w:r>
      <w:r w:rsidR="00053FDF">
        <w:t xml:space="preserve">Municipality </w:t>
      </w:r>
      <w:r w:rsidRPr="00932340">
        <w:t>of Peel (the</w:t>
      </w:r>
      <w:r w:rsidR="006A3D4C">
        <w:t xml:space="preserve"> “</w:t>
      </w:r>
      <w:r w:rsidRPr="00932340">
        <w:t xml:space="preserve">Region”), Rachel Godley, requested Party status for her client for PL180336. The Region is a Party on record for PL170479. By virtue of the consolidation the Region is now a party for both files. </w:t>
      </w:r>
      <w:r w:rsidR="0022517C" w:rsidRPr="00932340">
        <w:t xml:space="preserve">The parties for each file have Party </w:t>
      </w:r>
      <w:r w:rsidR="00947A89">
        <w:t>s</w:t>
      </w:r>
      <w:r w:rsidR="00947A89" w:rsidRPr="00932340">
        <w:t xml:space="preserve">tatus </w:t>
      </w:r>
      <w:r w:rsidR="0022517C" w:rsidRPr="00932340">
        <w:t xml:space="preserve">for the consolidated hearing. The parties for the consolidated hearing are: Maple Valley Development </w:t>
      </w:r>
      <w:r w:rsidR="00B74801" w:rsidRPr="00932340">
        <w:t>Corporation Inc., Sky Cawthra Development Inc., the City of Mississauga, and the Region</w:t>
      </w:r>
      <w:r w:rsidR="00053FDF">
        <w:t>al Municipality</w:t>
      </w:r>
      <w:r w:rsidR="00B74801" w:rsidRPr="00932340">
        <w:t xml:space="preserve"> of Peel.</w:t>
      </w:r>
    </w:p>
    <w:p w:rsidR="00B74801" w:rsidRPr="00932340" w:rsidRDefault="00932340" w:rsidP="003C054E">
      <w:pPr>
        <w:pStyle w:val="DecisionBody"/>
        <w:spacing w:beforeLines="150" w:before="360" w:afterLines="150" w:after="360"/>
      </w:pPr>
      <w:r w:rsidRPr="00932340">
        <w:t>T</w:t>
      </w:r>
      <w:r w:rsidR="00B74801" w:rsidRPr="00932340">
        <w:t>he participants for each file have Participant Status for the consolidated hearing. The participa</w:t>
      </w:r>
      <w:r w:rsidR="00560C32">
        <w:t>nts are: Jack Clark and Ester T</w:t>
      </w:r>
      <w:r w:rsidR="00B74801" w:rsidRPr="00932340">
        <w:t>intpulver.</w:t>
      </w:r>
    </w:p>
    <w:p w:rsidR="00053FDF" w:rsidRPr="00D743B4" w:rsidRDefault="00B74801" w:rsidP="003C054E">
      <w:pPr>
        <w:pStyle w:val="DecisionBody"/>
        <w:spacing w:beforeLines="150" w:before="360" w:afterLines="150" w:after="360"/>
        <w:rPr>
          <w:b/>
        </w:rPr>
      </w:pPr>
      <w:r w:rsidRPr="00932340">
        <w:t>The hearing scheduled for PL170479</w:t>
      </w:r>
      <w:r w:rsidR="00F1179A" w:rsidRPr="00932340">
        <w:t xml:space="preserve"> is the hearing date for the consolidated hearing. The consolidated hearing </w:t>
      </w:r>
      <w:r w:rsidR="000731FC">
        <w:t xml:space="preserve">is scheduled for three days and </w:t>
      </w:r>
      <w:r w:rsidR="00F1179A" w:rsidRPr="00932340">
        <w:t xml:space="preserve">will commence at </w:t>
      </w:r>
      <w:r w:rsidR="00F1179A" w:rsidRPr="00D743B4">
        <w:rPr>
          <w:b/>
        </w:rPr>
        <w:t xml:space="preserve">10 a.m. on </w:t>
      </w:r>
      <w:r w:rsidR="00053FDF" w:rsidRPr="00D743B4">
        <w:rPr>
          <w:b/>
        </w:rPr>
        <w:t xml:space="preserve">Wednesday, </w:t>
      </w:r>
      <w:r w:rsidR="00F1179A" w:rsidRPr="00D743B4">
        <w:rPr>
          <w:b/>
        </w:rPr>
        <w:t>February 27, 2019 at</w:t>
      </w:r>
      <w:r w:rsidR="00053FDF" w:rsidRPr="00D743B4">
        <w:rPr>
          <w:b/>
        </w:rPr>
        <w:t>:</w:t>
      </w:r>
    </w:p>
    <w:p w:rsidR="00053FDF" w:rsidRDefault="00053FDF" w:rsidP="00053FDF">
      <w:pPr>
        <w:pStyle w:val="DecisionBody"/>
        <w:numPr>
          <w:ilvl w:val="0"/>
          <w:numId w:val="0"/>
        </w:numPr>
        <w:spacing w:after="0" w:line="240" w:lineRule="auto"/>
        <w:jc w:val="center"/>
        <w:rPr>
          <w:b/>
        </w:rPr>
      </w:pPr>
      <w:r w:rsidRPr="00D743B4">
        <w:rPr>
          <w:b/>
        </w:rPr>
        <w:lastRenderedPageBreak/>
        <w:t>Municipal Hearing Room (2</w:t>
      </w:r>
      <w:r w:rsidRPr="00D743B4">
        <w:rPr>
          <w:b/>
          <w:vertAlign w:val="superscript"/>
        </w:rPr>
        <w:t>nd</w:t>
      </w:r>
      <w:r w:rsidRPr="00D743B4">
        <w:rPr>
          <w:b/>
        </w:rPr>
        <w:t xml:space="preserve"> floor)</w:t>
      </w:r>
    </w:p>
    <w:p w:rsidR="00DB74CF" w:rsidRPr="00DB74CF" w:rsidRDefault="00DB74CF" w:rsidP="00053FDF">
      <w:pPr>
        <w:pStyle w:val="DecisionBody"/>
        <w:numPr>
          <w:ilvl w:val="0"/>
          <w:numId w:val="0"/>
        </w:numPr>
        <w:spacing w:after="0" w:line="240" w:lineRule="auto"/>
        <w:jc w:val="center"/>
        <w:rPr>
          <w:b/>
        </w:rPr>
      </w:pPr>
      <w:r>
        <w:rPr>
          <w:b/>
        </w:rPr>
        <w:t>City Hall</w:t>
      </w:r>
    </w:p>
    <w:p w:rsidR="00053FDF" w:rsidRPr="00DB74CF" w:rsidRDefault="00053FDF" w:rsidP="00053FDF">
      <w:pPr>
        <w:pStyle w:val="DecisionBody"/>
        <w:numPr>
          <w:ilvl w:val="0"/>
          <w:numId w:val="0"/>
        </w:numPr>
        <w:spacing w:after="0" w:line="240" w:lineRule="auto"/>
        <w:jc w:val="center"/>
        <w:rPr>
          <w:b/>
        </w:rPr>
      </w:pPr>
      <w:r w:rsidRPr="00DB74CF">
        <w:rPr>
          <w:b/>
        </w:rPr>
        <w:t>300 City Centre Drive</w:t>
      </w:r>
    </w:p>
    <w:p w:rsidR="00F1179A" w:rsidRPr="00DB74CF" w:rsidRDefault="00F1179A" w:rsidP="00053FDF">
      <w:pPr>
        <w:pStyle w:val="DecisionBody"/>
        <w:numPr>
          <w:ilvl w:val="0"/>
          <w:numId w:val="0"/>
        </w:numPr>
        <w:spacing w:after="0" w:line="240" w:lineRule="auto"/>
        <w:jc w:val="center"/>
        <w:rPr>
          <w:b/>
        </w:rPr>
      </w:pPr>
      <w:r w:rsidRPr="00DB74CF">
        <w:rPr>
          <w:b/>
        </w:rPr>
        <w:t>Mississauga</w:t>
      </w:r>
      <w:r w:rsidR="00053FDF" w:rsidRPr="00DB74CF">
        <w:rPr>
          <w:b/>
        </w:rPr>
        <w:t>, Ontario</w:t>
      </w:r>
    </w:p>
    <w:p w:rsidR="00F95E7A" w:rsidRPr="00932340" w:rsidRDefault="00F1179A" w:rsidP="003C054E">
      <w:pPr>
        <w:pStyle w:val="DecisionBody"/>
        <w:spacing w:beforeLines="150" w:before="360" w:afterLines="150" w:after="360"/>
      </w:pPr>
      <w:r w:rsidRPr="00932340">
        <w:t xml:space="preserve">The Tribunal issued a Procedural Order (“PO”) as Appendix 1 of a decision </w:t>
      </w:r>
      <w:r w:rsidR="00932340" w:rsidRPr="00932340">
        <w:t>issued for</w:t>
      </w:r>
      <w:r w:rsidRPr="00932340">
        <w:t xml:space="preserve"> a PHC regarding PL170479 on August 15, 2018. This PO now applies to the </w:t>
      </w:r>
      <w:r w:rsidR="00DB74CF">
        <w:t>c</w:t>
      </w:r>
      <w:r w:rsidRPr="00932340">
        <w:t xml:space="preserve">onsolidated hearing and provides direction on </w:t>
      </w:r>
      <w:r w:rsidR="009B56DA" w:rsidRPr="00932340">
        <w:t>the o</w:t>
      </w:r>
      <w:r w:rsidR="000E0A9B">
        <w:t>rganization of the hearing and r</w:t>
      </w:r>
      <w:r w:rsidR="009B56DA" w:rsidRPr="00932340">
        <w:t xml:space="preserve">equirements before the hearing. </w:t>
      </w:r>
      <w:r w:rsidR="000E0A9B">
        <w:t xml:space="preserve">Because the Parties identified in </w:t>
      </w:r>
      <w:r w:rsidR="00560C32">
        <w:t>Paragraph 10</w:t>
      </w:r>
      <w:r w:rsidR="000E0A9B">
        <w:t xml:space="preserve"> and the Participants i</w:t>
      </w:r>
      <w:r w:rsidR="00560C32">
        <w:t>dentified in Paragraph 11</w:t>
      </w:r>
      <w:r w:rsidR="000E0A9B">
        <w:t xml:space="preserve"> of this decision are the same as the Parties and Participants listed in the PO</w:t>
      </w:r>
      <w:r w:rsidR="00947A89">
        <w:t>,</w:t>
      </w:r>
      <w:r w:rsidR="000E0A9B">
        <w:t xml:space="preserve"> all those that need a copy of the PO should have a copy. The Tribunal directs the parties to review Attachment 3</w:t>
      </w:r>
      <w:r w:rsidR="00DB74CF">
        <w:t xml:space="preserve"> to Appendix 1</w:t>
      </w:r>
      <w:r w:rsidR="000E0A9B">
        <w:t xml:space="preserve"> – Order of Evidence and advise the Tribunal if revision is required.</w:t>
      </w:r>
    </w:p>
    <w:p w:rsidR="00A42A78" w:rsidRDefault="00A42A78" w:rsidP="003C054E">
      <w:pPr>
        <w:pStyle w:val="DecisionBody"/>
        <w:spacing w:beforeLines="150" w:before="360" w:afterLines="150" w:after="360"/>
      </w:pPr>
      <w:r>
        <w:t>No further notice will be given.</w:t>
      </w:r>
    </w:p>
    <w:p w:rsidR="00F94FDD" w:rsidRDefault="00A42A78" w:rsidP="003C054E">
      <w:pPr>
        <w:pStyle w:val="DecisionBody"/>
        <w:spacing w:beforeLines="150" w:before="360" w:afterLines="150" w:after="360"/>
      </w:pPr>
      <w:r>
        <w:t xml:space="preserve">This panel is not seized but may be spoken to </w:t>
      </w:r>
      <w:r w:rsidR="00947A89">
        <w:t>for case management purposes</w:t>
      </w:r>
      <w:r>
        <w:t>.</w:t>
      </w:r>
    </w:p>
    <w:p w:rsidR="009D257E" w:rsidRPr="009D257E" w:rsidRDefault="009D257E" w:rsidP="009D257E">
      <w:pPr>
        <w:pStyle w:val="DecisionBody"/>
      </w:pPr>
      <w:r w:rsidRPr="009D257E">
        <w:t>The Tribunal orders as directed above.</w:t>
      </w:r>
    </w:p>
    <w:p w:rsidR="00935095" w:rsidRPr="004E31D7" w:rsidRDefault="00935095" w:rsidP="004E31D7">
      <w:pPr>
        <w:pStyle w:val="MemberSignature"/>
        <w:ind w:left="0"/>
        <w:jc w:val="both"/>
        <w:rPr>
          <w:i w:val="0"/>
        </w:rPr>
      </w:pPr>
    </w:p>
    <w:p w:rsidR="00935095" w:rsidRPr="00AC548D" w:rsidRDefault="00F94FDD" w:rsidP="00AC548D">
      <w:pPr>
        <w:pStyle w:val="MemberSignature"/>
      </w:pPr>
      <w:r>
        <w:t>“John Douglas</w:t>
      </w:r>
      <w:r w:rsidR="00935095" w:rsidRPr="00AC548D">
        <w:t>”</w:t>
      </w:r>
    </w:p>
    <w:p w:rsidR="00935095" w:rsidRPr="004E31D7" w:rsidRDefault="00935095" w:rsidP="004E31D7">
      <w:pPr>
        <w:pStyle w:val="MemberSignature"/>
        <w:ind w:left="0"/>
        <w:jc w:val="both"/>
        <w:rPr>
          <w:i w:val="0"/>
        </w:rPr>
      </w:pPr>
    </w:p>
    <w:p w:rsidR="00935095" w:rsidRPr="004E31D7" w:rsidRDefault="00935095" w:rsidP="004E31D7">
      <w:pPr>
        <w:pStyle w:val="MemberSignature"/>
        <w:ind w:left="0"/>
        <w:jc w:val="left"/>
        <w:rPr>
          <w:i w:val="0"/>
        </w:rPr>
      </w:pPr>
    </w:p>
    <w:p w:rsidR="00935095" w:rsidRPr="00AC548D" w:rsidRDefault="00F94FDD" w:rsidP="00AC548D">
      <w:pPr>
        <w:pStyle w:val="MemberSignatureNameandTitle"/>
      </w:pPr>
      <w:r>
        <w:t>John Douglas</w:t>
      </w:r>
    </w:p>
    <w:p w:rsidR="00935095" w:rsidRPr="00AC548D" w:rsidRDefault="00F94FDD" w:rsidP="00AC548D">
      <w:pPr>
        <w:pStyle w:val="MemberSignatureNameandTitle"/>
      </w:pPr>
      <w:r>
        <w:t>MEMBER</w:t>
      </w:r>
    </w:p>
    <w:p w:rsidR="00935095" w:rsidRPr="004E31D7" w:rsidRDefault="00935095" w:rsidP="00AC548D">
      <w:pPr>
        <w:rPr>
          <w:rFonts w:ascii="Arial" w:hAnsi="Arial" w:cs="Arial"/>
        </w:rPr>
      </w:pPr>
    </w:p>
    <w:p w:rsidR="00935095" w:rsidRPr="004E31D7" w:rsidRDefault="00935095" w:rsidP="00AC548D">
      <w:pPr>
        <w:rPr>
          <w:rFonts w:ascii="Arial" w:hAnsi="Arial" w:cs="Arial"/>
        </w:rPr>
      </w:pPr>
    </w:p>
    <w:p w:rsidR="00D265BD" w:rsidRPr="004E31D7" w:rsidRDefault="00D265BD" w:rsidP="00AC548D">
      <w:pPr>
        <w:rPr>
          <w:rFonts w:ascii="Arial" w:hAnsi="Arial" w:cs="Arial"/>
        </w:rPr>
      </w:pPr>
    </w:p>
    <w:p w:rsidR="00BA79F7" w:rsidRDefault="00BA79F7" w:rsidP="00AC548D">
      <w:pPr>
        <w:rPr>
          <w:rFonts w:ascii="Arial" w:hAnsi="Arial" w:cs="Arial"/>
        </w:rPr>
      </w:pPr>
    </w:p>
    <w:p w:rsidR="00467ECF" w:rsidRDefault="00467ECF" w:rsidP="00AC548D">
      <w:pPr>
        <w:rPr>
          <w:rFonts w:ascii="Arial" w:hAnsi="Arial" w:cs="Arial"/>
        </w:rPr>
      </w:pPr>
    </w:p>
    <w:p w:rsidR="00467ECF" w:rsidRDefault="00467ECF" w:rsidP="00AC548D">
      <w:pPr>
        <w:rPr>
          <w:rFonts w:ascii="Arial" w:hAnsi="Arial" w:cs="Arial"/>
        </w:rPr>
      </w:pPr>
    </w:p>
    <w:p w:rsidR="00467ECF" w:rsidRPr="004E31D7" w:rsidRDefault="00467ECF" w:rsidP="00AC548D">
      <w:pPr>
        <w:rPr>
          <w:rFonts w:ascii="Arial" w:hAnsi="Arial" w:cs="Arial"/>
        </w:rPr>
      </w:pPr>
    </w:p>
    <w:p w:rsidR="0092760B" w:rsidRPr="00AC548D" w:rsidRDefault="0092760B" w:rsidP="004850D0">
      <w:pPr>
        <w:pStyle w:val="AttachmentTextaboveFooter"/>
      </w:pPr>
      <w:r w:rsidRPr="00AC548D">
        <w:t>If there is an attachment referred to in this document,</w:t>
      </w:r>
    </w:p>
    <w:p w:rsidR="0092760B" w:rsidRPr="00AC548D" w:rsidRDefault="0092760B" w:rsidP="004850D0">
      <w:pPr>
        <w:pStyle w:val="AttachmentTextaboveFooter"/>
      </w:pPr>
      <w:r w:rsidRPr="00AC548D">
        <w:t>please visit www.elto.gov.on.ca to view the attachment in PDF format.</w:t>
      </w:r>
    </w:p>
    <w:p w:rsidR="003D1234" w:rsidRPr="00AC548D" w:rsidRDefault="003D1234" w:rsidP="004E31D7">
      <w:pPr>
        <w:pStyle w:val="Footer"/>
        <w:jc w:val="left"/>
      </w:pPr>
    </w:p>
    <w:p w:rsidR="009A73F6" w:rsidRPr="00AC548D" w:rsidRDefault="009A73F6" w:rsidP="004E31D7">
      <w:pPr>
        <w:pStyle w:val="Footer"/>
        <w:jc w:val="left"/>
      </w:pPr>
    </w:p>
    <w:p w:rsidR="00FE1AB5" w:rsidRPr="00AC548D" w:rsidRDefault="00FE1AB5" w:rsidP="00AC548D">
      <w:pPr>
        <w:pStyle w:val="Footer"/>
        <w:rPr>
          <w:b/>
        </w:rPr>
      </w:pPr>
      <w:r w:rsidRPr="00AC548D">
        <w:rPr>
          <w:b/>
        </w:rPr>
        <w:t>Local Planning Appeal Tribunal</w:t>
      </w:r>
    </w:p>
    <w:p w:rsidR="005A6B29" w:rsidRPr="00AC548D" w:rsidRDefault="005A6B29" w:rsidP="00AC548D">
      <w:pPr>
        <w:pStyle w:val="Footer"/>
      </w:pPr>
      <w:r w:rsidRPr="00AC548D">
        <w:t>A constituent tribunal of Environment and Land Tribunals Ontario</w:t>
      </w:r>
    </w:p>
    <w:p w:rsidR="005A6B29" w:rsidRPr="00AC548D" w:rsidRDefault="005A6B29" w:rsidP="00AC548D">
      <w:pPr>
        <w:pStyle w:val="Footer"/>
      </w:pPr>
      <w:r w:rsidRPr="00AC548D">
        <w:t>Website: www.elto.gov.on.ca  Telephone: 416-212-6349  Toll Free: 1-866-448-2248</w:t>
      </w:r>
    </w:p>
    <w:sectPr w:rsidR="005A6B29" w:rsidRPr="00AC548D"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79" w:rsidRDefault="004F5279">
      <w:r>
        <w:separator/>
      </w:r>
    </w:p>
  </w:endnote>
  <w:endnote w:type="continuationSeparator" w:id="0">
    <w:p w:rsidR="004F5279" w:rsidRDefault="004F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79" w:rsidRDefault="004F5279">
      <w:r>
        <w:separator/>
      </w:r>
    </w:p>
  </w:footnote>
  <w:footnote w:type="continuationSeparator" w:id="0">
    <w:p w:rsidR="004F5279" w:rsidRDefault="004F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47" w:rsidRDefault="005D1ED7" w:rsidP="00285AD7">
    <w:pPr>
      <w:pStyle w:val="Header"/>
      <w:tabs>
        <w:tab w:val="clear" w:pos="8640"/>
        <w:tab w:val="center" w:pos="4680"/>
        <w:tab w:val="left" w:pos="6804"/>
        <w:tab w:val="right" w:pos="9360"/>
      </w:tabs>
      <w:jc w:val="right"/>
      <w:rPr>
        <w:rFonts w:ascii="Arial" w:hAnsi="Arial" w:cs="Arial"/>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781F5D">
      <w:rPr>
        <w:rFonts w:ascii="Arial" w:hAnsi="Arial" w:cs="Arial"/>
        <w:noProof/>
      </w:rPr>
      <w:t>3</w:t>
    </w:r>
    <w:r w:rsidRPr="005E51AF">
      <w:rPr>
        <w:rFonts w:ascii="Arial" w:hAnsi="Arial" w:cs="Arial"/>
        <w:noProof/>
      </w:rPr>
      <w:fldChar w:fldCharType="end"/>
    </w:r>
    <w:r w:rsidR="00C02B28">
      <w:rPr>
        <w:rFonts w:ascii="Arial" w:hAnsi="Arial" w:cs="Arial"/>
        <w:noProof/>
      </w:rPr>
      <w:tab/>
    </w:r>
    <w:r w:rsidR="004B6547" w:rsidRPr="00285AD7">
      <w:rPr>
        <w:rFonts w:ascii="Arial" w:hAnsi="Arial" w:cs="Arial"/>
      </w:rPr>
      <w:t xml:space="preserve">  </w:t>
    </w:r>
    <w:r w:rsidR="00CC0D88">
      <w:rPr>
        <w:rFonts w:ascii="Arial" w:hAnsi="Arial" w:cs="Arial"/>
      </w:rPr>
      <w:t>PL170479</w:t>
    </w:r>
  </w:p>
  <w:p w:rsidR="00CC0D88" w:rsidRDefault="00CC0D88" w:rsidP="00285AD7">
    <w:pPr>
      <w:pStyle w:val="Header"/>
      <w:tabs>
        <w:tab w:val="clear" w:pos="8640"/>
        <w:tab w:val="center" w:pos="4680"/>
        <w:tab w:val="left" w:pos="6804"/>
        <w:tab w:val="right" w:pos="9360"/>
      </w:tabs>
      <w:jc w:val="right"/>
      <w:rPr>
        <w:rFonts w:ascii="Arial" w:hAnsi="Arial" w:cs="Arial"/>
        <w:noProof/>
      </w:rPr>
    </w:pPr>
    <w:r>
      <w:rPr>
        <w:rFonts w:ascii="Arial" w:hAnsi="Arial" w:cs="Arial"/>
      </w:rPr>
      <w:t>PL180336</w:t>
    </w:r>
  </w:p>
  <w:p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A956977"/>
    <w:multiLevelType w:val="hybridMultilevel"/>
    <w:tmpl w:val="94C03168"/>
    <w:lvl w:ilvl="0" w:tplc="B53435BE">
      <w:start w:val="1"/>
      <w:numFmt w:val="decimal"/>
      <w:pStyle w:val="DecisionBody"/>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7"/>
  </w:num>
  <w:num w:numId="4">
    <w:abstractNumId w:val="9"/>
  </w:num>
  <w:num w:numId="5">
    <w:abstractNumId w:val="30"/>
  </w:num>
  <w:num w:numId="6">
    <w:abstractNumId w:val="5"/>
  </w:num>
  <w:num w:numId="7">
    <w:abstractNumId w:val="1"/>
  </w:num>
  <w:num w:numId="8">
    <w:abstractNumId w:val="25"/>
  </w:num>
  <w:num w:numId="9">
    <w:abstractNumId w:val="16"/>
  </w:num>
  <w:num w:numId="10">
    <w:abstractNumId w:val="14"/>
  </w:num>
  <w:num w:numId="11">
    <w:abstractNumId w:val="20"/>
  </w:num>
  <w:num w:numId="12">
    <w:abstractNumId w:val="28"/>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4"/>
  </w:num>
  <w:num w:numId="25">
    <w:abstractNumId w:val="12"/>
  </w:num>
  <w:num w:numId="26">
    <w:abstractNumId w:val="26"/>
  </w:num>
  <w:num w:numId="27">
    <w:abstractNumId w:val="11"/>
  </w:num>
  <w:num w:numId="28">
    <w:abstractNumId w:val="21"/>
  </w:num>
  <w:num w:numId="29">
    <w:abstractNumId w:val="15"/>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70F3"/>
    <w:rsid w:val="00017DFC"/>
    <w:rsid w:val="00022EAD"/>
    <w:rsid w:val="00031C6E"/>
    <w:rsid w:val="0003783B"/>
    <w:rsid w:val="00037F0D"/>
    <w:rsid w:val="000424A6"/>
    <w:rsid w:val="00053FDF"/>
    <w:rsid w:val="00054A9F"/>
    <w:rsid w:val="00056F73"/>
    <w:rsid w:val="0006526A"/>
    <w:rsid w:val="000731FC"/>
    <w:rsid w:val="00075342"/>
    <w:rsid w:val="00076196"/>
    <w:rsid w:val="0008105B"/>
    <w:rsid w:val="00081B93"/>
    <w:rsid w:val="00093B9B"/>
    <w:rsid w:val="00094E62"/>
    <w:rsid w:val="000A5BAE"/>
    <w:rsid w:val="000B4BFB"/>
    <w:rsid w:val="000C21BB"/>
    <w:rsid w:val="000C25F1"/>
    <w:rsid w:val="000C480C"/>
    <w:rsid w:val="000C7608"/>
    <w:rsid w:val="000D09B3"/>
    <w:rsid w:val="000D6F9D"/>
    <w:rsid w:val="000D7BBD"/>
    <w:rsid w:val="000E0A9B"/>
    <w:rsid w:val="000E7C25"/>
    <w:rsid w:val="000F6357"/>
    <w:rsid w:val="00100AF6"/>
    <w:rsid w:val="0010191A"/>
    <w:rsid w:val="00104001"/>
    <w:rsid w:val="00104337"/>
    <w:rsid w:val="001220E4"/>
    <w:rsid w:val="0013161B"/>
    <w:rsid w:val="00137797"/>
    <w:rsid w:val="001551CC"/>
    <w:rsid w:val="001562BE"/>
    <w:rsid w:val="001634FB"/>
    <w:rsid w:val="001656BC"/>
    <w:rsid w:val="001702F3"/>
    <w:rsid w:val="00170548"/>
    <w:rsid w:val="00172CE7"/>
    <w:rsid w:val="001765FB"/>
    <w:rsid w:val="001808B6"/>
    <w:rsid w:val="00182765"/>
    <w:rsid w:val="00182B0E"/>
    <w:rsid w:val="00185E46"/>
    <w:rsid w:val="00190DF3"/>
    <w:rsid w:val="001A3C06"/>
    <w:rsid w:val="001B5CE4"/>
    <w:rsid w:val="001D67CE"/>
    <w:rsid w:val="001D6F93"/>
    <w:rsid w:val="001E764F"/>
    <w:rsid w:val="001F179F"/>
    <w:rsid w:val="0020298E"/>
    <w:rsid w:val="00205167"/>
    <w:rsid w:val="002159B4"/>
    <w:rsid w:val="0021608D"/>
    <w:rsid w:val="00220639"/>
    <w:rsid w:val="0022133C"/>
    <w:rsid w:val="0022517C"/>
    <w:rsid w:val="00225203"/>
    <w:rsid w:val="0022579A"/>
    <w:rsid w:val="00226115"/>
    <w:rsid w:val="002315A3"/>
    <w:rsid w:val="002346B3"/>
    <w:rsid w:val="00235236"/>
    <w:rsid w:val="002419BB"/>
    <w:rsid w:val="002433A2"/>
    <w:rsid w:val="002446DE"/>
    <w:rsid w:val="00246A65"/>
    <w:rsid w:val="00250221"/>
    <w:rsid w:val="00257414"/>
    <w:rsid w:val="0026320F"/>
    <w:rsid w:val="00270AAE"/>
    <w:rsid w:val="00277F40"/>
    <w:rsid w:val="00280925"/>
    <w:rsid w:val="00283370"/>
    <w:rsid w:val="00285AD7"/>
    <w:rsid w:val="00290FEC"/>
    <w:rsid w:val="00293E85"/>
    <w:rsid w:val="002959D2"/>
    <w:rsid w:val="002A11B3"/>
    <w:rsid w:val="002A393B"/>
    <w:rsid w:val="002B47E9"/>
    <w:rsid w:val="002C00E1"/>
    <w:rsid w:val="002C7CBA"/>
    <w:rsid w:val="002D2254"/>
    <w:rsid w:val="002D23D0"/>
    <w:rsid w:val="002D38E7"/>
    <w:rsid w:val="002E7C9F"/>
    <w:rsid w:val="002F37EF"/>
    <w:rsid w:val="002F4E11"/>
    <w:rsid w:val="002F73E5"/>
    <w:rsid w:val="003051EA"/>
    <w:rsid w:val="00307050"/>
    <w:rsid w:val="00307DEE"/>
    <w:rsid w:val="00316394"/>
    <w:rsid w:val="00323369"/>
    <w:rsid w:val="00324440"/>
    <w:rsid w:val="00340879"/>
    <w:rsid w:val="00345480"/>
    <w:rsid w:val="003506EA"/>
    <w:rsid w:val="00350E1B"/>
    <w:rsid w:val="00354C2E"/>
    <w:rsid w:val="003620BF"/>
    <w:rsid w:val="00367CB0"/>
    <w:rsid w:val="00375C73"/>
    <w:rsid w:val="00375F31"/>
    <w:rsid w:val="0038484F"/>
    <w:rsid w:val="00385FC9"/>
    <w:rsid w:val="00391DD7"/>
    <w:rsid w:val="003A64BB"/>
    <w:rsid w:val="003B236D"/>
    <w:rsid w:val="003B298B"/>
    <w:rsid w:val="003B7CE2"/>
    <w:rsid w:val="003C054E"/>
    <w:rsid w:val="003D1234"/>
    <w:rsid w:val="003F266C"/>
    <w:rsid w:val="00401F7B"/>
    <w:rsid w:val="00403715"/>
    <w:rsid w:val="00420FFD"/>
    <w:rsid w:val="004233D2"/>
    <w:rsid w:val="00441A9B"/>
    <w:rsid w:val="004507E6"/>
    <w:rsid w:val="00452228"/>
    <w:rsid w:val="00453907"/>
    <w:rsid w:val="004539BB"/>
    <w:rsid w:val="004556F7"/>
    <w:rsid w:val="004568CC"/>
    <w:rsid w:val="00457064"/>
    <w:rsid w:val="00460B87"/>
    <w:rsid w:val="004662FE"/>
    <w:rsid w:val="00467ECF"/>
    <w:rsid w:val="0047735B"/>
    <w:rsid w:val="004850D0"/>
    <w:rsid w:val="00485FFA"/>
    <w:rsid w:val="004A4461"/>
    <w:rsid w:val="004A587D"/>
    <w:rsid w:val="004B3247"/>
    <w:rsid w:val="004B6547"/>
    <w:rsid w:val="004B7E92"/>
    <w:rsid w:val="004C06AB"/>
    <w:rsid w:val="004C3B19"/>
    <w:rsid w:val="004C5ADC"/>
    <w:rsid w:val="004E03A4"/>
    <w:rsid w:val="004E31D7"/>
    <w:rsid w:val="004E4C91"/>
    <w:rsid w:val="004E4CD6"/>
    <w:rsid w:val="004F13B0"/>
    <w:rsid w:val="004F1B46"/>
    <w:rsid w:val="004F5279"/>
    <w:rsid w:val="00505DF1"/>
    <w:rsid w:val="005064E9"/>
    <w:rsid w:val="00513CCD"/>
    <w:rsid w:val="005176E6"/>
    <w:rsid w:val="00530917"/>
    <w:rsid w:val="00535BB0"/>
    <w:rsid w:val="0053773B"/>
    <w:rsid w:val="0055024F"/>
    <w:rsid w:val="005554F9"/>
    <w:rsid w:val="00560C32"/>
    <w:rsid w:val="00575802"/>
    <w:rsid w:val="00581834"/>
    <w:rsid w:val="00581FFB"/>
    <w:rsid w:val="005826C8"/>
    <w:rsid w:val="005832B8"/>
    <w:rsid w:val="00585632"/>
    <w:rsid w:val="0058684A"/>
    <w:rsid w:val="00593228"/>
    <w:rsid w:val="005A6B29"/>
    <w:rsid w:val="005A767F"/>
    <w:rsid w:val="005B0EFC"/>
    <w:rsid w:val="005B2223"/>
    <w:rsid w:val="005C46AA"/>
    <w:rsid w:val="005C7251"/>
    <w:rsid w:val="005C7AA9"/>
    <w:rsid w:val="005D1ED7"/>
    <w:rsid w:val="005E51AF"/>
    <w:rsid w:val="005F182A"/>
    <w:rsid w:val="005F7A16"/>
    <w:rsid w:val="006002DC"/>
    <w:rsid w:val="0060505C"/>
    <w:rsid w:val="00611B55"/>
    <w:rsid w:val="00614648"/>
    <w:rsid w:val="00616822"/>
    <w:rsid w:val="00627521"/>
    <w:rsid w:val="006306A8"/>
    <w:rsid w:val="0063575A"/>
    <w:rsid w:val="00640174"/>
    <w:rsid w:val="006419E7"/>
    <w:rsid w:val="00641AD3"/>
    <w:rsid w:val="00646BFB"/>
    <w:rsid w:val="00647B4B"/>
    <w:rsid w:val="00647ECC"/>
    <w:rsid w:val="006510E9"/>
    <w:rsid w:val="00653B50"/>
    <w:rsid w:val="00655F95"/>
    <w:rsid w:val="00656CC7"/>
    <w:rsid w:val="00657E0B"/>
    <w:rsid w:val="00663C56"/>
    <w:rsid w:val="00665DAE"/>
    <w:rsid w:val="006664C3"/>
    <w:rsid w:val="00677294"/>
    <w:rsid w:val="006A119C"/>
    <w:rsid w:val="006A19B7"/>
    <w:rsid w:val="006A2B5B"/>
    <w:rsid w:val="006A3D4C"/>
    <w:rsid w:val="006B0C18"/>
    <w:rsid w:val="006C6D4C"/>
    <w:rsid w:val="006D09B4"/>
    <w:rsid w:val="006D1DFD"/>
    <w:rsid w:val="006E6454"/>
    <w:rsid w:val="006F214C"/>
    <w:rsid w:val="006F2DF2"/>
    <w:rsid w:val="006F3415"/>
    <w:rsid w:val="006F6F82"/>
    <w:rsid w:val="00702986"/>
    <w:rsid w:val="007057F0"/>
    <w:rsid w:val="00706196"/>
    <w:rsid w:val="00707B3B"/>
    <w:rsid w:val="00715DD1"/>
    <w:rsid w:val="00716030"/>
    <w:rsid w:val="007342E5"/>
    <w:rsid w:val="007353C0"/>
    <w:rsid w:val="00735538"/>
    <w:rsid w:val="0076119A"/>
    <w:rsid w:val="00765C2D"/>
    <w:rsid w:val="00766A83"/>
    <w:rsid w:val="00781F5D"/>
    <w:rsid w:val="007A1709"/>
    <w:rsid w:val="007A2C3D"/>
    <w:rsid w:val="007C08BD"/>
    <w:rsid w:val="007E0C30"/>
    <w:rsid w:val="007F7583"/>
    <w:rsid w:val="00802055"/>
    <w:rsid w:val="008046EB"/>
    <w:rsid w:val="0080724D"/>
    <w:rsid w:val="008173CF"/>
    <w:rsid w:val="00823753"/>
    <w:rsid w:val="008316DB"/>
    <w:rsid w:val="0083211C"/>
    <w:rsid w:val="00835A80"/>
    <w:rsid w:val="00837AE6"/>
    <w:rsid w:val="00865727"/>
    <w:rsid w:val="00866681"/>
    <w:rsid w:val="00890E5D"/>
    <w:rsid w:val="0089782A"/>
    <w:rsid w:val="008A1A0C"/>
    <w:rsid w:val="008A3586"/>
    <w:rsid w:val="008A3C0E"/>
    <w:rsid w:val="008B3EB4"/>
    <w:rsid w:val="008B667D"/>
    <w:rsid w:val="008C09C4"/>
    <w:rsid w:val="008C7470"/>
    <w:rsid w:val="008D3B01"/>
    <w:rsid w:val="008E147D"/>
    <w:rsid w:val="008E5B11"/>
    <w:rsid w:val="00900C5B"/>
    <w:rsid w:val="00902134"/>
    <w:rsid w:val="00907DA4"/>
    <w:rsid w:val="009148E3"/>
    <w:rsid w:val="0092760B"/>
    <w:rsid w:val="00930FD3"/>
    <w:rsid w:val="00932340"/>
    <w:rsid w:val="009333AA"/>
    <w:rsid w:val="00935095"/>
    <w:rsid w:val="00935ABA"/>
    <w:rsid w:val="009360FC"/>
    <w:rsid w:val="00947A89"/>
    <w:rsid w:val="00951EE2"/>
    <w:rsid w:val="0095571C"/>
    <w:rsid w:val="0096299C"/>
    <w:rsid w:val="0096422B"/>
    <w:rsid w:val="009650D8"/>
    <w:rsid w:val="009748FB"/>
    <w:rsid w:val="00976AA8"/>
    <w:rsid w:val="009773EC"/>
    <w:rsid w:val="00981E7A"/>
    <w:rsid w:val="009900E6"/>
    <w:rsid w:val="00990F55"/>
    <w:rsid w:val="009A1884"/>
    <w:rsid w:val="009A31C9"/>
    <w:rsid w:val="009A34A1"/>
    <w:rsid w:val="009A6D63"/>
    <w:rsid w:val="009A73F6"/>
    <w:rsid w:val="009B56DA"/>
    <w:rsid w:val="009C20B2"/>
    <w:rsid w:val="009C4D62"/>
    <w:rsid w:val="009D0B82"/>
    <w:rsid w:val="009D257E"/>
    <w:rsid w:val="009D5078"/>
    <w:rsid w:val="009E0DF7"/>
    <w:rsid w:val="009E1C08"/>
    <w:rsid w:val="009E202F"/>
    <w:rsid w:val="009E40F3"/>
    <w:rsid w:val="009E6983"/>
    <w:rsid w:val="009F040C"/>
    <w:rsid w:val="009F3047"/>
    <w:rsid w:val="00A07D8A"/>
    <w:rsid w:val="00A11CE2"/>
    <w:rsid w:val="00A20E8C"/>
    <w:rsid w:val="00A42A78"/>
    <w:rsid w:val="00A45D63"/>
    <w:rsid w:val="00A47406"/>
    <w:rsid w:val="00A541C3"/>
    <w:rsid w:val="00A550FC"/>
    <w:rsid w:val="00A7018C"/>
    <w:rsid w:val="00A70B89"/>
    <w:rsid w:val="00A70E2F"/>
    <w:rsid w:val="00A76E5B"/>
    <w:rsid w:val="00A81716"/>
    <w:rsid w:val="00A81DB3"/>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0C07"/>
    <w:rsid w:val="00AD29BF"/>
    <w:rsid w:val="00AE075F"/>
    <w:rsid w:val="00AE1098"/>
    <w:rsid w:val="00AE1446"/>
    <w:rsid w:val="00B12A97"/>
    <w:rsid w:val="00B13C3D"/>
    <w:rsid w:val="00B157E1"/>
    <w:rsid w:val="00B16A05"/>
    <w:rsid w:val="00B175A1"/>
    <w:rsid w:val="00B17BED"/>
    <w:rsid w:val="00B225A1"/>
    <w:rsid w:val="00B25ACB"/>
    <w:rsid w:val="00B25ECF"/>
    <w:rsid w:val="00B268A7"/>
    <w:rsid w:val="00B35686"/>
    <w:rsid w:val="00B51EB2"/>
    <w:rsid w:val="00B51EBA"/>
    <w:rsid w:val="00B5261C"/>
    <w:rsid w:val="00B5585B"/>
    <w:rsid w:val="00B5628D"/>
    <w:rsid w:val="00B62606"/>
    <w:rsid w:val="00B6431E"/>
    <w:rsid w:val="00B67AB9"/>
    <w:rsid w:val="00B70285"/>
    <w:rsid w:val="00B702CE"/>
    <w:rsid w:val="00B721A7"/>
    <w:rsid w:val="00B73739"/>
    <w:rsid w:val="00B74801"/>
    <w:rsid w:val="00B77B07"/>
    <w:rsid w:val="00B818DE"/>
    <w:rsid w:val="00B92BA3"/>
    <w:rsid w:val="00B93985"/>
    <w:rsid w:val="00BA28A5"/>
    <w:rsid w:val="00BA5F87"/>
    <w:rsid w:val="00BA79F7"/>
    <w:rsid w:val="00BB1683"/>
    <w:rsid w:val="00BB6613"/>
    <w:rsid w:val="00BB66A5"/>
    <w:rsid w:val="00BC66D9"/>
    <w:rsid w:val="00BE0FA0"/>
    <w:rsid w:val="00BF23CB"/>
    <w:rsid w:val="00BF3612"/>
    <w:rsid w:val="00BF497A"/>
    <w:rsid w:val="00BF7426"/>
    <w:rsid w:val="00C02B28"/>
    <w:rsid w:val="00C1171C"/>
    <w:rsid w:val="00C2122F"/>
    <w:rsid w:val="00C268AE"/>
    <w:rsid w:val="00C300F2"/>
    <w:rsid w:val="00C5671C"/>
    <w:rsid w:val="00C751B4"/>
    <w:rsid w:val="00C801A0"/>
    <w:rsid w:val="00C838B9"/>
    <w:rsid w:val="00C92977"/>
    <w:rsid w:val="00C940BC"/>
    <w:rsid w:val="00CC0D88"/>
    <w:rsid w:val="00CC269B"/>
    <w:rsid w:val="00CC29F3"/>
    <w:rsid w:val="00CC5C59"/>
    <w:rsid w:val="00CD235D"/>
    <w:rsid w:val="00CD42F6"/>
    <w:rsid w:val="00CD5591"/>
    <w:rsid w:val="00CE10CC"/>
    <w:rsid w:val="00CE703C"/>
    <w:rsid w:val="00CF2AB8"/>
    <w:rsid w:val="00CF3F96"/>
    <w:rsid w:val="00CF4C37"/>
    <w:rsid w:val="00CF55CF"/>
    <w:rsid w:val="00D008AB"/>
    <w:rsid w:val="00D01696"/>
    <w:rsid w:val="00D02BED"/>
    <w:rsid w:val="00D265BD"/>
    <w:rsid w:val="00D30F49"/>
    <w:rsid w:val="00D32294"/>
    <w:rsid w:val="00D35322"/>
    <w:rsid w:val="00D35B18"/>
    <w:rsid w:val="00D36525"/>
    <w:rsid w:val="00D42D9F"/>
    <w:rsid w:val="00D50C1C"/>
    <w:rsid w:val="00D53BDA"/>
    <w:rsid w:val="00D66856"/>
    <w:rsid w:val="00D67252"/>
    <w:rsid w:val="00D71F36"/>
    <w:rsid w:val="00D734C0"/>
    <w:rsid w:val="00D743B4"/>
    <w:rsid w:val="00D76186"/>
    <w:rsid w:val="00D76968"/>
    <w:rsid w:val="00D83C03"/>
    <w:rsid w:val="00D84899"/>
    <w:rsid w:val="00D8571F"/>
    <w:rsid w:val="00D91064"/>
    <w:rsid w:val="00D9357D"/>
    <w:rsid w:val="00D94FB1"/>
    <w:rsid w:val="00DA3393"/>
    <w:rsid w:val="00DB023D"/>
    <w:rsid w:val="00DB16DE"/>
    <w:rsid w:val="00DB45DF"/>
    <w:rsid w:val="00DB49FE"/>
    <w:rsid w:val="00DB74CF"/>
    <w:rsid w:val="00DD35F5"/>
    <w:rsid w:val="00DD6665"/>
    <w:rsid w:val="00DE62BC"/>
    <w:rsid w:val="00DF75FB"/>
    <w:rsid w:val="00E11D71"/>
    <w:rsid w:val="00E12DE7"/>
    <w:rsid w:val="00E15006"/>
    <w:rsid w:val="00E15446"/>
    <w:rsid w:val="00E40778"/>
    <w:rsid w:val="00E432C8"/>
    <w:rsid w:val="00E4342D"/>
    <w:rsid w:val="00E45C87"/>
    <w:rsid w:val="00E5336E"/>
    <w:rsid w:val="00E615C8"/>
    <w:rsid w:val="00E65759"/>
    <w:rsid w:val="00E73226"/>
    <w:rsid w:val="00E743D2"/>
    <w:rsid w:val="00E77E48"/>
    <w:rsid w:val="00E8779D"/>
    <w:rsid w:val="00E87A9B"/>
    <w:rsid w:val="00E97D24"/>
    <w:rsid w:val="00E97F04"/>
    <w:rsid w:val="00EA73B7"/>
    <w:rsid w:val="00EB3E73"/>
    <w:rsid w:val="00EC181A"/>
    <w:rsid w:val="00EC2949"/>
    <w:rsid w:val="00EE4BA3"/>
    <w:rsid w:val="00EE62E6"/>
    <w:rsid w:val="00EF4FA7"/>
    <w:rsid w:val="00EF6354"/>
    <w:rsid w:val="00F1179A"/>
    <w:rsid w:val="00F13970"/>
    <w:rsid w:val="00F206C1"/>
    <w:rsid w:val="00F20B8D"/>
    <w:rsid w:val="00F301D8"/>
    <w:rsid w:val="00F376E5"/>
    <w:rsid w:val="00F404B1"/>
    <w:rsid w:val="00F408C2"/>
    <w:rsid w:val="00F46275"/>
    <w:rsid w:val="00F548C9"/>
    <w:rsid w:val="00F62C56"/>
    <w:rsid w:val="00F71AB8"/>
    <w:rsid w:val="00F76E36"/>
    <w:rsid w:val="00F801FB"/>
    <w:rsid w:val="00F82F6D"/>
    <w:rsid w:val="00F90029"/>
    <w:rsid w:val="00F92019"/>
    <w:rsid w:val="00F94FDD"/>
    <w:rsid w:val="00F9597B"/>
    <w:rsid w:val="00F95E7A"/>
    <w:rsid w:val="00FA016B"/>
    <w:rsid w:val="00FA6295"/>
    <w:rsid w:val="00FD10D9"/>
    <w:rsid w:val="00FD395A"/>
    <w:rsid w:val="00FD4182"/>
    <w:rsid w:val="00FE1AB5"/>
    <w:rsid w:val="00FE3524"/>
    <w:rsid w:val="00FE478E"/>
    <w:rsid w:val="00FE4D6A"/>
    <w:rsid w:val="00FF6D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F67E-4CF5-4047-8FAD-43BE8959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2</cp:revision>
  <cp:lastPrinted>2019-01-16T16:47:00Z</cp:lastPrinted>
  <dcterms:created xsi:type="dcterms:W3CDTF">2019-01-16T16:49:00Z</dcterms:created>
  <dcterms:modified xsi:type="dcterms:W3CDTF">2019-01-16T16:49:00Z</dcterms:modified>
</cp:coreProperties>
</file>