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2127C7">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7C867D66" wp14:editId="4E85AF56">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2127C7">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2127C7">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2127C7">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E90AB4" w:rsidP="002159B4">
            <w:pPr>
              <w:rPr>
                <w:rFonts w:ascii="Arial" w:hAnsi="Arial" w:cs="Arial"/>
              </w:rPr>
            </w:pPr>
            <w:r>
              <w:rPr>
                <w:rFonts w:ascii="Arial" w:hAnsi="Arial" w:cs="Arial"/>
              </w:rPr>
              <w:t>June 27,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4E230C" w:rsidP="00280925">
            <w:pPr>
              <w:jc w:val="right"/>
              <w:rPr>
                <w:rFonts w:ascii="Arial" w:hAnsi="Arial" w:cs="Arial"/>
              </w:rPr>
            </w:pPr>
            <w:r>
              <w:rPr>
                <w:rFonts w:ascii="Arial" w:hAnsi="Arial" w:cs="Arial"/>
              </w:rPr>
              <w:t>PL170479</w:t>
            </w:r>
          </w:p>
        </w:tc>
      </w:tr>
    </w:tbl>
    <w:p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rsidTr="002127C7">
        <w:tc>
          <w:tcPr>
            <w:tcW w:w="9606" w:type="dxa"/>
            <w:tcBorders>
              <w:top w:val="nil"/>
              <w:left w:val="nil"/>
              <w:bottom w:val="nil"/>
              <w:right w:val="nil"/>
            </w:tcBorders>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348"/>
        <w:gridCol w:w="120"/>
        <w:gridCol w:w="5388"/>
        <w:gridCol w:w="1212"/>
      </w:tblGrid>
      <w:tr w:rsidR="002127C7" w:rsidTr="002127C7">
        <w:trPr>
          <w:cantSplit/>
          <w:trHeight w:val="732"/>
        </w:trPr>
        <w:tc>
          <w:tcPr>
            <w:tcW w:w="10068" w:type="dxa"/>
            <w:gridSpan w:val="4"/>
            <w:hideMark/>
          </w:tcPr>
          <w:p w:rsidR="002127C7" w:rsidRPr="0064370E" w:rsidRDefault="002127C7">
            <w:pPr>
              <w:rPr>
                <w:rFonts w:ascii="Arial" w:hAnsi="Arial" w:cs="Arial"/>
              </w:rPr>
            </w:pPr>
            <w:r w:rsidRPr="0064370E">
              <w:rPr>
                <w:rFonts w:ascii="Arial" w:hAnsi="Arial" w:cs="Arial"/>
                <w:b/>
              </w:rPr>
              <w:t xml:space="preserve">PROCEEDING COMMENCED UNDER </w:t>
            </w:r>
            <w:r w:rsidRPr="0064370E">
              <w:rPr>
                <w:rFonts w:ascii="Arial" w:hAnsi="Arial" w:cs="Arial"/>
              </w:rPr>
              <w:t xml:space="preserve">subsection 22(7) of the </w:t>
            </w:r>
            <w:r w:rsidRPr="0064370E">
              <w:rPr>
                <w:rFonts w:ascii="Arial" w:hAnsi="Arial" w:cs="Arial"/>
                <w:i/>
              </w:rPr>
              <w:t>Planning Act</w:t>
            </w:r>
            <w:r w:rsidRPr="0064370E">
              <w:rPr>
                <w:rFonts w:ascii="Arial" w:hAnsi="Arial" w:cs="Arial"/>
              </w:rPr>
              <w:t>, R.S.O. 1990, c. P.13, as amended</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Applicant and Appellant:</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Maple Valley Development Corporation Inc.</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Subject:</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Request to amend the Official Plan - Failure of the City of Mississauga to adopt the requested amendment</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Existing Designation:</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“Residential Low Density 1”</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Proposed Designated: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 xml:space="preserve">"Residential Medium Density" and "Residential Low Density II" and to repeal the current Section 16.2.3 .4 ("Special Site 4") for the Applewood </w:t>
            </w:r>
            <w:proofErr w:type="spellStart"/>
            <w:r w:rsidRPr="0064370E">
              <w:rPr>
                <w:rFonts w:ascii="Arial" w:hAnsi="Arial" w:cs="Arial"/>
              </w:rPr>
              <w:t>Neighbourhood</w:t>
            </w:r>
            <w:proofErr w:type="spellEnd"/>
            <w:r w:rsidRPr="0064370E">
              <w:rPr>
                <w:rFonts w:ascii="Arial" w:hAnsi="Arial" w:cs="Arial"/>
              </w:rPr>
              <w:t xml:space="preserve"> Character Area and replace it with an amended version</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Purpose: </w:t>
            </w:r>
          </w:p>
        </w:tc>
        <w:tc>
          <w:tcPr>
            <w:tcW w:w="6600" w:type="dxa"/>
            <w:gridSpan w:val="2"/>
            <w:hideMark/>
          </w:tcPr>
          <w:p w:rsidR="002127C7" w:rsidRPr="0064370E" w:rsidRDefault="002127C7" w:rsidP="003571F0">
            <w:pPr>
              <w:ind w:left="927"/>
              <w:rPr>
                <w:rFonts w:ascii="Arial" w:hAnsi="Arial" w:cs="Arial"/>
              </w:rPr>
            </w:pPr>
            <w:r w:rsidRPr="0064370E">
              <w:rPr>
                <w:rFonts w:ascii="Arial" w:hAnsi="Arial" w:cs="Arial"/>
              </w:rPr>
              <w:t>To permit 38 three-</w:t>
            </w:r>
            <w:proofErr w:type="spellStart"/>
            <w:r w:rsidRPr="0064370E">
              <w:rPr>
                <w:rFonts w:ascii="Arial" w:hAnsi="Arial" w:cs="Arial"/>
              </w:rPr>
              <w:t>storey</w:t>
            </w:r>
            <w:proofErr w:type="spellEnd"/>
            <w:r w:rsidRPr="0064370E">
              <w:rPr>
                <w:rFonts w:ascii="Arial" w:hAnsi="Arial" w:cs="Arial"/>
              </w:rPr>
              <w:t xml:space="preserve"> stacked townhouse units, 4 three-</w:t>
            </w:r>
            <w:proofErr w:type="spellStart"/>
            <w:r w:rsidRPr="0064370E">
              <w:rPr>
                <w:rFonts w:ascii="Arial" w:hAnsi="Arial" w:cs="Arial"/>
              </w:rPr>
              <w:t>storey</w:t>
            </w:r>
            <w:proofErr w:type="spellEnd"/>
            <w:r w:rsidRPr="0064370E">
              <w:rPr>
                <w:rFonts w:ascii="Arial" w:hAnsi="Arial" w:cs="Arial"/>
              </w:rPr>
              <w:t xml:space="preserve"> street townhomes and a public walkway </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Property Address/Description: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 xml:space="preserve">3111 and 3123 </w:t>
            </w:r>
            <w:proofErr w:type="spellStart"/>
            <w:r w:rsidRPr="0064370E">
              <w:rPr>
                <w:rFonts w:ascii="Arial" w:hAnsi="Arial" w:cs="Arial"/>
              </w:rPr>
              <w:t>Cawthra</w:t>
            </w:r>
            <w:proofErr w:type="spellEnd"/>
            <w:r w:rsidRPr="0064370E">
              <w:rPr>
                <w:rFonts w:ascii="Arial" w:hAnsi="Arial" w:cs="Arial"/>
              </w:rPr>
              <w:t xml:space="preserve"> Road</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Municipality: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City of Mississauga</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Approval Authority File No.: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OPA/OZ-16/001</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OMB Case No.: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PL170479</w:t>
            </w:r>
            <w:bookmarkStart w:id="1" w:name="_GoBack"/>
            <w:bookmarkEnd w:id="1"/>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OMB File No.: </w:t>
            </w:r>
          </w:p>
        </w:tc>
        <w:tc>
          <w:tcPr>
            <w:tcW w:w="6600" w:type="dxa"/>
            <w:gridSpan w:val="2"/>
            <w:hideMark/>
          </w:tcPr>
          <w:p w:rsidR="002127C7" w:rsidRPr="0064370E" w:rsidRDefault="002127C7" w:rsidP="0064370E">
            <w:pPr>
              <w:ind w:left="927"/>
              <w:rPr>
                <w:rFonts w:ascii="Arial" w:hAnsi="Arial" w:cs="Arial"/>
              </w:rPr>
            </w:pPr>
            <w:r w:rsidRPr="0064370E">
              <w:rPr>
                <w:rFonts w:ascii="Arial" w:hAnsi="Arial" w:cs="Arial"/>
              </w:rPr>
              <w:t>PL170479</w:t>
            </w:r>
          </w:p>
        </w:tc>
      </w:tr>
      <w:tr w:rsidR="002127C7" w:rsidTr="002127C7">
        <w:tc>
          <w:tcPr>
            <w:tcW w:w="3468" w:type="dxa"/>
            <w:gridSpan w:val="2"/>
            <w:hideMark/>
          </w:tcPr>
          <w:p w:rsidR="002127C7" w:rsidRPr="0064370E" w:rsidRDefault="002127C7">
            <w:pPr>
              <w:rPr>
                <w:rFonts w:ascii="Arial" w:hAnsi="Arial" w:cs="Arial"/>
              </w:rPr>
            </w:pPr>
            <w:r w:rsidRPr="0064370E">
              <w:rPr>
                <w:rFonts w:ascii="Arial" w:hAnsi="Arial" w:cs="Arial"/>
              </w:rPr>
              <w:t xml:space="preserve">OMB Case Name: </w:t>
            </w:r>
          </w:p>
        </w:tc>
        <w:tc>
          <w:tcPr>
            <w:tcW w:w="6600" w:type="dxa"/>
            <w:gridSpan w:val="2"/>
            <w:hideMark/>
          </w:tcPr>
          <w:p w:rsidR="002127C7" w:rsidRPr="0064370E" w:rsidRDefault="002127C7" w:rsidP="001C137D">
            <w:pPr>
              <w:ind w:left="927"/>
              <w:rPr>
                <w:rFonts w:ascii="Arial" w:hAnsi="Arial" w:cs="Arial"/>
              </w:rPr>
            </w:pPr>
            <w:r w:rsidRPr="0064370E">
              <w:rPr>
                <w:rFonts w:ascii="Arial" w:hAnsi="Arial" w:cs="Arial"/>
              </w:rPr>
              <w:t xml:space="preserve">Maple Valley Development Corporation Inc. </w:t>
            </w:r>
            <w:r w:rsidR="001C137D">
              <w:rPr>
                <w:rFonts w:ascii="Arial" w:hAnsi="Arial" w:cs="Arial"/>
              </w:rPr>
              <w:t>v</w:t>
            </w:r>
            <w:r w:rsidRPr="0064370E">
              <w:rPr>
                <w:rFonts w:ascii="Arial" w:hAnsi="Arial" w:cs="Arial"/>
              </w:rPr>
              <w:t>. Mississauga (City)</w:t>
            </w:r>
          </w:p>
        </w:tc>
      </w:tr>
      <w:tr w:rsidR="002127C7" w:rsidTr="002127C7">
        <w:tc>
          <w:tcPr>
            <w:tcW w:w="3468" w:type="dxa"/>
            <w:gridSpan w:val="2"/>
          </w:tcPr>
          <w:p w:rsidR="002127C7" w:rsidRPr="0064370E" w:rsidRDefault="002127C7">
            <w:pPr>
              <w:rPr>
                <w:rFonts w:ascii="Arial" w:hAnsi="Arial" w:cs="Arial"/>
              </w:rPr>
            </w:pPr>
          </w:p>
        </w:tc>
        <w:tc>
          <w:tcPr>
            <w:tcW w:w="6600" w:type="dxa"/>
            <w:gridSpan w:val="2"/>
          </w:tcPr>
          <w:p w:rsidR="002127C7" w:rsidRPr="0064370E" w:rsidRDefault="002127C7">
            <w:pPr>
              <w:rPr>
                <w:rFonts w:ascii="Arial" w:hAnsi="Arial" w:cs="Arial"/>
              </w:rPr>
            </w:pPr>
          </w:p>
        </w:tc>
      </w:tr>
      <w:tr w:rsidR="002127C7" w:rsidTr="002127C7">
        <w:trPr>
          <w:gridAfter w:val="1"/>
          <w:wAfter w:w="1212" w:type="dxa"/>
          <w:cantSplit/>
          <w:trHeight w:val="732"/>
        </w:trPr>
        <w:tc>
          <w:tcPr>
            <w:tcW w:w="8856" w:type="dxa"/>
            <w:gridSpan w:val="3"/>
          </w:tcPr>
          <w:p w:rsidR="002127C7" w:rsidRPr="0064370E" w:rsidRDefault="002127C7">
            <w:pPr>
              <w:rPr>
                <w:rFonts w:ascii="Arial" w:hAnsi="Arial" w:cs="Arial"/>
                <w:b/>
              </w:rPr>
            </w:pPr>
          </w:p>
          <w:p w:rsidR="002127C7" w:rsidRPr="0064370E" w:rsidRDefault="002127C7">
            <w:pPr>
              <w:rPr>
                <w:rFonts w:ascii="Arial" w:hAnsi="Arial" w:cs="Arial"/>
              </w:rPr>
            </w:pPr>
            <w:r w:rsidRPr="0064370E">
              <w:rPr>
                <w:rFonts w:ascii="Arial" w:hAnsi="Arial" w:cs="Arial"/>
                <w:b/>
              </w:rPr>
              <w:t xml:space="preserve">PROCEEDING COMMENCED UNDER </w:t>
            </w:r>
            <w:r w:rsidRPr="0064370E">
              <w:rPr>
                <w:rFonts w:ascii="Arial" w:hAnsi="Arial" w:cs="Arial"/>
              </w:rPr>
              <w:t>subsection 34(11) of the Planning Act, R.S.O. 1990, c. P.13, as amended</w:t>
            </w:r>
          </w:p>
          <w:p w:rsidR="002127C7" w:rsidRPr="0064370E" w:rsidRDefault="002127C7">
            <w:pPr>
              <w:rPr>
                <w:rFonts w:ascii="Arial" w:hAnsi="Arial" w:cs="Arial"/>
              </w:rPr>
            </w:pP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Applicant and Appellant:</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Maple Valley Development Corporation Inc.</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Subject:</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Application to amend Zoning By-law No. 0225-2007 - Neglect of  the City of Mississauga to make a decision</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lastRenderedPageBreak/>
              <w:t>Existing Zoning:</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Residential Low Density 1 – Special Site 4</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Proposed Zoning: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 xml:space="preserve">R3 (detached dwellings to RM9 - Exception Horizontal Multiple Dwellings </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Purpose: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To permit 38 three-</w:t>
            </w:r>
            <w:proofErr w:type="spellStart"/>
            <w:r w:rsidRPr="0064370E">
              <w:rPr>
                <w:rFonts w:ascii="Arial" w:hAnsi="Arial" w:cs="Arial"/>
              </w:rPr>
              <w:t>storey</w:t>
            </w:r>
            <w:proofErr w:type="spellEnd"/>
            <w:r w:rsidRPr="0064370E">
              <w:rPr>
                <w:rFonts w:ascii="Arial" w:hAnsi="Arial" w:cs="Arial"/>
              </w:rPr>
              <w:t xml:space="preserve"> stacked townhomes and condominium road </w:t>
            </w:r>
          </w:p>
        </w:tc>
      </w:tr>
      <w:tr w:rsidR="002127C7" w:rsidTr="002127C7">
        <w:trPr>
          <w:gridAfter w:val="1"/>
          <w:wAfter w:w="1212" w:type="dxa"/>
        </w:trPr>
        <w:tc>
          <w:tcPr>
            <w:tcW w:w="3348" w:type="dxa"/>
            <w:hideMark/>
          </w:tcPr>
          <w:p w:rsidR="002127C7" w:rsidRPr="0064370E" w:rsidRDefault="002127C7" w:rsidP="0064370E">
            <w:pPr>
              <w:ind w:right="-412"/>
              <w:rPr>
                <w:rFonts w:ascii="Arial" w:hAnsi="Arial" w:cs="Arial"/>
              </w:rPr>
            </w:pPr>
            <w:r w:rsidRPr="0064370E">
              <w:rPr>
                <w:rFonts w:ascii="Arial" w:hAnsi="Arial" w:cs="Arial"/>
              </w:rPr>
              <w:t xml:space="preserve">Property Address/Description: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 xml:space="preserve">3111 and 3123 </w:t>
            </w:r>
            <w:proofErr w:type="spellStart"/>
            <w:r w:rsidRPr="0064370E">
              <w:rPr>
                <w:rFonts w:ascii="Arial" w:hAnsi="Arial" w:cs="Arial"/>
              </w:rPr>
              <w:t>Cawthra</w:t>
            </w:r>
            <w:proofErr w:type="spellEnd"/>
            <w:r w:rsidRPr="0064370E">
              <w:rPr>
                <w:rFonts w:ascii="Arial" w:hAnsi="Arial" w:cs="Arial"/>
              </w:rPr>
              <w:t xml:space="preserve"> Road</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Municipality: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City of Mississauga</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Municipality File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OPA/OZ-16/001</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OMB Case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PL170479</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OMB File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PL170480</w:t>
            </w:r>
          </w:p>
        </w:tc>
      </w:tr>
      <w:tr w:rsidR="002127C7" w:rsidTr="002127C7">
        <w:trPr>
          <w:gridAfter w:val="1"/>
          <w:wAfter w:w="1212" w:type="dxa"/>
        </w:trPr>
        <w:tc>
          <w:tcPr>
            <w:tcW w:w="3348" w:type="dxa"/>
          </w:tcPr>
          <w:p w:rsidR="002127C7" w:rsidRPr="0064370E" w:rsidRDefault="002127C7">
            <w:pPr>
              <w:rPr>
                <w:rFonts w:ascii="Arial" w:hAnsi="Arial" w:cs="Arial"/>
              </w:rPr>
            </w:pPr>
          </w:p>
        </w:tc>
        <w:tc>
          <w:tcPr>
            <w:tcW w:w="5508" w:type="dxa"/>
            <w:gridSpan w:val="2"/>
          </w:tcPr>
          <w:p w:rsidR="002127C7" w:rsidRPr="0064370E" w:rsidRDefault="002127C7">
            <w:pPr>
              <w:rPr>
                <w:rFonts w:ascii="Arial" w:hAnsi="Arial" w:cs="Arial"/>
              </w:rPr>
            </w:pPr>
          </w:p>
        </w:tc>
      </w:tr>
      <w:tr w:rsidR="002127C7" w:rsidTr="002127C7">
        <w:trPr>
          <w:gridAfter w:val="1"/>
          <w:wAfter w:w="1212" w:type="dxa"/>
          <w:cantSplit/>
          <w:trHeight w:val="732"/>
        </w:trPr>
        <w:tc>
          <w:tcPr>
            <w:tcW w:w="8856" w:type="dxa"/>
            <w:gridSpan w:val="3"/>
            <w:hideMark/>
          </w:tcPr>
          <w:p w:rsidR="002127C7" w:rsidRPr="0064370E" w:rsidRDefault="002127C7">
            <w:pPr>
              <w:rPr>
                <w:rFonts w:ascii="Arial" w:hAnsi="Arial" w:cs="Arial"/>
              </w:rPr>
            </w:pPr>
            <w:r w:rsidRPr="0064370E">
              <w:rPr>
                <w:rFonts w:ascii="Arial" w:hAnsi="Arial" w:cs="Arial"/>
                <w:b/>
              </w:rPr>
              <w:t xml:space="preserve">PROCEEDING COMMENCED UNDER </w:t>
            </w:r>
            <w:r w:rsidRPr="0064370E">
              <w:rPr>
                <w:rFonts w:ascii="Arial" w:hAnsi="Arial" w:cs="Arial"/>
              </w:rPr>
              <w:t xml:space="preserve">subsection 51(34) of the </w:t>
            </w:r>
            <w:r w:rsidRPr="0064370E">
              <w:rPr>
                <w:rFonts w:ascii="Arial" w:hAnsi="Arial" w:cs="Arial"/>
                <w:i/>
              </w:rPr>
              <w:t>Planning Act</w:t>
            </w:r>
            <w:r w:rsidRPr="0064370E">
              <w:rPr>
                <w:rFonts w:ascii="Arial" w:hAnsi="Arial" w:cs="Arial"/>
              </w:rPr>
              <w:t>, R.S.O. 1990, c. P.13, as amended</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Applicant and Appellant:</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Maple Valley Development Corporation Inc.</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Subject:</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Proposed Plan of Subdivision - Failure of City of Mississauga to make a decision</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Purpose:</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To permit 2 residential blocks, a public walkway and a new public road (a cul-de-sac at the end of Ericson Road)</w:t>
            </w:r>
          </w:p>
        </w:tc>
      </w:tr>
      <w:tr w:rsidR="002127C7" w:rsidTr="002127C7">
        <w:trPr>
          <w:gridAfter w:val="1"/>
          <w:wAfter w:w="1212" w:type="dxa"/>
        </w:trPr>
        <w:tc>
          <w:tcPr>
            <w:tcW w:w="3348" w:type="dxa"/>
            <w:hideMark/>
          </w:tcPr>
          <w:p w:rsidR="002127C7" w:rsidRPr="0064370E" w:rsidRDefault="002127C7" w:rsidP="0064370E">
            <w:pPr>
              <w:ind w:right="-270"/>
              <w:rPr>
                <w:rFonts w:ascii="Arial" w:hAnsi="Arial" w:cs="Arial"/>
              </w:rPr>
            </w:pPr>
            <w:r w:rsidRPr="0064370E">
              <w:rPr>
                <w:rFonts w:ascii="Arial" w:hAnsi="Arial" w:cs="Arial"/>
              </w:rPr>
              <w:t xml:space="preserve">Property Address/Description: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 xml:space="preserve">3111 and 3123 </w:t>
            </w:r>
            <w:proofErr w:type="spellStart"/>
            <w:r w:rsidRPr="0064370E">
              <w:rPr>
                <w:rFonts w:ascii="Arial" w:hAnsi="Arial" w:cs="Arial"/>
              </w:rPr>
              <w:t>Cawthra</w:t>
            </w:r>
            <w:proofErr w:type="spellEnd"/>
            <w:r w:rsidRPr="0064370E">
              <w:rPr>
                <w:rFonts w:ascii="Arial" w:hAnsi="Arial" w:cs="Arial"/>
              </w:rPr>
              <w:t xml:space="preserve"> Road</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Municipality: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City of Mississauga</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Municipality File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TM-16/001</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OMB Case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PL170479</w:t>
            </w:r>
          </w:p>
        </w:tc>
      </w:tr>
      <w:tr w:rsidR="002127C7" w:rsidTr="002127C7">
        <w:trPr>
          <w:gridAfter w:val="1"/>
          <w:wAfter w:w="1212" w:type="dxa"/>
        </w:trPr>
        <w:tc>
          <w:tcPr>
            <w:tcW w:w="3348" w:type="dxa"/>
            <w:hideMark/>
          </w:tcPr>
          <w:p w:rsidR="002127C7" w:rsidRPr="0064370E" w:rsidRDefault="002127C7">
            <w:pPr>
              <w:rPr>
                <w:rFonts w:ascii="Arial" w:hAnsi="Arial" w:cs="Arial"/>
              </w:rPr>
            </w:pPr>
            <w:r w:rsidRPr="0064370E">
              <w:rPr>
                <w:rFonts w:ascii="Arial" w:hAnsi="Arial" w:cs="Arial"/>
              </w:rPr>
              <w:t xml:space="preserve">OMB File No.: </w:t>
            </w:r>
          </w:p>
        </w:tc>
        <w:tc>
          <w:tcPr>
            <w:tcW w:w="5508" w:type="dxa"/>
            <w:gridSpan w:val="2"/>
            <w:hideMark/>
          </w:tcPr>
          <w:p w:rsidR="002127C7" w:rsidRPr="0064370E" w:rsidRDefault="002127C7" w:rsidP="002127C7">
            <w:pPr>
              <w:ind w:left="1047"/>
              <w:rPr>
                <w:rFonts w:ascii="Arial" w:hAnsi="Arial" w:cs="Arial"/>
              </w:rPr>
            </w:pPr>
            <w:r w:rsidRPr="0064370E">
              <w:rPr>
                <w:rFonts w:ascii="Arial" w:hAnsi="Arial" w:cs="Arial"/>
              </w:rPr>
              <w:t>PL170481</w:t>
            </w:r>
          </w:p>
        </w:tc>
      </w:tr>
    </w:tbl>
    <w:p w:rsidR="00F46275" w:rsidRDefault="00F46275"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2127C7">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4E230C" w:rsidP="00270AAE">
            <w:pPr>
              <w:rPr>
                <w:rFonts w:ascii="Arial" w:hAnsi="Arial" w:cs="Arial"/>
              </w:rPr>
            </w:pPr>
            <w:r>
              <w:rPr>
                <w:rFonts w:ascii="Arial" w:hAnsi="Arial" w:cs="Arial"/>
              </w:rPr>
              <w:t>June 22, 2018</w:t>
            </w:r>
            <w:r w:rsidR="00F832B2">
              <w:rPr>
                <w:rFonts w:ascii="Arial" w:hAnsi="Arial" w:cs="Arial"/>
              </w:rPr>
              <w:t xml:space="preserve"> by telephone conference call</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2127C7">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2127C7">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2127C7">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381919">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rsidTr="002127C7">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2127C7">
        <w:tc>
          <w:tcPr>
            <w:tcW w:w="4361" w:type="dxa"/>
          </w:tcPr>
          <w:p w:rsidR="001D67CE" w:rsidRPr="001E764F" w:rsidRDefault="004E230C" w:rsidP="004E230C">
            <w:pPr>
              <w:rPr>
                <w:rFonts w:ascii="Arial" w:hAnsi="Arial" w:cs="Arial"/>
              </w:rPr>
            </w:pPr>
            <w:r>
              <w:rPr>
                <w:rFonts w:ascii="Arial" w:hAnsi="Arial" w:cs="Arial"/>
              </w:rPr>
              <w:t>Maple Valley Development Corporation Inc. (“Applicant”)</w:t>
            </w:r>
          </w:p>
        </w:tc>
        <w:tc>
          <w:tcPr>
            <w:tcW w:w="5245" w:type="dxa"/>
          </w:tcPr>
          <w:p w:rsidR="001D67CE" w:rsidRPr="001D67CE" w:rsidRDefault="004E230C" w:rsidP="00270AAE">
            <w:pPr>
              <w:rPr>
                <w:rFonts w:ascii="Arial" w:hAnsi="Arial" w:cs="Arial"/>
              </w:rPr>
            </w:pPr>
            <w:r>
              <w:rPr>
                <w:rFonts w:ascii="Arial" w:hAnsi="Arial" w:cs="Arial"/>
              </w:rPr>
              <w:t>M. Flynn-Guglietti</w:t>
            </w:r>
          </w:p>
        </w:tc>
      </w:tr>
      <w:tr w:rsidR="001D67CE" w:rsidRPr="001E764F" w:rsidTr="002127C7">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1D67CE" w:rsidRPr="001E764F" w:rsidTr="002127C7">
        <w:tc>
          <w:tcPr>
            <w:tcW w:w="4361" w:type="dxa"/>
          </w:tcPr>
          <w:p w:rsidR="001D67CE" w:rsidRPr="001E764F" w:rsidRDefault="004E230C" w:rsidP="00270AAE">
            <w:pPr>
              <w:rPr>
                <w:rFonts w:ascii="Arial" w:hAnsi="Arial" w:cs="Arial"/>
              </w:rPr>
            </w:pPr>
            <w:r>
              <w:rPr>
                <w:rFonts w:ascii="Arial" w:hAnsi="Arial" w:cs="Arial"/>
              </w:rPr>
              <w:t>City of Mississauga (“City”)</w:t>
            </w:r>
          </w:p>
        </w:tc>
        <w:tc>
          <w:tcPr>
            <w:tcW w:w="5245" w:type="dxa"/>
          </w:tcPr>
          <w:p w:rsidR="001D67CE" w:rsidRPr="001D67CE" w:rsidRDefault="004E230C" w:rsidP="00270AAE">
            <w:pPr>
              <w:rPr>
                <w:rFonts w:ascii="Arial" w:hAnsi="Arial" w:cs="Arial"/>
              </w:rPr>
            </w:pPr>
            <w:r>
              <w:rPr>
                <w:rFonts w:ascii="Arial" w:hAnsi="Arial" w:cs="Arial"/>
              </w:rPr>
              <w:t xml:space="preserve">M. </w:t>
            </w:r>
            <w:proofErr w:type="spellStart"/>
            <w:r>
              <w:rPr>
                <w:rFonts w:ascii="Arial" w:hAnsi="Arial" w:cs="Arial"/>
              </w:rPr>
              <w:t>Minkowski</w:t>
            </w:r>
            <w:proofErr w:type="spellEnd"/>
          </w:p>
        </w:tc>
      </w:tr>
      <w:tr w:rsidR="001D67CE" w:rsidRPr="001E764F" w:rsidTr="002127C7">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r w:rsidR="004E230C" w:rsidRPr="001E764F" w:rsidTr="002127C7">
        <w:tc>
          <w:tcPr>
            <w:tcW w:w="4361" w:type="dxa"/>
          </w:tcPr>
          <w:p w:rsidR="004E230C" w:rsidRPr="001E764F" w:rsidRDefault="004E230C" w:rsidP="00270AAE">
            <w:pPr>
              <w:rPr>
                <w:rFonts w:ascii="Arial" w:hAnsi="Arial" w:cs="Arial"/>
              </w:rPr>
            </w:pPr>
            <w:r>
              <w:rPr>
                <w:rFonts w:ascii="Arial" w:hAnsi="Arial" w:cs="Arial"/>
              </w:rPr>
              <w:t>Sky-</w:t>
            </w:r>
            <w:proofErr w:type="spellStart"/>
            <w:r>
              <w:rPr>
                <w:rFonts w:ascii="Arial" w:hAnsi="Arial" w:cs="Arial"/>
              </w:rPr>
              <w:t>Cawthra</w:t>
            </w:r>
            <w:proofErr w:type="spellEnd"/>
            <w:r>
              <w:rPr>
                <w:rFonts w:ascii="Arial" w:hAnsi="Arial" w:cs="Arial"/>
              </w:rPr>
              <w:t xml:space="preserve"> Development Inc. (“Sky”)</w:t>
            </w:r>
          </w:p>
        </w:tc>
        <w:tc>
          <w:tcPr>
            <w:tcW w:w="5245" w:type="dxa"/>
          </w:tcPr>
          <w:p w:rsidR="004E230C" w:rsidRPr="001D67CE" w:rsidRDefault="004E230C" w:rsidP="00270AAE">
            <w:pPr>
              <w:rPr>
                <w:rFonts w:ascii="Arial" w:hAnsi="Arial" w:cs="Arial"/>
              </w:rPr>
            </w:pPr>
            <w:r>
              <w:rPr>
                <w:rFonts w:ascii="Arial" w:hAnsi="Arial" w:cs="Arial"/>
              </w:rPr>
              <w:t xml:space="preserve">C. </w:t>
            </w:r>
            <w:proofErr w:type="spellStart"/>
            <w:r>
              <w:rPr>
                <w:rFonts w:ascii="Arial" w:hAnsi="Arial" w:cs="Arial"/>
              </w:rPr>
              <w:t>Tanzola</w:t>
            </w:r>
            <w:proofErr w:type="spellEnd"/>
          </w:p>
        </w:tc>
      </w:tr>
    </w:tbl>
    <w:p w:rsidR="0026320F" w:rsidRDefault="0026320F" w:rsidP="00270AAE">
      <w:pPr>
        <w:rPr>
          <w:rFonts w:ascii="Arial" w:hAnsi="Arial" w:cs="Arial"/>
        </w:rPr>
      </w:pPr>
    </w:p>
    <w:p w:rsidR="00935095" w:rsidRDefault="00935095" w:rsidP="00270AAE">
      <w:pPr>
        <w:rPr>
          <w:rFonts w:ascii="Arial" w:hAnsi="Arial" w:cs="Arial"/>
        </w:rPr>
      </w:pPr>
    </w:p>
    <w:p w:rsidR="00935095" w:rsidRPr="00C940BC" w:rsidRDefault="00381919" w:rsidP="00935095">
      <w:pPr>
        <w:pStyle w:val="DecisionDeliveredby"/>
        <w:pBdr>
          <w:bottom w:val="single" w:sz="4" w:space="1" w:color="auto"/>
        </w:pBdr>
        <w:rPr>
          <w:rFonts w:cs="Arial"/>
          <w:b w:val="0"/>
        </w:rPr>
      </w:pPr>
      <w:r>
        <w:rPr>
          <w:rFonts w:cs="Arial"/>
        </w:rPr>
        <w:t xml:space="preserve">MEMORANDUM OF ORAL </w:t>
      </w:r>
      <w:r w:rsidR="00935095" w:rsidRPr="005A767F">
        <w:rPr>
          <w:rFonts w:cs="Arial"/>
        </w:rPr>
        <w:t xml:space="preserve">DECISION </w:t>
      </w:r>
      <w:r>
        <w:rPr>
          <w:rFonts w:cs="Arial"/>
        </w:rPr>
        <w:t xml:space="preserve">DELIVERED BY S. JACOBS </w:t>
      </w:r>
      <w:r w:rsidR="004E230C">
        <w:rPr>
          <w:rFonts w:cs="Arial"/>
        </w:rPr>
        <w:t>ON JUNE 22, 2018</w:t>
      </w:r>
      <w:r w:rsidR="00935095" w:rsidRPr="005A767F">
        <w:rPr>
          <w:rFonts w:cs="Arial"/>
        </w:rPr>
        <w:t xml:space="preserve"> </w:t>
      </w:r>
      <w:r>
        <w:rPr>
          <w:rFonts w:cs="Arial"/>
        </w:rPr>
        <w:t>AND ORDER OF THE TRIBUNAL</w:t>
      </w:r>
    </w:p>
    <w:p w:rsidR="004E230C" w:rsidRDefault="004E230C" w:rsidP="002127C7">
      <w:pPr>
        <w:pStyle w:val="DecisionBody"/>
        <w:spacing w:beforeLines="150" w:before="360" w:afterLines="150" w:after="360"/>
      </w:pPr>
      <w:r>
        <w:lastRenderedPageBreak/>
        <w:t xml:space="preserve">The Tribunal convened this telephone conference call (“TCC”) to discuss the status of this matter following Tribunal-assisted mediation held </w:t>
      </w:r>
      <w:r w:rsidR="00F832B2">
        <w:t>in late 2017</w:t>
      </w:r>
      <w:r>
        <w:t xml:space="preserve">. </w:t>
      </w:r>
    </w:p>
    <w:p w:rsidR="00935095" w:rsidRPr="00AC548D" w:rsidRDefault="004E230C" w:rsidP="002127C7">
      <w:pPr>
        <w:pStyle w:val="DecisionBody"/>
        <w:spacing w:beforeLines="150" w:before="360" w:afterLines="150" w:after="360"/>
      </w:pPr>
      <w:r>
        <w:t>Ms. Flynn-Guglietti advised that while it appeared that the Applicant has resolved most issues with the Region of Peel, and is working to resolve</w:t>
      </w:r>
      <w:r w:rsidR="00F832B2">
        <w:t xml:space="preserve"> an </w:t>
      </w:r>
      <w:r>
        <w:t xml:space="preserve">outstanding issue with Sky, the City’s issues are unknown at this time. Mr. </w:t>
      </w:r>
      <w:proofErr w:type="spellStart"/>
      <w:r>
        <w:t>Minkowski</w:t>
      </w:r>
      <w:proofErr w:type="spellEnd"/>
      <w:r>
        <w:t xml:space="preserve"> advised that a planning staff report regarding the proposal will be considered by City Council on July, 4, 2018.</w:t>
      </w:r>
    </w:p>
    <w:p w:rsidR="00872347" w:rsidRDefault="004E230C" w:rsidP="002127C7">
      <w:pPr>
        <w:pStyle w:val="DecisionBody"/>
        <w:spacing w:beforeLines="150" w:before="360" w:afterLines="150" w:after="360"/>
      </w:pPr>
      <w:r>
        <w:t>Ms. Flynn-Guglietti advised that the Applicant is ready to proceed with a hearing</w:t>
      </w:r>
      <w:r w:rsidR="00872347">
        <w:t xml:space="preserve"> as soon as possible, given that its first prehearing conference (“PHC”) in this matter was held in September 2017. When asked by the Tribunal, she indicated that the hearing should require no more than five days. Mr. </w:t>
      </w:r>
      <w:proofErr w:type="spellStart"/>
      <w:r w:rsidR="00872347">
        <w:t>Minkowski</w:t>
      </w:r>
      <w:proofErr w:type="spellEnd"/>
      <w:r w:rsidR="00872347">
        <w:t xml:space="preserve"> disagreed, estimating the matter would need at least seven </w:t>
      </w:r>
      <w:r w:rsidR="007561A5">
        <w:t>hearing</w:t>
      </w:r>
      <w:r w:rsidR="00FB64A0">
        <w:t xml:space="preserve"> days</w:t>
      </w:r>
      <w:r w:rsidR="00872347">
        <w:t xml:space="preserve">, noting that he will not be in a position to </w:t>
      </w:r>
      <w:proofErr w:type="gramStart"/>
      <w:r w:rsidR="00872347">
        <w:t>advise</w:t>
      </w:r>
      <w:proofErr w:type="gramEnd"/>
      <w:r w:rsidR="00872347">
        <w:t xml:space="preserve"> of the City’s issues until Council considers the matter on July 4</w:t>
      </w:r>
      <w:r w:rsidR="002127C7">
        <w:t>, 2018</w:t>
      </w:r>
      <w:r w:rsidR="00872347">
        <w:t>.</w:t>
      </w:r>
    </w:p>
    <w:p w:rsidR="00872347" w:rsidRDefault="00872347" w:rsidP="002127C7">
      <w:pPr>
        <w:pStyle w:val="DecisionBody"/>
        <w:spacing w:beforeLines="150" w:before="360" w:afterLines="150" w:after="360"/>
      </w:pPr>
      <w:r>
        <w:t xml:space="preserve">The Tribunal </w:t>
      </w:r>
      <w:r w:rsidR="007561A5">
        <w:t>explained</w:t>
      </w:r>
      <w:r>
        <w:t xml:space="preserve"> that in the case of either a five or seven day hearing, it requires a draft Procedural Order </w:t>
      </w:r>
      <w:r w:rsidR="007561A5">
        <w:t xml:space="preserve">(“PO”) </w:t>
      </w:r>
      <w:r>
        <w:t>and Issues list in order to schedule the matter</w:t>
      </w:r>
      <w:r w:rsidR="007561A5">
        <w:t xml:space="preserve"> for a hearing</w:t>
      </w:r>
      <w:r>
        <w:t>. There was some debate between counsel for the City and Applicant as to who should provide their draft issues first.</w:t>
      </w:r>
      <w:r w:rsidR="00F832B2">
        <w:t xml:space="preserve"> The Tribunal expects that experienced counsel can work together to prepare a draft PO and Issues List; if not, the Tribunal can adjudicate the Issues List</w:t>
      </w:r>
      <w:r w:rsidR="007561A5">
        <w:t xml:space="preserve"> if necessary</w:t>
      </w:r>
      <w:r w:rsidR="00F832B2">
        <w:t>.</w:t>
      </w:r>
    </w:p>
    <w:p w:rsidR="00A45293" w:rsidRDefault="00F832B2" w:rsidP="00A45293">
      <w:pPr>
        <w:pStyle w:val="DecisionBody"/>
        <w:spacing w:beforeLines="150" w:before="360" w:afterLines="150" w:after="360"/>
      </w:pPr>
      <w:r>
        <w:t>The Tribunal agrees with Ms. F</w:t>
      </w:r>
      <w:r w:rsidR="007561A5">
        <w:t>lynn-Guglietti</w:t>
      </w:r>
      <w:r>
        <w:t xml:space="preserve"> that it is not </w:t>
      </w:r>
      <w:r w:rsidR="00FB64A0">
        <w:t xml:space="preserve">in </w:t>
      </w:r>
      <w:r>
        <w:t xml:space="preserve">the interest of fairness or efficiency to delay this matter further. The Tribunal has already devoted time on its calendar to a PHC and mediation in this matter, and sees no reason not to move this matter along. It is therefore prudent to have an additional PHC by TCC </w:t>
      </w:r>
      <w:r w:rsidR="007561A5">
        <w:t xml:space="preserve">shortly </w:t>
      </w:r>
      <w:r>
        <w:t>after the City’s council meeting, in order to finalize a PO and issues list and schedule hearing dates.</w:t>
      </w:r>
    </w:p>
    <w:p w:rsidR="00A45293" w:rsidRDefault="00F832B2" w:rsidP="00A45293">
      <w:pPr>
        <w:pStyle w:val="DecisionBody"/>
        <w:spacing w:beforeLines="150" w:before="360" w:afterLines="150" w:after="360"/>
      </w:pPr>
      <w:r>
        <w:t xml:space="preserve">Based on the discussions during the TCC, the Tribunal Orders that a next PHC will be held by TCC on </w:t>
      </w:r>
      <w:r w:rsidR="002127C7">
        <w:t>Friday,</w:t>
      </w:r>
      <w:r w:rsidR="00A45293">
        <w:t xml:space="preserve"> </w:t>
      </w:r>
      <w:r>
        <w:t xml:space="preserve">July 6, 2018 at 9 a.m. </w:t>
      </w:r>
      <w:r w:rsidR="002127C7">
        <w:t xml:space="preserve">Individuals are directed to call </w:t>
      </w:r>
      <w:r w:rsidR="002127C7" w:rsidRPr="00A45293">
        <w:rPr>
          <w:b/>
        </w:rPr>
        <w:t>416-212-8012</w:t>
      </w:r>
      <w:r w:rsidR="002127C7">
        <w:t xml:space="preserve"> or toll free </w:t>
      </w:r>
      <w:r w:rsidR="002127C7" w:rsidRPr="00A45293">
        <w:rPr>
          <w:b/>
        </w:rPr>
        <w:t xml:space="preserve">1-866-633-0848 and at the prompt enter </w:t>
      </w:r>
      <w:r w:rsidR="00A45293" w:rsidRPr="00A45293">
        <w:rPr>
          <w:b/>
        </w:rPr>
        <w:t>4779874#</w:t>
      </w:r>
      <w:r w:rsidR="00A45293">
        <w:t xml:space="preserve"> to be </w:t>
      </w:r>
      <w:r w:rsidR="00A45293">
        <w:lastRenderedPageBreak/>
        <w:t>connected to the call.  If assistance is required at any time please press ‘0’ for the operator.  It is the responsibility of the persons participating in the call to ensure that they are properly connected to the call and at the correct time.  Questions prior to the call should be directed to Nazma Ramjaun, Case Coordinator at 416-326-6796.</w:t>
      </w:r>
    </w:p>
    <w:p w:rsidR="00F832B2" w:rsidRDefault="00F832B2" w:rsidP="00A45293">
      <w:pPr>
        <w:pStyle w:val="DecisionBody"/>
        <w:spacing w:beforeLines="150" w:before="360" w:afterLines="150" w:after="360"/>
      </w:pPr>
      <w:r>
        <w:t>No further notice of the PHC is required.</w:t>
      </w:r>
    </w:p>
    <w:p w:rsidR="00F832B2" w:rsidRDefault="00F832B2" w:rsidP="002127C7">
      <w:pPr>
        <w:pStyle w:val="DecisionBody"/>
        <w:spacing w:beforeLines="150" w:before="360" w:afterLines="150" w:after="360"/>
      </w:pPr>
      <w:r>
        <w:t xml:space="preserve">The Tribunal further orders the parties to present a draft PO and Issues List for approval during the PHC. If the parties are unable to agree on an Issues List, they are </w:t>
      </w:r>
      <w:r w:rsidR="007561A5">
        <w:t xml:space="preserve">each </w:t>
      </w:r>
      <w:r>
        <w:t xml:space="preserve">to present their desired Issues List and the </w:t>
      </w:r>
      <w:r w:rsidR="007561A5">
        <w:t>T</w:t>
      </w:r>
      <w:r>
        <w:t>ribunal will make a determination as to</w:t>
      </w:r>
      <w:r w:rsidR="007561A5">
        <w:t xml:space="preserve"> which issues are to be included on the list</w:t>
      </w:r>
      <w:r>
        <w:t>.</w:t>
      </w:r>
    </w:p>
    <w:p w:rsidR="00935095" w:rsidRPr="00AC548D" w:rsidRDefault="00F832B2" w:rsidP="002127C7">
      <w:pPr>
        <w:pStyle w:val="DecisionBody"/>
        <w:spacing w:beforeLines="150" w:before="360" w:afterLines="150" w:after="360"/>
      </w:pPr>
      <w:r>
        <w:t>This panel will remain seized of the July 6, 2018 PHC only, and will be available for the case management of this matter</w:t>
      </w:r>
      <w:r w:rsidR="007561A5">
        <w:t>.</w:t>
      </w:r>
    </w:p>
    <w:p w:rsidR="00935095" w:rsidRPr="00AC548D" w:rsidRDefault="00935095" w:rsidP="00970D4B">
      <w:pPr>
        <w:pStyle w:val="DecisionBody"/>
        <w:numPr>
          <w:ilvl w:val="0"/>
          <w:numId w:val="0"/>
        </w:numPr>
      </w:pPr>
    </w:p>
    <w:p w:rsidR="00935095" w:rsidRPr="004E31D7" w:rsidRDefault="00935095" w:rsidP="004E31D7">
      <w:pPr>
        <w:pStyle w:val="MemberSignature"/>
        <w:ind w:left="0"/>
        <w:jc w:val="both"/>
        <w:rPr>
          <w:i w:val="0"/>
        </w:rPr>
      </w:pPr>
    </w:p>
    <w:p w:rsidR="00935095" w:rsidRPr="00AC548D" w:rsidRDefault="00935095" w:rsidP="00AC548D">
      <w:pPr>
        <w:pStyle w:val="MemberSignature"/>
      </w:pPr>
      <w:r w:rsidRPr="00AC548D">
        <w:t>“</w:t>
      </w:r>
      <w:r w:rsidR="00970D4B">
        <w:t>S. Jacobs</w:t>
      </w:r>
      <w:r w:rsidRPr="00AC548D">
        <w:t>”</w:t>
      </w:r>
    </w:p>
    <w:p w:rsidR="00935095" w:rsidRPr="004E31D7" w:rsidRDefault="00935095" w:rsidP="004E31D7">
      <w:pPr>
        <w:pStyle w:val="MemberSignature"/>
        <w:ind w:left="0"/>
        <w:jc w:val="both"/>
        <w:rPr>
          <w:i w:val="0"/>
        </w:rPr>
      </w:pPr>
    </w:p>
    <w:p w:rsidR="00935095" w:rsidRPr="004E31D7" w:rsidRDefault="00935095" w:rsidP="004E31D7">
      <w:pPr>
        <w:pStyle w:val="MemberSignature"/>
        <w:ind w:left="0"/>
        <w:jc w:val="left"/>
        <w:rPr>
          <w:i w:val="0"/>
        </w:rPr>
      </w:pPr>
    </w:p>
    <w:p w:rsidR="00935095" w:rsidRPr="00AC548D" w:rsidRDefault="00970D4B" w:rsidP="00AC548D">
      <w:pPr>
        <w:pStyle w:val="MemberSignatureNameandTitle"/>
      </w:pPr>
      <w:r>
        <w:t>S. Jacobs</w:t>
      </w:r>
    </w:p>
    <w:p w:rsidR="00935095" w:rsidRPr="00AC548D" w:rsidRDefault="00970D4B" w:rsidP="00AC548D">
      <w:pPr>
        <w:pStyle w:val="MemberSignatureNameandTitle"/>
      </w:pPr>
      <w:r>
        <w:t>Member</w:t>
      </w: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627521" w:rsidRDefault="00627521" w:rsidP="00AC548D">
      <w:pPr>
        <w:rPr>
          <w:rFonts w:ascii="Arial" w:hAnsi="Arial" w:cs="Arial"/>
        </w:rPr>
      </w:pPr>
    </w:p>
    <w:p w:rsidR="0064370E" w:rsidRDefault="0064370E" w:rsidP="00AC548D">
      <w:pPr>
        <w:rPr>
          <w:rFonts w:ascii="Arial" w:hAnsi="Arial" w:cs="Arial"/>
        </w:rPr>
      </w:pPr>
    </w:p>
    <w:p w:rsidR="0064370E" w:rsidRDefault="0064370E" w:rsidP="00AC548D">
      <w:pPr>
        <w:rPr>
          <w:rFonts w:ascii="Arial" w:hAnsi="Arial" w:cs="Arial"/>
        </w:rPr>
      </w:pPr>
    </w:p>
    <w:p w:rsidR="004E31D7" w:rsidRPr="004E31D7" w:rsidRDefault="004E31D7" w:rsidP="00AC548D">
      <w:pPr>
        <w:rPr>
          <w:rFonts w:ascii="Arial" w:hAnsi="Arial" w:cs="Arial"/>
        </w:rPr>
      </w:pPr>
    </w:p>
    <w:p w:rsidR="00D265BD" w:rsidRPr="004E31D7" w:rsidRDefault="00D265BD"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91" w:rsidRDefault="00075191">
      <w:r>
        <w:separator/>
      </w:r>
    </w:p>
  </w:endnote>
  <w:endnote w:type="continuationSeparator" w:id="0">
    <w:p w:rsidR="00075191" w:rsidRDefault="0007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91" w:rsidRDefault="00075191">
      <w:r>
        <w:separator/>
      </w:r>
    </w:p>
  </w:footnote>
  <w:footnote w:type="continuationSeparator" w:id="0">
    <w:p w:rsidR="00075191" w:rsidRDefault="0007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E3577">
      <w:rPr>
        <w:rFonts w:ascii="Arial" w:hAnsi="Arial" w:cs="Arial"/>
        <w:noProof/>
      </w:rPr>
      <w:t>4</w:t>
    </w:r>
    <w:r w:rsidRPr="005E51AF">
      <w:rPr>
        <w:rFonts w:ascii="Arial" w:hAnsi="Arial" w:cs="Arial"/>
        <w:noProof/>
      </w:rPr>
      <w:fldChar w:fldCharType="end"/>
    </w:r>
    <w:r w:rsidR="00C02B28">
      <w:rPr>
        <w:rFonts w:ascii="Arial" w:hAnsi="Arial" w:cs="Arial"/>
        <w:noProof/>
      </w:rPr>
      <w:tab/>
    </w:r>
    <w:r w:rsidR="002127C7">
      <w:rPr>
        <w:rFonts w:ascii="Arial" w:hAnsi="Arial" w:cs="Arial"/>
        <w:noProof/>
      </w:rPr>
      <w:tab/>
      <w:t>PL170479</w:t>
    </w:r>
    <w:r w:rsidR="002127C7">
      <w:rPr>
        <w:rFonts w:ascii="Arial" w:hAnsi="Arial" w:cs="Arial"/>
        <w:noProof/>
      </w:rPr>
      <w:tab/>
    </w:r>
  </w:p>
  <w:p w:rsidR="002127C7" w:rsidRDefault="002127C7"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26A"/>
    <w:rsid w:val="00075191"/>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6357"/>
    <w:rsid w:val="00100AF6"/>
    <w:rsid w:val="0010191A"/>
    <w:rsid w:val="00104001"/>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CE4"/>
    <w:rsid w:val="001C137D"/>
    <w:rsid w:val="001D67CE"/>
    <w:rsid w:val="001D6F93"/>
    <w:rsid w:val="001E764F"/>
    <w:rsid w:val="001F179F"/>
    <w:rsid w:val="0020298E"/>
    <w:rsid w:val="00205167"/>
    <w:rsid w:val="002127C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90FEC"/>
    <w:rsid w:val="00293E85"/>
    <w:rsid w:val="002959D2"/>
    <w:rsid w:val="002A393B"/>
    <w:rsid w:val="002A7D6C"/>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40879"/>
    <w:rsid w:val="00345480"/>
    <w:rsid w:val="003506EA"/>
    <w:rsid w:val="00350E1B"/>
    <w:rsid w:val="00354C2E"/>
    <w:rsid w:val="003571F0"/>
    <w:rsid w:val="003620BF"/>
    <w:rsid w:val="00367CB0"/>
    <w:rsid w:val="00375F31"/>
    <w:rsid w:val="00381919"/>
    <w:rsid w:val="0038484F"/>
    <w:rsid w:val="00385FC9"/>
    <w:rsid w:val="00386830"/>
    <w:rsid w:val="00391DD7"/>
    <w:rsid w:val="003B236D"/>
    <w:rsid w:val="003B298B"/>
    <w:rsid w:val="003B5D6E"/>
    <w:rsid w:val="003B7CE2"/>
    <w:rsid w:val="003D1234"/>
    <w:rsid w:val="003F266C"/>
    <w:rsid w:val="00401F7B"/>
    <w:rsid w:val="00403715"/>
    <w:rsid w:val="00420FFD"/>
    <w:rsid w:val="004233D2"/>
    <w:rsid w:val="00441A9B"/>
    <w:rsid w:val="004507E6"/>
    <w:rsid w:val="00452228"/>
    <w:rsid w:val="004539BB"/>
    <w:rsid w:val="004568CC"/>
    <w:rsid w:val="00460B87"/>
    <w:rsid w:val="004662FE"/>
    <w:rsid w:val="004850D0"/>
    <w:rsid w:val="004A0094"/>
    <w:rsid w:val="004A4461"/>
    <w:rsid w:val="004A587D"/>
    <w:rsid w:val="004B3247"/>
    <w:rsid w:val="004B6547"/>
    <w:rsid w:val="004B7E92"/>
    <w:rsid w:val="004C06AB"/>
    <w:rsid w:val="004C3B19"/>
    <w:rsid w:val="004C5ADC"/>
    <w:rsid w:val="004E03A4"/>
    <w:rsid w:val="004E230C"/>
    <w:rsid w:val="004E31D7"/>
    <w:rsid w:val="004E4C91"/>
    <w:rsid w:val="004E4CD6"/>
    <w:rsid w:val="004F13B0"/>
    <w:rsid w:val="004F1B46"/>
    <w:rsid w:val="00505DF1"/>
    <w:rsid w:val="005064E9"/>
    <w:rsid w:val="00511BEC"/>
    <w:rsid w:val="00513CCD"/>
    <w:rsid w:val="005176E6"/>
    <w:rsid w:val="00530917"/>
    <w:rsid w:val="0053773B"/>
    <w:rsid w:val="0055024F"/>
    <w:rsid w:val="005554F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D7EE5"/>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370E"/>
    <w:rsid w:val="00646BFB"/>
    <w:rsid w:val="00647ECC"/>
    <w:rsid w:val="006510E9"/>
    <w:rsid w:val="00653B50"/>
    <w:rsid w:val="00655F95"/>
    <w:rsid w:val="00656CC7"/>
    <w:rsid w:val="00657E0B"/>
    <w:rsid w:val="00663C56"/>
    <w:rsid w:val="00665DAE"/>
    <w:rsid w:val="006664C3"/>
    <w:rsid w:val="00677294"/>
    <w:rsid w:val="006A119C"/>
    <w:rsid w:val="006A19B7"/>
    <w:rsid w:val="006A2B5B"/>
    <w:rsid w:val="006A3319"/>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561A5"/>
    <w:rsid w:val="0076119A"/>
    <w:rsid w:val="00764779"/>
    <w:rsid w:val="00765C2D"/>
    <w:rsid w:val="007A1709"/>
    <w:rsid w:val="007A2C3D"/>
    <w:rsid w:val="007C08BD"/>
    <w:rsid w:val="007E0C30"/>
    <w:rsid w:val="007F1220"/>
    <w:rsid w:val="007F7583"/>
    <w:rsid w:val="00802055"/>
    <w:rsid w:val="008046EB"/>
    <w:rsid w:val="0080724D"/>
    <w:rsid w:val="008173CF"/>
    <w:rsid w:val="00823753"/>
    <w:rsid w:val="008316DB"/>
    <w:rsid w:val="0083211C"/>
    <w:rsid w:val="00835A80"/>
    <w:rsid w:val="00837AE6"/>
    <w:rsid w:val="00865727"/>
    <w:rsid w:val="00866681"/>
    <w:rsid w:val="00872347"/>
    <w:rsid w:val="00890E5D"/>
    <w:rsid w:val="0089782A"/>
    <w:rsid w:val="008A1A0C"/>
    <w:rsid w:val="008A3586"/>
    <w:rsid w:val="008B3EB4"/>
    <w:rsid w:val="008B667D"/>
    <w:rsid w:val="008C09C4"/>
    <w:rsid w:val="008C7470"/>
    <w:rsid w:val="008D3B01"/>
    <w:rsid w:val="008E147D"/>
    <w:rsid w:val="008E3577"/>
    <w:rsid w:val="008E5B11"/>
    <w:rsid w:val="008F5673"/>
    <w:rsid w:val="00900C5B"/>
    <w:rsid w:val="00902134"/>
    <w:rsid w:val="00907DA4"/>
    <w:rsid w:val="009148E3"/>
    <w:rsid w:val="0092760B"/>
    <w:rsid w:val="00930FD3"/>
    <w:rsid w:val="009333AA"/>
    <w:rsid w:val="00935095"/>
    <w:rsid w:val="00935ABA"/>
    <w:rsid w:val="009360FC"/>
    <w:rsid w:val="00951EE2"/>
    <w:rsid w:val="0095571C"/>
    <w:rsid w:val="0096422B"/>
    <w:rsid w:val="009650D8"/>
    <w:rsid w:val="00970D4B"/>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DF7"/>
    <w:rsid w:val="009E1C08"/>
    <w:rsid w:val="009E202F"/>
    <w:rsid w:val="009E40F3"/>
    <w:rsid w:val="009E6983"/>
    <w:rsid w:val="009F040C"/>
    <w:rsid w:val="009F3047"/>
    <w:rsid w:val="00A07D8A"/>
    <w:rsid w:val="00A11CE2"/>
    <w:rsid w:val="00A16F09"/>
    <w:rsid w:val="00A20E8C"/>
    <w:rsid w:val="00A45293"/>
    <w:rsid w:val="00A45D63"/>
    <w:rsid w:val="00A47406"/>
    <w:rsid w:val="00A550FC"/>
    <w:rsid w:val="00A5654F"/>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20E0"/>
    <w:rsid w:val="00BB6613"/>
    <w:rsid w:val="00BB66A5"/>
    <w:rsid w:val="00BC66D9"/>
    <w:rsid w:val="00BE0FA0"/>
    <w:rsid w:val="00BF23CB"/>
    <w:rsid w:val="00BF3612"/>
    <w:rsid w:val="00BF497A"/>
    <w:rsid w:val="00BF7426"/>
    <w:rsid w:val="00C02B28"/>
    <w:rsid w:val="00C1171C"/>
    <w:rsid w:val="00C300F2"/>
    <w:rsid w:val="00C34660"/>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4919"/>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75FB"/>
    <w:rsid w:val="00DF7F0B"/>
    <w:rsid w:val="00E11D71"/>
    <w:rsid w:val="00E12DE7"/>
    <w:rsid w:val="00E15446"/>
    <w:rsid w:val="00E40778"/>
    <w:rsid w:val="00E4342D"/>
    <w:rsid w:val="00E45C87"/>
    <w:rsid w:val="00E5336E"/>
    <w:rsid w:val="00E65759"/>
    <w:rsid w:val="00E73226"/>
    <w:rsid w:val="00E743D2"/>
    <w:rsid w:val="00E7523D"/>
    <w:rsid w:val="00E77E48"/>
    <w:rsid w:val="00E8779D"/>
    <w:rsid w:val="00E87A9B"/>
    <w:rsid w:val="00E90AB4"/>
    <w:rsid w:val="00E97D24"/>
    <w:rsid w:val="00E97F04"/>
    <w:rsid w:val="00EA73B7"/>
    <w:rsid w:val="00EB3E73"/>
    <w:rsid w:val="00EC181A"/>
    <w:rsid w:val="00EC2949"/>
    <w:rsid w:val="00EC3BD6"/>
    <w:rsid w:val="00EE4BA3"/>
    <w:rsid w:val="00EE62E6"/>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832B2"/>
    <w:rsid w:val="00F90029"/>
    <w:rsid w:val="00F9597B"/>
    <w:rsid w:val="00FA016B"/>
    <w:rsid w:val="00FA6295"/>
    <w:rsid w:val="00FB64A0"/>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91723971">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57AE-25A0-4B5F-ACE3-5DD60ACC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991</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2018-06-27T13:44:00Z</cp:lastPrinted>
  <dcterms:created xsi:type="dcterms:W3CDTF">2018-06-27T13:43:00Z</dcterms:created>
  <dcterms:modified xsi:type="dcterms:W3CDTF">2018-06-27T13:50:00Z</dcterms:modified>
</cp:coreProperties>
</file>