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F82F6D">
        <w:trPr>
          <w:trHeight w:val="281"/>
        </w:trPr>
        <w:tc>
          <w:tcPr>
            <w:tcW w:w="5778" w:type="dxa"/>
          </w:tcPr>
          <w:p w:rsidR="006D09B4" w:rsidRPr="001E764F" w:rsidRDefault="006D09B4" w:rsidP="006D09B4">
            <w:pPr>
              <w:rPr>
                <w:rFonts w:ascii="Arial" w:hAnsi="Arial" w:cs="Arial"/>
                <w:b/>
                <w:sz w:val="16"/>
                <w:szCs w:val="16"/>
              </w:rPr>
            </w:pPr>
            <w:bookmarkStart w:id="0" w:name="_GoBack"/>
            <w:bookmarkEnd w:id="0"/>
          </w:p>
        </w:tc>
        <w:tc>
          <w:tcPr>
            <w:tcW w:w="3828" w:type="dxa"/>
            <w:vMerge w:val="restart"/>
          </w:tcPr>
          <w:p w:rsidR="006D09B4" w:rsidRPr="001E764F" w:rsidRDefault="00941E55"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F82F6D">
        <w:tc>
          <w:tcPr>
            <w:tcW w:w="5778" w:type="dxa"/>
          </w:tcPr>
          <w:p w:rsidR="006D09B4" w:rsidRPr="001E764F" w:rsidRDefault="006D09B4" w:rsidP="006D09B4">
            <w:pPr>
              <w:rPr>
                <w:rFonts w:ascii="Arial" w:hAnsi="Arial" w:cs="Arial"/>
                <w:b/>
                <w:sz w:val="32"/>
                <w:szCs w:val="32"/>
              </w:rPr>
            </w:pPr>
            <w:r w:rsidRPr="001E764F">
              <w:rPr>
                <w:rFonts w:ascii="Arial" w:hAnsi="Arial" w:cs="Arial"/>
                <w:b/>
                <w:sz w:val="32"/>
                <w:szCs w:val="32"/>
              </w:rPr>
              <w:t>Ontario Municipal Board</w:t>
            </w:r>
          </w:p>
        </w:tc>
        <w:tc>
          <w:tcPr>
            <w:tcW w:w="3828" w:type="dxa"/>
            <w:vMerge/>
          </w:tcPr>
          <w:p w:rsidR="006D09B4" w:rsidRPr="001E764F" w:rsidRDefault="006D09B4" w:rsidP="006D09B4">
            <w:pPr>
              <w:rPr>
                <w:rFonts w:ascii="Arial" w:hAnsi="Arial" w:cs="Arial"/>
                <w:b/>
                <w:sz w:val="32"/>
                <w:szCs w:val="32"/>
              </w:rPr>
            </w:pPr>
          </w:p>
        </w:tc>
      </w:tr>
      <w:tr w:rsidR="006D09B4" w:rsidRPr="00BA2B4C" w:rsidTr="00F82F6D">
        <w:tc>
          <w:tcPr>
            <w:tcW w:w="5778" w:type="dxa"/>
          </w:tcPr>
          <w:p w:rsidR="006D09B4" w:rsidRPr="001E764F" w:rsidRDefault="006D09B4" w:rsidP="006D09B4">
            <w:pPr>
              <w:rPr>
                <w:rFonts w:ascii="Arial" w:hAnsi="Arial" w:cs="Arial"/>
                <w:sz w:val="32"/>
                <w:szCs w:val="32"/>
                <w:lang w:val="fr-CA"/>
              </w:rPr>
            </w:pPr>
            <w:r w:rsidRPr="001E764F">
              <w:rPr>
                <w:rFonts w:ascii="Arial" w:hAnsi="Arial" w:cs="Arial"/>
                <w:sz w:val="32"/>
                <w:szCs w:val="32"/>
                <w:lang w:val="fr-CA"/>
              </w:rPr>
              <w:t>Commission des affaires municipales</w:t>
            </w:r>
          </w:p>
          <w:p w:rsidR="006D09B4" w:rsidRPr="001E764F" w:rsidRDefault="006D09B4" w:rsidP="006D09B4">
            <w:pPr>
              <w:rPr>
                <w:rFonts w:ascii="Arial" w:hAnsi="Arial" w:cs="Arial"/>
                <w:sz w:val="32"/>
                <w:szCs w:val="32"/>
                <w:lang w:val="fr-CA"/>
              </w:rPr>
            </w:pPr>
            <w:r w:rsidRPr="001E764F">
              <w:rPr>
                <w:rFonts w:ascii="Arial" w:hAnsi="Arial" w:cs="Arial"/>
                <w:sz w:val="32"/>
                <w:szCs w:val="32"/>
                <w:lang w:val="fr-CA"/>
              </w:rPr>
              <w:t>de l’Ontario</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1" w:name="Appearances"/>
    </w:p>
    <w:tbl>
      <w:tblPr>
        <w:tblpPr w:leftFromText="181" w:rightFromText="181" w:vertAnchor="text" w:horzAnchor="margin" w:tblpY="189"/>
        <w:tblW w:w="9468" w:type="dxa"/>
        <w:tblLook w:val="04A0" w:firstRow="1" w:lastRow="0" w:firstColumn="1" w:lastColumn="0" w:noHBand="0" w:noVBand="1"/>
      </w:tblPr>
      <w:tblGrid>
        <w:gridCol w:w="1818"/>
        <w:gridCol w:w="3960"/>
        <w:gridCol w:w="1890"/>
        <w:gridCol w:w="1800"/>
      </w:tblGrid>
      <w:tr w:rsidR="00EA73B7" w:rsidRPr="001E764F" w:rsidTr="004B3247">
        <w:tc>
          <w:tcPr>
            <w:tcW w:w="1818" w:type="dxa"/>
            <w:shd w:val="clear" w:color="auto" w:fill="auto"/>
            <w:vAlign w:val="center"/>
          </w:tcPr>
          <w:p w:rsidR="00EA73B7" w:rsidRPr="001E764F" w:rsidRDefault="00EA73B7" w:rsidP="002159B4">
            <w:pPr>
              <w:rPr>
                <w:rFonts w:ascii="Arial" w:hAnsi="Arial" w:cs="Arial"/>
                <w:b/>
              </w:rPr>
            </w:pPr>
            <w:r w:rsidRPr="001E764F">
              <w:rPr>
                <w:rFonts w:ascii="Arial" w:hAnsi="Arial" w:cs="Arial"/>
                <w:b/>
              </w:rPr>
              <w:t>ISSUE DATE:</w:t>
            </w:r>
          </w:p>
        </w:tc>
        <w:tc>
          <w:tcPr>
            <w:tcW w:w="3960" w:type="dxa"/>
            <w:shd w:val="clear" w:color="auto" w:fill="auto"/>
            <w:vAlign w:val="center"/>
          </w:tcPr>
          <w:p w:rsidR="00EA73B7" w:rsidRPr="00BA2B4C" w:rsidRDefault="00BA2B4C" w:rsidP="002159B4">
            <w:pPr>
              <w:rPr>
                <w:rFonts w:ascii="Arial" w:hAnsi="Arial" w:cs="Arial"/>
              </w:rPr>
            </w:pPr>
            <w:r>
              <w:rPr>
                <w:rFonts w:ascii="Arial" w:hAnsi="Arial" w:cs="Arial"/>
              </w:rPr>
              <w:t>February 20, 2018</w:t>
            </w:r>
          </w:p>
        </w:tc>
        <w:tc>
          <w:tcPr>
            <w:tcW w:w="1890" w:type="dxa"/>
            <w:shd w:val="clear" w:color="auto" w:fill="auto"/>
            <w:vAlign w:val="center"/>
          </w:tcPr>
          <w:p w:rsidR="00EA73B7" w:rsidRPr="001E764F" w:rsidRDefault="00EA73B7" w:rsidP="002159B4">
            <w:pPr>
              <w:rPr>
                <w:rFonts w:ascii="Arial" w:hAnsi="Arial" w:cs="Arial"/>
                <w:b/>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800" w:type="dxa"/>
            <w:shd w:val="clear" w:color="auto" w:fill="auto"/>
            <w:vAlign w:val="center"/>
          </w:tcPr>
          <w:p w:rsidR="00EA73B7" w:rsidRPr="001E764F" w:rsidRDefault="009707D1" w:rsidP="00E75DD6">
            <w:pPr>
              <w:jc w:val="right"/>
              <w:rPr>
                <w:rFonts w:ascii="Arial" w:hAnsi="Arial" w:cs="Arial"/>
              </w:rPr>
            </w:pPr>
            <w:r>
              <w:rPr>
                <w:rFonts w:ascii="Arial" w:hAnsi="Arial" w:cs="Arial"/>
              </w:rPr>
              <w:t>PL170494</w:t>
            </w:r>
          </w:p>
        </w:tc>
      </w:tr>
    </w:tbl>
    <w:p w:rsidR="009A73F6" w:rsidRDefault="009A73F6" w:rsidP="002159B4">
      <w:pPr>
        <w:rPr>
          <w:rFonts w:ascii="Arial" w:hAnsi="Arial" w:cs="Arial"/>
        </w:rPr>
      </w:pPr>
    </w:p>
    <w:p w:rsidR="0027622A" w:rsidRPr="001E764F" w:rsidRDefault="0027622A" w:rsidP="002159B4">
      <w:pPr>
        <w:rPr>
          <w:rFonts w:ascii="Arial" w:hAnsi="Arial" w:cs="Arial"/>
        </w:rPr>
      </w:pPr>
    </w:p>
    <w:tbl>
      <w:tblPr>
        <w:tblW w:w="9558" w:type="dxa"/>
        <w:tblLook w:val="04A0" w:firstRow="1" w:lastRow="0" w:firstColumn="1" w:lastColumn="0" w:noHBand="0" w:noVBand="1"/>
      </w:tblPr>
      <w:tblGrid>
        <w:gridCol w:w="4338"/>
        <w:gridCol w:w="5220"/>
      </w:tblGrid>
      <w:tr w:rsidR="0027622A" w:rsidTr="0027622A">
        <w:trPr>
          <w:cantSplit/>
          <w:trHeight w:val="342"/>
        </w:trPr>
        <w:tc>
          <w:tcPr>
            <w:tcW w:w="9558" w:type="dxa"/>
            <w:gridSpan w:val="2"/>
          </w:tcPr>
          <w:p w:rsidR="0027622A" w:rsidRDefault="0027622A">
            <w:pPr>
              <w:rPr>
                <w:rFonts w:ascii="Arial" w:hAnsi="Arial" w:cs="Arial"/>
              </w:rPr>
            </w:pPr>
            <w:r>
              <w:rPr>
                <w:rFonts w:ascii="Arial" w:hAnsi="Arial" w:cs="Arial"/>
                <w:b/>
              </w:rPr>
              <w:t xml:space="preserve">PROCEEDING COMMENCED UNDER </w:t>
            </w:r>
            <w:r>
              <w:rPr>
                <w:rFonts w:ascii="Arial" w:hAnsi="Arial" w:cs="Arial"/>
              </w:rPr>
              <w:t xml:space="preserve">subsection 34(11) of the </w:t>
            </w:r>
            <w:r>
              <w:rPr>
                <w:rFonts w:ascii="Arial" w:hAnsi="Arial" w:cs="Arial"/>
                <w:i/>
              </w:rPr>
              <w:t>Planning Act</w:t>
            </w:r>
            <w:r>
              <w:rPr>
                <w:rFonts w:ascii="Arial" w:hAnsi="Arial" w:cs="Arial"/>
              </w:rPr>
              <w:t>, R.S.O. 1990, c. P.13, as amended</w:t>
            </w:r>
          </w:p>
          <w:p w:rsidR="0027622A" w:rsidRDefault="0027622A">
            <w:pPr>
              <w:rPr>
                <w:rFonts w:ascii="Arial" w:hAnsi="Arial" w:cs="Arial"/>
              </w:rPr>
            </w:pPr>
          </w:p>
        </w:tc>
      </w:tr>
      <w:tr w:rsidR="0027622A" w:rsidTr="0027622A">
        <w:tc>
          <w:tcPr>
            <w:tcW w:w="4338" w:type="dxa"/>
            <w:hideMark/>
          </w:tcPr>
          <w:p w:rsidR="0027622A" w:rsidRDefault="0027622A">
            <w:pPr>
              <w:rPr>
                <w:rFonts w:ascii="Arial" w:hAnsi="Arial" w:cs="Arial"/>
              </w:rPr>
            </w:pPr>
            <w:r>
              <w:rPr>
                <w:rFonts w:ascii="Arial" w:hAnsi="Arial" w:cs="Arial"/>
              </w:rPr>
              <w:t>Applicant and Appellant:</w:t>
            </w:r>
          </w:p>
        </w:tc>
        <w:tc>
          <w:tcPr>
            <w:tcW w:w="5220" w:type="dxa"/>
            <w:hideMark/>
          </w:tcPr>
          <w:p w:rsidR="0027622A" w:rsidRDefault="0027622A">
            <w:pPr>
              <w:rPr>
                <w:rFonts w:ascii="Arial" w:hAnsi="Arial" w:cs="Arial"/>
              </w:rPr>
            </w:pPr>
            <w:r>
              <w:rPr>
                <w:rFonts w:ascii="Arial" w:hAnsi="Arial" w:cs="Arial"/>
              </w:rPr>
              <w:t>River Crest Corporation</w:t>
            </w:r>
          </w:p>
        </w:tc>
      </w:tr>
      <w:tr w:rsidR="0027622A" w:rsidTr="0027622A">
        <w:tc>
          <w:tcPr>
            <w:tcW w:w="4338" w:type="dxa"/>
            <w:hideMark/>
          </w:tcPr>
          <w:p w:rsidR="0027622A" w:rsidRDefault="0027622A">
            <w:pPr>
              <w:rPr>
                <w:rFonts w:ascii="Arial" w:hAnsi="Arial" w:cs="Arial"/>
              </w:rPr>
            </w:pPr>
            <w:r>
              <w:rPr>
                <w:rFonts w:ascii="Arial" w:hAnsi="Arial" w:cs="Arial"/>
              </w:rPr>
              <w:t>Subject:</w:t>
            </w:r>
          </w:p>
        </w:tc>
        <w:tc>
          <w:tcPr>
            <w:tcW w:w="5220" w:type="dxa"/>
            <w:hideMark/>
          </w:tcPr>
          <w:p w:rsidR="0027622A" w:rsidRDefault="0027622A">
            <w:pPr>
              <w:rPr>
                <w:rFonts w:ascii="Arial" w:hAnsi="Arial" w:cs="Arial"/>
              </w:rPr>
            </w:pPr>
            <w:r>
              <w:rPr>
                <w:rFonts w:ascii="Arial" w:hAnsi="Arial" w:cs="Arial"/>
              </w:rPr>
              <w:t>Application to amend Zoning By-law No. 79-200 – Refusal of Application by the City of Niagara Falls</w:t>
            </w:r>
          </w:p>
        </w:tc>
      </w:tr>
      <w:tr w:rsidR="0027622A" w:rsidTr="0027622A">
        <w:tc>
          <w:tcPr>
            <w:tcW w:w="4338" w:type="dxa"/>
            <w:hideMark/>
          </w:tcPr>
          <w:p w:rsidR="0027622A" w:rsidRDefault="0027622A">
            <w:pPr>
              <w:rPr>
                <w:rFonts w:ascii="Arial" w:hAnsi="Arial" w:cs="Arial"/>
              </w:rPr>
            </w:pPr>
            <w:r>
              <w:rPr>
                <w:rFonts w:ascii="Arial" w:hAnsi="Arial" w:cs="Arial"/>
              </w:rPr>
              <w:t>Existing Zoning:</w:t>
            </w:r>
          </w:p>
        </w:tc>
        <w:tc>
          <w:tcPr>
            <w:tcW w:w="5220" w:type="dxa"/>
            <w:hideMark/>
          </w:tcPr>
          <w:p w:rsidR="0027622A" w:rsidRDefault="0027622A">
            <w:pPr>
              <w:rPr>
                <w:rFonts w:ascii="Arial" w:hAnsi="Arial" w:cs="Arial"/>
              </w:rPr>
            </w:pPr>
            <w:r>
              <w:rPr>
                <w:rFonts w:ascii="Arial" w:hAnsi="Arial" w:cs="Arial"/>
              </w:rPr>
              <w:t>Development Holding (DH) zone</w:t>
            </w:r>
          </w:p>
        </w:tc>
      </w:tr>
      <w:tr w:rsidR="0027622A" w:rsidTr="0027622A">
        <w:tc>
          <w:tcPr>
            <w:tcW w:w="4338" w:type="dxa"/>
            <w:hideMark/>
          </w:tcPr>
          <w:p w:rsidR="0027622A" w:rsidRDefault="0027622A">
            <w:pPr>
              <w:rPr>
                <w:rFonts w:ascii="Arial" w:hAnsi="Arial" w:cs="Arial"/>
              </w:rPr>
            </w:pPr>
            <w:r>
              <w:rPr>
                <w:rFonts w:ascii="Arial" w:hAnsi="Arial" w:cs="Arial"/>
              </w:rPr>
              <w:t xml:space="preserve">Proposed Zoning: </w:t>
            </w:r>
          </w:p>
        </w:tc>
        <w:tc>
          <w:tcPr>
            <w:tcW w:w="5220" w:type="dxa"/>
            <w:hideMark/>
          </w:tcPr>
          <w:p w:rsidR="0027622A" w:rsidRDefault="0027622A">
            <w:pPr>
              <w:rPr>
                <w:rFonts w:ascii="Arial" w:hAnsi="Arial" w:cs="Arial"/>
              </w:rPr>
            </w:pPr>
            <w:r>
              <w:rPr>
                <w:rFonts w:ascii="Arial" w:hAnsi="Arial" w:cs="Arial"/>
              </w:rPr>
              <w:t>Residential Low Density, Grouped Multiple Dwellings (R4) zone (site specific)</w:t>
            </w:r>
          </w:p>
        </w:tc>
      </w:tr>
      <w:tr w:rsidR="0027622A" w:rsidTr="0027622A">
        <w:tc>
          <w:tcPr>
            <w:tcW w:w="4338" w:type="dxa"/>
            <w:hideMark/>
          </w:tcPr>
          <w:p w:rsidR="0027622A" w:rsidRDefault="0027622A">
            <w:pPr>
              <w:rPr>
                <w:rFonts w:ascii="Arial" w:hAnsi="Arial" w:cs="Arial"/>
              </w:rPr>
            </w:pPr>
            <w:r>
              <w:rPr>
                <w:rFonts w:ascii="Arial" w:hAnsi="Arial" w:cs="Arial"/>
              </w:rPr>
              <w:t xml:space="preserve">Purpose: </w:t>
            </w:r>
          </w:p>
        </w:tc>
        <w:tc>
          <w:tcPr>
            <w:tcW w:w="5220" w:type="dxa"/>
            <w:hideMark/>
          </w:tcPr>
          <w:p w:rsidR="0027622A" w:rsidRDefault="0027622A">
            <w:pPr>
              <w:rPr>
                <w:rFonts w:ascii="Arial" w:hAnsi="Arial" w:cs="Arial"/>
              </w:rPr>
            </w:pPr>
            <w:r>
              <w:rPr>
                <w:rFonts w:ascii="Arial" w:hAnsi="Arial" w:cs="Arial"/>
              </w:rPr>
              <w:t>To permit the development of a four storey, 32 unit apartment dwelling and a 19 unit block townhouse development</w:t>
            </w:r>
          </w:p>
        </w:tc>
      </w:tr>
      <w:tr w:rsidR="0027622A" w:rsidTr="0027622A">
        <w:tc>
          <w:tcPr>
            <w:tcW w:w="4338" w:type="dxa"/>
            <w:hideMark/>
          </w:tcPr>
          <w:p w:rsidR="0027622A" w:rsidRDefault="0027622A">
            <w:pPr>
              <w:rPr>
                <w:rFonts w:ascii="Arial" w:hAnsi="Arial" w:cs="Arial"/>
              </w:rPr>
            </w:pPr>
            <w:r>
              <w:rPr>
                <w:rFonts w:ascii="Arial" w:hAnsi="Arial" w:cs="Arial"/>
              </w:rPr>
              <w:t xml:space="preserve">Property Address/Description: </w:t>
            </w:r>
          </w:p>
        </w:tc>
        <w:tc>
          <w:tcPr>
            <w:tcW w:w="5220" w:type="dxa"/>
            <w:hideMark/>
          </w:tcPr>
          <w:p w:rsidR="0027622A" w:rsidRDefault="0027622A">
            <w:pPr>
              <w:rPr>
                <w:rFonts w:ascii="Arial" w:hAnsi="Arial" w:cs="Arial"/>
              </w:rPr>
            </w:pPr>
            <w:r>
              <w:rPr>
                <w:rFonts w:ascii="Arial" w:hAnsi="Arial" w:cs="Arial"/>
              </w:rPr>
              <w:t>2560 Mewburn R</w:t>
            </w:r>
            <w:r w:rsidR="00ED4343">
              <w:rPr>
                <w:rFonts w:ascii="Arial" w:hAnsi="Arial" w:cs="Arial"/>
              </w:rPr>
              <w:t>oa</w:t>
            </w:r>
            <w:r>
              <w:rPr>
                <w:rFonts w:ascii="Arial" w:hAnsi="Arial" w:cs="Arial"/>
              </w:rPr>
              <w:t>d</w:t>
            </w:r>
          </w:p>
        </w:tc>
      </w:tr>
      <w:tr w:rsidR="0027622A" w:rsidTr="0027622A">
        <w:tc>
          <w:tcPr>
            <w:tcW w:w="4338" w:type="dxa"/>
            <w:hideMark/>
          </w:tcPr>
          <w:p w:rsidR="0027622A" w:rsidRDefault="0027622A">
            <w:pPr>
              <w:rPr>
                <w:rFonts w:ascii="Arial" w:hAnsi="Arial" w:cs="Arial"/>
              </w:rPr>
            </w:pPr>
            <w:r>
              <w:rPr>
                <w:rFonts w:ascii="Arial" w:hAnsi="Arial" w:cs="Arial"/>
              </w:rPr>
              <w:t xml:space="preserve">Municipality: </w:t>
            </w:r>
          </w:p>
        </w:tc>
        <w:tc>
          <w:tcPr>
            <w:tcW w:w="5220" w:type="dxa"/>
            <w:hideMark/>
          </w:tcPr>
          <w:p w:rsidR="0027622A" w:rsidRDefault="0027622A">
            <w:pPr>
              <w:rPr>
                <w:rFonts w:ascii="Arial" w:hAnsi="Arial" w:cs="Arial"/>
              </w:rPr>
            </w:pPr>
            <w:r>
              <w:rPr>
                <w:rFonts w:ascii="Arial" w:hAnsi="Arial" w:cs="Arial"/>
              </w:rPr>
              <w:t>City of Niagara Falls</w:t>
            </w:r>
          </w:p>
        </w:tc>
      </w:tr>
      <w:tr w:rsidR="0027622A" w:rsidTr="0027622A">
        <w:tc>
          <w:tcPr>
            <w:tcW w:w="4338" w:type="dxa"/>
            <w:hideMark/>
          </w:tcPr>
          <w:p w:rsidR="0027622A" w:rsidRDefault="0027622A">
            <w:pPr>
              <w:rPr>
                <w:rFonts w:ascii="Arial" w:hAnsi="Arial" w:cs="Arial"/>
              </w:rPr>
            </w:pPr>
            <w:r>
              <w:rPr>
                <w:rFonts w:ascii="Arial" w:hAnsi="Arial" w:cs="Arial"/>
              </w:rPr>
              <w:t xml:space="preserve">Municipality File No.: </w:t>
            </w:r>
          </w:p>
        </w:tc>
        <w:tc>
          <w:tcPr>
            <w:tcW w:w="5220" w:type="dxa"/>
            <w:hideMark/>
          </w:tcPr>
          <w:p w:rsidR="0027622A" w:rsidRDefault="0027622A">
            <w:pPr>
              <w:rPr>
                <w:rFonts w:ascii="Arial" w:hAnsi="Arial" w:cs="Arial"/>
              </w:rPr>
            </w:pPr>
            <w:r>
              <w:rPr>
                <w:rFonts w:ascii="Arial" w:hAnsi="Arial" w:cs="Arial"/>
              </w:rPr>
              <w:t>AM-2016-019</w:t>
            </w:r>
          </w:p>
        </w:tc>
      </w:tr>
      <w:tr w:rsidR="0027622A" w:rsidTr="0027622A">
        <w:tc>
          <w:tcPr>
            <w:tcW w:w="4338" w:type="dxa"/>
            <w:hideMark/>
          </w:tcPr>
          <w:p w:rsidR="0027622A" w:rsidRDefault="0027622A">
            <w:pPr>
              <w:rPr>
                <w:rFonts w:ascii="Arial" w:hAnsi="Arial" w:cs="Arial"/>
              </w:rPr>
            </w:pPr>
            <w:r>
              <w:rPr>
                <w:rFonts w:ascii="Arial" w:hAnsi="Arial" w:cs="Arial"/>
              </w:rPr>
              <w:t xml:space="preserve">OMB Case No.: </w:t>
            </w:r>
          </w:p>
        </w:tc>
        <w:tc>
          <w:tcPr>
            <w:tcW w:w="5220" w:type="dxa"/>
            <w:hideMark/>
          </w:tcPr>
          <w:p w:rsidR="0027622A" w:rsidRDefault="0027622A">
            <w:pPr>
              <w:rPr>
                <w:rFonts w:ascii="Arial" w:hAnsi="Arial" w:cs="Arial"/>
              </w:rPr>
            </w:pPr>
            <w:r>
              <w:rPr>
                <w:rFonts w:ascii="Arial" w:hAnsi="Arial" w:cs="Arial"/>
              </w:rPr>
              <w:t>PL170494</w:t>
            </w:r>
          </w:p>
        </w:tc>
      </w:tr>
      <w:tr w:rsidR="0027622A" w:rsidTr="0027622A">
        <w:tc>
          <w:tcPr>
            <w:tcW w:w="4338" w:type="dxa"/>
            <w:hideMark/>
          </w:tcPr>
          <w:p w:rsidR="0027622A" w:rsidRDefault="0027622A">
            <w:pPr>
              <w:rPr>
                <w:rFonts w:ascii="Arial" w:hAnsi="Arial" w:cs="Arial"/>
              </w:rPr>
            </w:pPr>
            <w:r>
              <w:rPr>
                <w:rFonts w:ascii="Arial" w:hAnsi="Arial" w:cs="Arial"/>
              </w:rPr>
              <w:t xml:space="preserve">OMB File No.: </w:t>
            </w:r>
          </w:p>
        </w:tc>
        <w:tc>
          <w:tcPr>
            <w:tcW w:w="5220" w:type="dxa"/>
            <w:hideMark/>
          </w:tcPr>
          <w:p w:rsidR="0027622A" w:rsidRDefault="0027622A">
            <w:pPr>
              <w:rPr>
                <w:rFonts w:ascii="Arial" w:hAnsi="Arial" w:cs="Arial"/>
              </w:rPr>
            </w:pPr>
            <w:r>
              <w:rPr>
                <w:rFonts w:ascii="Arial" w:hAnsi="Arial" w:cs="Arial"/>
              </w:rPr>
              <w:t>PL170494</w:t>
            </w:r>
          </w:p>
        </w:tc>
      </w:tr>
      <w:tr w:rsidR="0027622A" w:rsidTr="0027622A">
        <w:tc>
          <w:tcPr>
            <w:tcW w:w="4338" w:type="dxa"/>
            <w:hideMark/>
          </w:tcPr>
          <w:p w:rsidR="0027622A" w:rsidRDefault="0027622A">
            <w:pPr>
              <w:rPr>
                <w:rFonts w:ascii="Arial" w:hAnsi="Arial" w:cs="Arial"/>
              </w:rPr>
            </w:pPr>
            <w:r>
              <w:rPr>
                <w:rFonts w:ascii="Arial" w:hAnsi="Arial" w:cs="Arial"/>
              </w:rPr>
              <w:t xml:space="preserve">OMB Case Name: </w:t>
            </w:r>
          </w:p>
        </w:tc>
        <w:tc>
          <w:tcPr>
            <w:tcW w:w="5220" w:type="dxa"/>
            <w:hideMark/>
          </w:tcPr>
          <w:p w:rsidR="0027622A" w:rsidRDefault="0027622A">
            <w:pPr>
              <w:rPr>
                <w:rFonts w:ascii="Arial" w:hAnsi="Arial" w:cs="Arial"/>
              </w:rPr>
            </w:pPr>
            <w:r>
              <w:rPr>
                <w:rFonts w:ascii="Arial" w:hAnsi="Arial" w:cs="Arial"/>
              </w:rPr>
              <w:t>River Crest Corporation v. Niagara Falls (City)</w:t>
            </w:r>
          </w:p>
        </w:tc>
      </w:tr>
    </w:tbl>
    <w:p w:rsidR="006F6F82" w:rsidRDefault="006F6F82">
      <w:pPr>
        <w:rPr>
          <w:rFonts w:ascii="Arial" w:hAnsi="Arial" w:cs="Arial"/>
          <w:sz w:val="20"/>
          <w:szCs w:val="20"/>
        </w:rPr>
      </w:pPr>
    </w:p>
    <w:p w:rsidR="006F6F82" w:rsidRPr="001B45D0" w:rsidRDefault="006F6F82">
      <w:pPr>
        <w:rPr>
          <w:rFonts w:ascii="Arial" w:hAnsi="Arial" w:cs="Arial"/>
          <w:sz w:val="20"/>
          <w:szCs w:val="20"/>
        </w:rPr>
      </w:pPr>
    </w:p>
    <w:p w:rsidR="00B268A7" w:rsidRPr="001E764F" w:rsidRDefault="00B268A7" w:rsidP="00B268A7">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185E46">
        <w:tc>
          <w:tcPr>
            <w:tcW w:w="4338" w:type="dxa"/>
          </w:tcPr>
          <w:p w:rsidR="00B268A7" w:rsidRPr="001E764F" w:rsidRDefault="00B268A7" w:rsidP="00185E46">
            <w:pPr>
              <w:rPr>
                <w:rFonts w:ascii="Arial" w:hAnsi="Arial" w:cs="Arial"/>
                <w:b/>
              </w:rPr>
            </w:pPr>
            <w:r w:rsidRPr="001E764F">
              <w:rPr>
                <w:rFonts w:ascii="Arial" w:hAnsi="Arial" w:cs="Arial"/>
                <w:b/>
              </w:rPr>
              <w:t>Heard:</w:t>
            </w:r>
          </w:p>
        </w:tc>
        <w:tc>
          <w:tcPr>
            <w:tcW w:w="5238" w:type="dxa"/>
          </w:tcPr>
          <w:p w:rsidR="00B268A7" w:rsidRPr="001E764F" w:rsidRDefault="00BA2B4C" w:rsidP="00185E46">
            <w:pPr>
              <w:rPr>
                <w:rFonts w:ascii="Arial" w:hAnsi="Arial" w:cs="Arial"/>
              </w:rPr>
            </w:pPr>
            <w:r>
              <w:rPr>
                <w:rFonts w:ascii="Arial" w:hAnsi="Arial" w:cs="Arial"/>
              </w:rPr>
              <w:t>January 9 and 10, 2018 in Niagara Falls, Ontario</w:t>
            </w:r>
          </w:p>
        </w:tc>
      </w:tr>
    </w:tbl>
    <w:p w:rsidR="00B268A7" w:rsidRPr="001E764F" w:rsidRDefault="00B268A7" w:rsidP="002159B4">
      <w:pPr>
        <w:rPr>
          <w:rFonts w:ascii="Arial" w:hAnsi="Arial" w:cs="Arial"/>
        </w:rPr>
      </w:pPr>
    </w:p>
    <w:bookmarkEnd w:id="1"/>
    <w:tbl>
      <w:tblPr>
        <w:tblW w:w="9606" w:type="dxa"/>
        <w:tblLook w:val="0000" w:firstRow="0" w:lastRow="0" w:firstColumn="0" w:lastColumn="0" w:noHBand="0" w:noVBand="0"/>
      </w:tblPr>
      <w:tblGrid>
        <w:gridCol w:w="4361"/>
        <w:gridCol w:w="5245"/>
      </w:tblGrid>
      <w:tr w:rsidR="0089782A" w:rsidRPr="001E764F" w:rsidTr="002C7CBA">
        <w:tc>
          <w:tcPr>
            <w:tcW w:w="4361" w:type="dxa"/>
          </w:tcPr>
          <w:p w:rsidR="00935095" w:rsidRDefault="00935095" w:rsidP="002159B4">
            <w:pPr>
              <w:rPr>
                <w:rFonts w:ascii="Arial" w:hAnsi="Arial" w:cs="Arial"/>
                <w:b/>
              </w:rPr>
            </w:pPr>
          </w:p>
          <w:p w:rsidR="0089782A" w:rsidRPr="001E764F" w:rsidRDefault="0089782A" w:rsidP="002159B4">
            <w:pPr>
              <w:rPr>
                <w:rFonts w:ascii="Arial" w:hAnsi="Arial" w:cs="Arial"/>
                <w:b/>
              </w:rPr>
            </w:pPr>
            <w:r w:rsidRPr="001E764F">
              <w:rPr>
                <w:rFonts w:ascii="Arial" w:hAnsi="Arial" w:cs="Arial"/>
                <w:b/>
              </w:rPr>
              <w:t>APPEARANCES:</w:t>
            </w:r>
          </w:p>
        </w:tc>
        <w:tc>
          <w:tcPr>
            <w:tcW w:w="5245" w:type="dxa"/>
          </w:tcPr>
          <w:p w:rsidR="0089782A" w:rsidRPr="001E764F" w:rsidRDefault="0089782A" w:rsidP="002159B4">
            <w:pPr>
              <w:rPr>
                <w:rFonts w:ascii="Arial" w:hAnsi="Arial" w:cs="Arial"/>
              </w:rPr>
            </w:pPr>
          </w:p>
        </w:tc>
      </w:tr>
      <w:tr w:rsidR="0089782A" w:rsidRPr="001E764F" w:rsidTr="002C7CBA">
        <w:tc>
          <w:tcPr>
            <w:tcW w:w="4361" w:type="dxa"/>
          </w:tcPr>
          <w:p w:rsidR="0089782A" w:rsidRPr="001E764F" w:rsidRDefault="0089782A" w:rsidP="002159B4">
            <w:pPr>
              <w:rPr>
                <w:rFonts w:ascii="Arial" w:hAnsi="Arial" w:cs="Arial"/>
              </w:rPr>
            </w:pPr>
          </w:p>
        </w:tc>
        <w:tc>
          <w:tcPr>
            <w:tcW w:w="5245" w:type="dxa"/>
          </w:tcPr>
          <w:p w:rsidR="0089782A" w:rsidRPr="001E764F" w:rsidRDefault="0089782A" w:rsidP="002159B4">
            <w:pPr>
              <w:rPr>
                <w:rFonts w:ascii="Arial" w:hAnsi="Arial" w:cs="Arial"/>
              </w:rPr>
            </w:pPr>
          </w:p>
        </w:tc>
      </w:tr>
      <w:tr w:rsidR="008046EB" w:rsidRPr="001E764F" w:rsidTr="002C7CBA">
        <w:tc>
          <w:tcPr>
            <w:tcW w:w="4361" w:type="dxa"/>
          </w:tcPr>
          <w:p w:rsidR="008046EB" w:rsidRPr="00C300F2" w:rsidRDefault="008046EB" w:rsidP="002159B4">
            <w:pPr>
              <w:rPr>
                <w:rFonts w:ascii="Arial" w:hAnsi="Arial" w:cs="Arial"/>
                <w:b/>
                <w:u w:val="single"/>
              </w:rPr>
            </w:pPr>
            <w:bookmarkStart w:id="2" w:name="Parties"/>
            <w:r w:rsidRPr="00C300F2">
              <w:rPr>
                <w:rFonts w:ascii="Arial" w:hAnsi="Arial" w:cs="Arial"/>
                <w:b/>
                <w:u w:val="single"/>
              </w:rPr>
              <w:t>Parties</w:t>
            </w:r>
            <w:bookmarkEnd w:id="2"/>
          </w:p>
        </w:tc>
        <w:tc>
          <w:tcPr>
            <w:tcW w:w="5245" w:type="dxa"/>
          </w:tcPr>
          <w:p w:rsidR="008046EB" w:rsidRPr="00C300F2" w:rsidRDefault="008046EB" w:rsidP="002159B4">
            <w:pPr>
              <w:rPr>
                <w:rFonts w:ascii="Arial" w:hAnsi="Arial" w:cs="Arial"/>
                <w:b/>
                <w:u w:val="single"/>
              </w:rPr>
            </w:pPr>
            <w:bookmarkStart w:id="3" w:name="CounselAgent"/>
            <w:r w:rsidRPr="00C300F2">
              <w:rPr>
                <w:rFonts w:ascii="Arial" w:hAnsi="Arial" w:cs="Arial"/>
                <w:b/>
                <w:u w:val="single"/>
              </w:rPr>
              <w:t>Counse</w:t>
            </w:r>
            <w:r w:rsidR="009333AA" w:rsidRPr="00C300F2">
              <w:rPr>
                <w:rFonts w:ascii="Arial" w:hAnsi="Arial" w:cs="Arial"/>
                <w:b/>
                <w:u w:val="single"/>
              </w:rPr>
              <w:t>l</w:t>
            </w:r>
            <w:r w:rsidR="003D1234" w:rsidRPr="00C300F2">
              <w:rPr>
                <w:rFonts w:ascii="Arial" w:hAnsi="Arial" w:cs="Arial"/>
                <w:b/>
                <w:u w:val="single"/>
              </w:rPr>
              <w:t>*</w:t>
            </w:r>
            <w:r w:rsidRPr="00C300F2">
              <w:rPr>
                <w:rFonts w:ascii="Arial" w:hAnsi="Arial" w:cs="Arial"/>
                <w:b/>
                <w:u w:val="single"/>
              </w:rPr>
              <w:t>/</w:t>
            </w:r>
            <w:bookmarkEnd w:id="3"/>
            <w:r w:rsidR="009333AA" w:rsidRPr="00C300F2">
              <w:rPr>
                <w:rFonts w:ascii="Arial" w:hAnsi="Arial" w:cs="Arial"/>
                <w:b/>
                <w:u w:val="single"/>
              </w:rPr>
              <w:t>Representative</w:t>
            </w:r>
          </w:p>
        </w:tc>
      </w:tr>
      <w:tr w:rsidR="00CF3F96" w:rsidRPr="001E764F" w:rsidTr="002C7CBA">
        <w:tc>
          <w:tcPr>
            <w:tcW w:w="4361" w:type="dxa"/>
          </w:tcPr>
          <w:p w:rsidR="00CF3F96" w:rsidRPr="001E764F" w:rsidRDefault="00CF3F96" w:rsidP="002159B4">
            <w:pPr>
              <w:rPr>
                <w:rFonts w:ascii="Arial" w:hAnsi="Arial" w:cs="Arial"/>
              </w:rPr>
            </w:pPr>
          </w:p>
        </w:tc>
        <w:tc>
          <w:tcPr>
            <w:tcW w:w="5245" w:type="dxa"/>
          </w:tcPr>
          <w:p w:rsidR="00CF3F96" w:rsidRPr="001E764F" w:rsidRDefault="00CF3F96" w:rsidP="002159B4">
            <w:pPr>
              <w:rPr>
                <w:rFonts w:ascii="Arial" w:hAnsi="Arial" w:cs="Arial"/>
                <w:b/>
              </w:rPr>
            </w:pPr>
          </w:p>
        </w:tc>
      </w:tr>
      <w:tr w:rsidR="00B24C1B" w:rsidRPr="001E764F" w:rsidTr="002C7CBA">
        <w:tc>
          <w:tcPr>
            <w:tcW w:w="4361" w:type="dxa"/>
          </w:tcPr>
          <w:p w:rsidR="00B24C1B" w:rsidRPr="001E764F" w:rsidRDefault="008369F0" w:rsidP="008369F0">
            <w:pPr>
              <w:rPr>
                <w:rFonts w:ascii="Arial" w:hAnsi="Arial" w:cs="Arial"/>
              </w:rPr>
            </w:pPr>
            <w:r>
              <w:rPr>
                <w:rFonts w:ascii="Arial" w:hAnsi="Arial" w:cs="Arial"/>
              </w:rPr>
              <w:t>River Crest Corporation</w:t>
            </w:r>
          </w:p>
        </w:tc>
        <w:tc>
          <w:tcPr>
            <w:tcW w:w="5245" w:type="dxa"/>
          </w:tcPr>
          <w:p w:rsidR="00B24C1B" w:rsidRPr="00A240AE" w:rsidRDefault="008369F0" w:rsidP="002159B4">
            <w:pPr>
              <w:rPr>
                <w:rFonts w:ascii="Arial" w:hAnsi="Arial" w:cs="Arial"/>
              </w:rPr>
            </w:pPr>
            <w:r>
              <w:rPr>
                <w:rFonts w:ascii="Arial" w:hAnsi="Arial" w:cs="Arial"/>
              </w:rPr>
              <w:t>Thomas Hanrahan</w:t>
            </w:r>
          </w:p>
        </w:tc>
      </w:tr>
      <w:tr w:rsidR="00B24C1B" w:rsidRPr="001E764F" w:rsidTr="002C7CBA">
        <w:tc>
          <w:tcPr>
            <w:tcW w:w="4361" w:type="dxa"/>
          </w:tcPr>
          <w:p w:rsidR="00B24C1B" w:rsidRPr="001E764F" w:rsidRDefault="00B24C1B" w:rsidP="002159B4">
            <w:pPr>
              <w:rPr>
                <w:rFonts w:ascii="Arial" w:hAnsi="Arial" w:cs="Arial"/>
              </w:rPr>
            </w:pPr>
          </w:p>
        </w:tc>
        <w:tc>
          <w:tcPr>
            <w:tcW w:w="5245" w:type="dxa"/>
          </w:tcPr>
          <w:p w:rsidR="00B24C1B" w:rsidRPr="001E764F" w:rsidRDefault="00B24C1B" w:rsidP="002159B4">
            <w:pPr>
              <w:rPr>
                <w:rFonts w:ascii="Arial" w:hAnsi="Arial" w:cs="Arial"/>
                <w:b/>
              </w:rPr>
            </w:pPr>
          </w:p>
        </w:tc>
      </w:tr>
      <w:tr w:rsidR="00510812" w:rsidRPr="001E764F" w:rsidTr="002C7CBA">
        <w:tc>
          <w:tcPr>
            <w:tcW w:w="4361" w:type="dxa"/>
          </w:tcPr>
          <w:p w:rsidR="00510812" w:rsidRPr="001E764F" w:rsidRDefault="008369F0" w:rsidP="002159B4">
            <w:pPr>
              <w:rPr>
                <w:rFonts w:ascii="Arial" w:hAnsi="Arial" w:cs="Arial"/>
              </w:rPr>
            </w:pPr>
            <w:r>
              <w:rPr>
                <w:rFonts w:ascii="Arial" w:hAnsi="Arial" w:cs="Arial"/>
              </w:rPr>
              <w:t>City of Niagara Falls</w:t>
            </w:r>
          </w:p>
        </w:tc>
        <w:tc>
          <w:tcPr>
            <w:tcW w:w="5245" w:type="dxa"/>
          </w:tcPr>
          <w:p w:rsidR="00510812" w:rsidRPr="00A240AE" w:rsidRDefault="008369F0" w:rsidP="002159B4">
            <w:pPr>
              <w:rPr>
                <w:rFonts w:ascii="Arial" w:hAnsi="Arial" w:cs="Arial"/>
              </w:rPr>
            </w:pPr>
            <w:r>
              <w:rPr>
                <w:rFonts w:ascii="Arial" w:hAnsi="Arial" w:cs="Arial"/>
              </w:rPr>
              <w:t>Ken Beaman</w:t>
            </w:r>
          </w:p>
        </w:tc>
      </w:tr>
      <w:tr w:rsidR="005718D4" w:rsidRPr="001E764F" w:rsidTr="002C7CBA">
        <w:tc>
          <w:tcPr>
            <w:tcW w:w="4361" w:type="dxa"/>
          </w:tcPr>
          <w:p w:rsidR="005718D4" w:rsidRDefault="005718D4" w:rsidP="002159B4">
            <w:pPr>
              <w:rPr>
                <w:rFonts w:ascii="Arial" w:hAnsi="Arial" w:cs="Arial"/>
              </w:rPr>
            </w:pPr>
          </w:p>
        </w:tc>
        <w:tc>
          <w:tcPr>
            <w:tcW w:w="5245" w:type="dxa"/>
          </w:tcPr>
          <w:p w:rsidR="005718D4" w:rsidRPr="001E764F" w:rsidRDefault="005718D4" w:rsidP="002159B4">
            <w:pPr>
              <w:rPr>
                <w:rFonts w:ascii="Arial" w:hAnsi="Arial" w:cs="Arial"/>
                <w:b/>
              </w:rPr>
            </w:pPr>
          </w:p>
        </w:tc>
      </w:tr>
      <w:tr w:rsidR="00AC1EA4" w:rsidRPr="001E764F" w:rsidTr="002C7CBA">
        <w:tc>
          <w:tcPr>
            <w:tcW w:w="4361" w:type="dxa"/>
          </w:tcPr>
          <w:p w:rsidR="00AC1EA4" w:rsidRDefault="00AC1EA4" w:rsidP="002159B4">
            <w:pPr>
              <w:rPr>
                <w:rFonts w:ascii="Arial" w:hAnsi="Arial" w:cs="Arial"/>
              </w:rPr>
            </w:pPr>
          </w:p>
        </w:tc>
        <w:tc>
          <w:tcPr>
            <w:tcW w:w="5245" w:type="dxa"/>
          </w:tcPr>
          <w:p w:rsidR="00AC1EA4" w:rsidRPr="001E764F" w:rsidRDefault="00AC1EA4" w:rsidP="002159B4">
            <w:pPr>
              <w:rPr>
                <w:rFonts w:ascii="Arial" w:hAnsi="Arial" w:cs="Arial"/>
                <w:b/>
              </w:rPr>
            </w:pPr>
          </w:p>
        </w:tc>
      </w:tr>
    </w:tbl>
    <w:p w:rsidR="00997D13" w:rsidRPr="00BB28D0" w:rsidRDefault="00997D13" w:rsidP="00997D13">
      <w:pPr>
        <w:pBdr>
          <w:bottom w:val="single" w:sz="4" w:space="1" w:color="auto"/>
        </w:pBdr>
        <w:rPr>
          <w:rFonts w:ascii="Arial" w:hAnsi="Arial" w:cs="Arial"/>
          <w:b/>
        </w:rPr>
      </w:pPr>
      <w:r w:rsidRPr="00BB28D0">
        <w:rPr>
          <w:rFonts w:ascii="Arial" w:hAnsi="Arial" w:cs="Arial"/>
          <w:b/>
        </w:rPr>
        <w:lastRenderedPageBreak/>
        <w:t>DECISION DELIVERED BY J. V</w:t>
      </w:r>
      <w:r>
        <w:rPr>
          <w:rFonts w:ascii="Arial" w:hAnsi="Arial" w:cs="Arial"/>
          <w:b/>
        </w:rPr>
        <w:t xml:space="preserve">. ZUIDEMA </w:t>
      </w:r>
    </w:p>
    <w:p w:rsidR="00CA45E4" w:rsidRDefault="00CA45E4" w:rsidP="00DE68F8">
      <w:pPr>
        <w:pStyle w:val="DecisionDeliveredby"/>
      </w:pPr>
    </w:p>
    <w:p w:rsidR="00935095" w:rsidRPr="009A73F6" w:rsidRDefault="00935095" w:rsidP="00DE68F8">
      <w:pPr>
        <w:pStyle w:val="DecisionDeliveredby"/>
      </w:pPr>
      <w:r>
        <w:t>INTRODUCTION</w:t>
      </w:r>
    </w:p>
    <w:p w:rsidR="00935095" w:rsidRDefault="00935095" w:rsidP="00DE68F8">
      <w:pPr>
        <w:pStyle w:val="DecisionDeliveredby"/>
      </w:pPr>
    </w:p>
    <w:p w:rsidR="001B2A7F" w:rsidRPr="00DE68F8" w:rsidRDefault="001B2A7F" w:rsidP="00DE68F8">
      <w:pPr>
        <w:pStyle w:val="DecisionDeliveredby"/>
      </w:pPr>
      <w:r w:rsidRPr="00DE68F8">
        <w:t>Background</w:t>
      </w:r>
    </w:p>
    <w:p w:rsidR="001B2A7F" w:rsidRPr="009A73F6" w:rsidRDefault="001B2A7F" w:rsidP="00DE68F8">
      <w:pPr>
        <w:pStyle w:val="DecisionDeliveredby"/>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River Crest Corporation (“River Crest”) applied to the City of Niagara Falls (“City”) to permit the development of a four storey, 32</w:t>
      </w:r>
      <w:r w:rsidR="00BE4156">
        <w:rPr>
          <w:rFonts w:ascii="Arial" w:hAnsi="Arial" w:cs="Arial"/>
        </w:rPr>
        <w:t>-</w:t>
      </w:r>
      <w:r w:rsidRPr="00FF109A">
        <w:rPr>
          <w:rFonts w:ascii="Arial" w:hAnsi="Arial" w:cs="Arial"/>
        </w:rPr>
        <w:t>unit apartment dwelling and a 19</w:t>
      </w:r>
      <w:r w:rsidR="00BE4156">
        <w:rPr>
          <w:rFonts w:ascii="Arial" w:hAnsi="Arial" w:cs="Arial"/>
        </w:rPr>
        <w:t>-</w:t>
      </w:r>
      <w:r w:rsidRPr="00FF109A">
        <w:rPr>
          <w:rFonts w:ascii="Arial" w:hAnsi="Arial" w:cs="Arial"/>
        </w:rPr>
        <w:t xml:space="preserve">unit block townhouse development. </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 xml:space="preserve">The application sought to amend the City’s Zoning By-Law No. 79-200 from a Development Holding (DH) zone to a site specific Residential Low Density, Grouped Multiple Dwellings (R4) zone. </w:t>
      </w:r>
      <w:r w:rsidR="00104A0B">
        <w:rPr>
          <w:rFonts w:ascii="Arial" w:hAnsi="Arial" w:cs="Arial"/>
        </w:rPr>
        <w:t xml:space="preserve"> </w:t>
      </w:r>
      <w:r w:rsidRPr="00FF109A">
        <w:rPr>
          <w:rFonts w:ascii="Arial" w:hAnsi="Arial" w:cs="Arial"/>
        </w:rPr>
        <w:t>Site specific provisions would cover standards for lot area, side yard width, privacy yard depth, number dwellings on a lot and building height regulations.</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The property is located at 2560 Mewburn Road (“subject property”) in the City.  This is situated at the southeast corner of Mountain R</w:t>
      </w:r>
      <w:r w:rsidR="00104A0B">
        <w:rPr>
          <w:rFonts w:ascii="Arial" w:hAnsi="Arial" w:cs="Arial"/>
        </w:rPr>
        <w:t>oa</w:t>
      </w:r>
      <w:r w:rsidRPr="00FF109A">
        <w:rPr>
          <w:rFonts w:ascii="Arial" w:hAnsi="Arial" w:cs="Arial"/>
        </w:rPr>
        <w:t>d and Mewburn R</w:t>
      </w:r>
      <w:r w:rsidR="00104A0B">
        <w:rPr>
          <w:rFonts w:ascii="Arial" w:hAnsi="Arial" w:cs="Arial"/>
        </w:rPr>
        <w:t>oa</w:t>
      </w:r>
      <w:r w:rsidRPr="00FF109A">
        <w:rPr>
          <w:rFonts w:ascii="Arial" w:hAnsi="Arial" w:cs="Arial"/>
        </w:rPr>
        <w:t>d and currently the site is occupied by a motel and single detached dwelling.</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City Council refused the application on or about March 28, 2017.</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 xml:space="preserve">River Crest appealed the decision under subsection 34(11) of the </w:t>
      </w:r>
      <w:r w:rsidRPr="00652A1F">
        <w:rPr>
          <w:rFonts w:ascii="Arial" w:hAnsi="Arial" w:cs="Arial"/>
          <w:i/>
        </w:rPr>
        <w:t>Planning Act</w:t>
      </w:r>
      <w:r w:rsidRPr="00FF109A">
        <w:rPr>
          <w:rFonts w:ascii="Arial" w:hAnsi="Arial" w:cs="Arial"/>
        </w:rPr>
        <w:t xml:space="preserve"> stating that its application constituted infill development within the existing urban area. </w:t>
      </w:r>
      <w:r w:rsidR="003F0A09">
        <w:rPr>
          <w:rFonts w:ascii="Arial" w:hAnsi="Arial" w:cs="Arial"/>
        </w:rPr>
        <w:t xml:space="preserve"> </w:t>
      </w:r>
      <w:r w:rsidRPr="00FF109A">
        <w:rPr>
          <w:rFonts w:ascii="Arial" w:hAnsi="Arial" w:cs="Arial"/>
        </w:rPr>
        <w:t>The City Planning Staff Report and the Planning Justification Report recognized the proposed development as good planning for a variety of policies in the Provincial Policy Statement (“PPS”), the Regional Official Plan and the City’s Official Plan.</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 xml:space="preserve">The City’s Planning Staff had no objections to the application, noting that the proposed development is a form of residential intensification promoted by the PPS; it conformed </w:t>
      </w:r>
      <w:r w:rsidR="009D5A08">
        <w:rPr>
          <w:rFonts w:ascii="Arial" w:hAnsi="Arial" w:cs="Arial"/>
        </w:rPr>
        <w:t>to</w:t>
      </w:r>
      <w:r w:rsidRPr="00FF109A">
        <w:rPr>
          <w:rFonts w:ascii="Arial" w:hAnsi="Arial" w:cs="Arial"/>
        </w:rPr>
        <w:t xml:space="preserve"> the Official Plan, and the requested zoning amendments could be </w:t>
      </w:r>
      <w:r w:rsidRPr="00FF109A">
        <w:rPr>
          <w:rFonts w:ascii="Arial" w:hAnsi="Arial" w:cs="Arial"/>
        </w:rPr>
        <w:lastRenderedPageBreak/>
        <w:t xml:space="preserve">supported. </w:t>
      </w:r>
      <w:r w:rsidR="003F0A09">
        <w:rPr>
          <w:rFonts w:ascii="Arial" w:hAnsi="Arial" w:cs="Arial"/>
        </w:rPr>
        <w:t xml:space="preserve"> </w:t>
      </w:r>
      <w:r w:rsidRPr="00FF109A">
        <w:rPr>
          <w:rFonts w:ascii="Arial" w:hAnsi="Arial" w:cs="Arial"/>
        </w:rPr>
        <w:t>A servicing study will be conducted to address any identified sanitary and water servicing issues at the condominium stage.</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 xml:space="preserve">The </w:t>
      </w:r>
      <w:r w:rsidR="003F0A09">
        <w:rPr>
          <w:rFonts w:ascii="Arial" w:hAnsi="Arial" w:cs="Arial"/>
        </w:rPr>
        <w:t>Ontario Municipal Board (“</w:t>
      </w:r>
      <w:r w:rsidRPr="00FF109A">
        <w:rPr>
          <w:rFonts w:ascii="Arial" w:hAnsi="Arial" w:cs="Arial"/>
        </w:rPr>
        <w:t>Board</w:t>
      </w:r>
      <w:r w:rsidR="003F0A09">
        <w:rPr>
          <w:rFonts w:ascii="Arial" w:hAnsi="Arial" w:cs="Arial"/>
        </w:rPr>
        <w:t>”)</w:t>
      </w:r>
      <w:r w:rsidRPr="00FF109A">
        <w:rPr>
          <w:rFonts w:ascii="Arial" w:hAnsi="Arial" w:cs="Arial"/>
        </w:rPr>
        <w:t xml:space="preserve"> conducted a Pre-Hearing Conference and per my colleague’s earlier Decision (which was issued on October 17, 2017) conferred Participant status to Francis Richard Andre</w:t>
      </w:r>
      <w:r w:rsidR="004509E4">
        <w:rPr>
          <w:rFonts w:ascii="Arial" w:hAnsi="Arial" w:cs="Arial"/>
        </w:rPr>
        <w:t>w</w:t>
      </w:r>
      <w:r w:rsidRPr="00FF109A">
        <w:rPr>
          <w:rFonts w:ascii="Arial" w:hAnsi="Arial" w:cs="Arial"/>
        </w:rPr>
        <w:t xml:space="preserve">s, Brian </w:t>
      </w:r>
      <w:r w:rsidR="00BD2407">
        <w:rPr>
          <w:rFonts w:ascii="Arial" w:hAnsi="Arial" w:cs="Arial"/>
        </w:rPr>
        <w:t>Donnelly</w:t>
      </w:r>
      <w:r w:rsidRPr="00FF109A">
        <w:rPr>
          <w:rFonts w:ascii="Arial" w:hAnsi="Arial" w:cs="Arial"/>
        </w:rPr>
        <w:t>, David Mason, and Anne Cruse.  The hearing convened on January 9, 2018.</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 xml:space="preserve">At the outset of the hearing, the Board was advised that the City would not be calling a case.  Counsel for the City asked that the Board have regard to the City Council’s earlier decision but no evidence was </w:t>
      </w:r>
      <w:r w:rsidR="005D4DFB" w:rsidRPr="00FF109A">
        <w:rPr>
          <w:rFonts w:ascii="Arial" w:hAnsi="Arial" w:cs="Arial"/>
        </w:rPr>
        <w:t>proffered</w:t>
      </w:r>
      <w:r w:rsidRPr="00FF109A">
        <w:rPr>
          <w:rFonts w:ascii="Arial" w:hAnsi="Arial" w:cs="Arial"/>
        </w:rPr>
        <w:t xml:space="preserve"> to support the City’s opposition to the appeal.</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As such, I heard uncontested expert planning evidence in support of the appeal.  Mr. Alex Herlovitch was qualified and accepted as an expert in land use planning.  Mr. Herlovitch appeared under summons as he is the Director of the City’s Planning Department.</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Mr. Herlovitch provided his opinion, consistent with the position taken in the Staff Report which was before City Council, that the development was consistent with the infill policies of the PPS in that it was a good use of existing public infrastructure and the subject property was an underutilized parcel.</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 xml:space="preserve">Mr. Herlovitch described the history and context of the proposal.  The proposal before me had been revised to address some of the concerns raised by </w:t>
      </w:r>
      <w:r w:rsidR="009D5A08" w:rsidRPr="00FF109A">
        <w:rPr>
          <w:rFonts w:ascii="Arial" w:hAnsi="Arial" w:cs="Arial"/>
        </w:rPr>
        <w:t>neighboring</w:t>
      </w:r>
      <w:r w:rsidRPr="00FF109A">
        <w:rPr>
          <w:rFonts w:ascii="Arial" w:hAnsi="Arial" w:cs="Arial"/>
        </w:rPr>
        <w:t xml:space="preserve"> property owners and the City’s comments.  Mr. Herlovitch explained that following City’s Council’s decision to refuse, he was involved with River Crest and the </w:t>
      </w:r>
      <w:r w:rsidR="008A560C" w:rsidRPr="00FF109A">
        <w:rPr>
          <w:rFonts w:ascii="Arial" w:hAnsi="Arial" w:cs="Arial"/>
        </w:rPr>
        <w:t>neighbors</w:t>
      </w:r>
      <w:r w:rsidRPr="00FF109A">
        <w:rPr>
          <w:rFonts w:ascii="Arial" w:hAnsi="Arial" w:cs="Arial"/>
        </w:rPr>
        <w:t xml:space="preserve"> to try to find a resolution.</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Mr. Herlovitch was thorough and methodical in his review and opinion in support of the revised proposal.  He also answered all of my questions and I relied upon his uncontroverted evidence to provide an oral decision at the conclusion of the hearing.</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I also heard from Mr. Steven Rivers, who was also qualified and accepted as an expert in land use planning.  Similar to Mr. Herlovitch, Mr. Rivers testified in support of the proposed development.  Mr. Rivers explained how the changes were made to development proposal in order to address City Council’s concerns.</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Mr. P. Leigh Whyte, also a professional planner but not qualified as such, provided evidence concerning the background and history of the proposal.</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Finally I also heard from Ms. Anne Cruse, one of the Participants noted above.  Ms. Cruse’s testimony was in support of the revised proposal and she indicated she was speaking on behalf of the residents of Condominium Corporation #57 located in the vicinity of the subject property.</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Based on the evidence of these witnesses, I provided an oral decision allowing the appeal in order to approve the revised development.  Because the parties required some time to finalize the condominium plan and the site plan, I was asked jointly to withhold the Board Order until those applications had been completed.</w:t>
      </w:r>
    </w:p>
    <w:p w:rsidR="00987BE8" w:rsidRPr="00FF109A" w:rsidRDefault="00987BE8" w:rsidP="00985581">
      <w:pPr>
        <w:spacing w:line="360" w:lineRule="auto"/>
        <w:rPr>
          <w:rFonts w:ascii="Arial" w:hAnsi="Arial" w:cs="Arial"/>
        </w:rPr>
      </w:pPr>
    </w:p>
    <w:p w:rsidR="00987BE8" w:rsidRDefault="00987BE8" w:rsidP="00985581">
      <w:pPr>
        <w:numPr>
          <w:ilvl w:val="0"/>
          <w:numId w:val="31"/>
        </w:numPr>
        <w:spacing w:line="360" w:lineRule="auto"/>
        <w:ind w:left="0" w:firstLine="0"/>
        <w:rPr>
          <w:rFonts w:ascii="Arial" w:hAnsi="Arial" w:cs="Arial"/>
        </w:rPr>
      </w:pPr>
      <w:r w:rsidRPr="00FF109A">
        <w:rPr>
          <w:rFonts w:ascii="Arial" w:hAnsi="Arial" w:cs="Arial"/>
        </w:rPr>
        <w:t>The parties are directed to contact the Board’s Case Co</w:t>
      </w:r>
      <w:r w:rsidR="00BA2B4C">
        <w:rPr>
          <w:rFonts w:ascii="Arial" w:hAnsi="Arial" w:cs="Arial"/>
        </w:rPr>
        <w:t>o</w:t>
      </w:r>
      <w:r w:rsidRPr="00FF109A">
        <w:rPr>
          <w:rFonts w:ascii="Arial" w:hAnsi="Arial" w:cs="Arial"/>
        </w:rPr>
        <w:t>rdinator to advise when those applications have been finalized.  The Board can be contacted to assist should any difficulties arise in the interim.</w:t>
      </w:r>
    </w:p>
    <w:p w:rsidR="00987BE8" w:rsidRPr="00FF109A" w:rsidRDefault="00987BE8" w:rsidP="00985581">
      <w:pPr>
        <w:spacing w:line="360" w:lineRule="auto"/>
        <w:rPr>
          <w:rFonts w:ascii="Arial" w:hAnsi="Arial" w:cs="Arial"/>
        </w:rPr>
      </w:pPr>
    </w:p>
    <w:p w:rsidR="00987BE8" w:rsidRPr="00FF109A" w:rsidRDefault="00987BE8" w:rsidP="00985581">
      <w:pPr>
        <w:numPr>
          <w:ilvl w:val="0"/>
          <w:numId w:val="31"/>
        </w:numPr>
        <w:spacing w:line="360" w:lineRule="auto"/>
        <w:ind w:left="0" w:firstLine="0"/>
        <w:rPr>
          <w:rFonts w:ascii="Arial" w:hAnsi="Arial" w:cs="Arial"/>
        </w:rPr>
      </w:pPr>
      <w:r w:rsidRPr="00FF109A">
        <w:rPr>
          <w:rFonts w:ascii="Arial" w:hAnsi="Arial" w:cs="Arial"/>
        </w:rPr>
        <w:t>Therefore the appeal is allowed but the Board’s Order is withheld.  It can be released once the Board is advised that the condominium and site plans have been finalized.</w:t>
      </w:r>
    </w:p>
    <w:p w:rsidR="00935095" w:rsidRPr="00987BE8" w:rsidRDefault="00935095" w:rsidP="00935095">
      <w:pPr>
        <w:pStyle w:val="DecisionBody"/>
        <w:numPr>
          <w:ilvl w:val="0"/>
          <w:numId w:val="0"/>
        </w:numPr>
        <w:spacing w:before="0" w:after="0" w:line="360" w:lineRule="auto"/>
        <w:rPr>
          <w:rFonts w:cs="Arial"/>
          <w:lang w:val="en-US"/>
        </w:rPr>
      </w:pPr>
    </w:p>
    <w:p w:rsidR="00935095" w:rsidRDefault="00935095" w:rsidP="00935095">
      <w:pPr>
        <w:pStyle w:val="DecisionBody"/>
        <w:numPr>
          <w:ilvl w:val="0"/>
          <w:numId w:val="0"/>
        </w:numPr>
        <w:spacing w:before="0" w:after="0" w:line="360" w:lineRule="auto"/>
        <w:rPr>
          <w:rFonts w:cs="Arial"/>
        </w:rPr>
      </w:pPr>
    </w:p>
    <w:p w:rsidR="00DE7CE2" w:rsidRDefault="00DE7CE2" w:rsidP="00935095">
      <w:pPr>
        <w:pStyle w:val="DecisionBody"/>
        <w:numPr>
          <w:ilvl w:val="0"/>
          <w:numId w:val="0"/>
        </w:numPr>
        <w:spacing w:before="0" w:after="0" w:line="360" w:lineRule="auto"/>
        <w:rPr>
          <w:rFonts w:cs="Arial"/>
        </w:rPr>
      </w:pPr>
    </w:p>
    <w:p w:rsidR="00DE7CE2" w:rsidRDefault="00DE7CE2" w:rsidP="00935095">
      <w:pPr>
        <w:pStyle w:val="DecisionBody"/>
        <w:numPr>
          <w:ilvl w:val="0"/>
          <w:numId w:val="0"/>
        </w:numPr>
        <w:spacing w:before="0" w:after="0" w:line="360" w:lineRule="auto"/>
        <w:rPr>
          <w:rFonts w:cs="Arial"/>
        </w:rPr>
      </w:pPr>
    </w:p>
    <w:p w:rsidR="00DE7CE2" w:rsidRDefault="00DE7CE2" w:rsidP="00935095">
      <w:pPr>
        <w:pStyle w:val="DecisionBody"/>
        <w:numPr>
          <w:ilvl w:val="0"/>
          <w:numId w:val="0"/>
        </w:numPr>
        <w:spacing w:before="0" w:after="0" w:line="360" w:lineRule="auto"/>
        <w:rPr>
          <w:rFonts w:cs="Arial"/>
        </w:rPr>
      </w:pPr>
    </w:p>
    <w:p w:rsidR="00DE7CE2" w:rsidRDefault="00DE7CE2" w:rsidP="00935095">
      <w:pPr>
        <w:pStyle w:val="DecisionBody"/>
        <w:numPr>
          <w:ilvl w:val="0"/>
          <w:numId w:val="0"/>
        </w:numPr>
        <w:spacing w:before="0" w:after="0" w:line="360" w:lineRule="auto"/>
        <w:rPr>
          <w:rFonts w:cs="Arial"/>
        </w:rPr>
      </w:pPr>
    </w:p>
    <w:p w:rsidR="00DE7CE2" w:rsidRDefault="00DE7CE2" w:rsidP="00935095">
      <w:pPr>
        <w:pStyle w:val="DecisionBody"/>
        <w:numPr>
          <w:ilvl w:val="0"/>
          <w:numId w:val="0"/>
        </w:numPr>
        <w:spacing w:before="0" w:after="0" w:line="360" w:lineRule="auto"/>
        <w:rPr>
          <w:rFonts w:cs="Arial"/>
        </w:rPr>
      </w:pPr>
    </w:p>
    <w:p w:rsidR="00DE7CE2" w:rsidRPr="009A73F6" w:rsidRDefault="00DE7CE2" w:rsidP="00935095">
      <w:pPr>
        <w:pStyle w:val="DecisionBody"/>
        <w:numPr>
          <w:ilvl w:val="0"/>
          <w:numId w:val="0"/>
        </w:numPr>
        <w:spacing w:before="0" w:after="0" w:line="360" w:lineRule="auto"/>
        <w:rPr>
          <w:rFonts w:cs="Arial"/>
        </w:rPr>
      </w:pPr>
    </w:p>
    <w:p w:rsidR="00935095" w:rsidRPr="009A73F6" w:rsidRDefault="00935095" w:rsidP="00D95EDE">
      <w:pPr>
        <w:pStyle w:val="Heading1"/>
        <w:keepNext w:val="0"/>
        <w:widowControl w:val="0"/>
        <w:spacing w:line="360" w:lineRule="auto"/>
        <w:rPr>
          <w:rFonts w:cs="Arial"/>
          <w:b w:val="0"/>
          <w:sz w:val="24"/>
        </w:rPr>
      </w:pPr>
    </w:p>
    <w:p w:rsidR="00935095" w:rsidRPr="00AC1EA4" w:rsidRDefault="00935095" w:rsidP="00D95EDE">
      <w:pPr>
        <w:jc w:val="right"/>
        <w:rPr>
          <w:rFonts w:ascii="Arial" w:hAnsi="Arial" w:cs="Arial"/>
          <w:i/>
          <w:lang w:val="fr-CA"/>
        </w:rPr>
      </w:pPr>
      <w:r w:rsidRPr="00AC1EA4">
        <w:rPr>
          <w:rFonts w:ascii="Arial" w:hAnsi="Arial" w:cs="Arial"/>
          <w:i/>
          <w:lang w:val="fr-CA"/>
        </w:rPr>
        <w:t>“</w:t>
      </w:r>
      <w:r w:rsidR="006C44F4" w:rsidRPr="00AC1EA4">
        <w:rPr>
          <w:rFonts w:ascii="Arial" w:hAnsi="Arial" w:cs="Arial"/>
          <w:i/>
          <w:lang w:val="fr-CA"/>
        </w:rPr>
        <w:t>J. V. Zuidema</w:t>
      </w:r>
      <w:r w:rsidRPr="00AC1EA4">
        <w:rPr>
          <w:rFonts w:ascii="Arial" w:hAnsi="Arial" w:cs="Arial"/>
          <w:i/>
          <w:lang w:val="fr-CA"/>
        </w:rPr>
        <w:t>”</w:t>
      </w:r>
    </w:p>
    <w:p w:rsidR="00935095" w:rsidRPr="00AC1EA4" w:rsidRDefault="00935095" w:rsidP="00D95EDE">
      <w:pPr>
        <w:jc w:val="right"/>
        <w:rPr>
          <w:rFonts w:ascii="Arial" w:hAnsi="Arial" w:cs="Arial"/>
          <w:lang w:val="fr-CA"/>
        </w:rPr>
      </w:pPr>
    </w:p>
    <w:p w:rsidR="00935095" w:rsidRPr="00AC1EA4" w:rsidRDefault="00935095" w:rsidP="00D95EDE">
      <w:pPr>
        <w:jc w:val="right"/>
        <w:rPr>
          <w:rFonts w:ascii="Arial" w:hAnsi="Arial" w:cs="Arial"/>
          <w:lang w:val="fr-CA"/>
        </w:rPr>
      </w:pPr>
    </w:p>
    <w:p w:rsidR="00935095" w:rsidRPr="00AC1EA4" w:rsidRDefault="006C44F4" w:rsidP="00D95EDE">
      <w:pPr>
        <w:jc w:val="right"/>
        <w:rPr>
          <w:rFonts w:ascii="Arial" w:hAnsi="Arial" w:cs="Arial"/>
          <w:lang w:val="fr-CA"/>
        </w:rPr>
      </w:pPr>
      <w:r w:rsidRPr="00AC1EA4">
        <w:rPr>
          <w:rFonts w:ascii="Arial" w:hAnsi="Arial" w:cs="Arial"/>
          <w:lang w:val="fr-CA"/>
        </w:rPr>
        <w:t>J. V. Zuidema</w:t>
      </w:r>
    </w:p>
    <w:p w:rsidR="00935095" w:rsidRPr="00D95EDE" w:rsidRDefault="003F7831" w:rsidP="00D95EDE">
      <w:pPr>
        <w:jc w:val="right"/>
        <w:rPr>
          <w:rFonts w:ascii="Arial" w:hAnsi="Arial" w:cs="Arial"/>
        </w:rPr>
      </w:pPr>
      <w:r w:rsidRPr="00D95EDE">
        <w:rPr>
          <w:rFonts w:ascii="Arial" w:hAnsi="Arial" w:cs="Arial"/>
        </w:rPr>
        <w:t>VICE-CHAIR</w:t>
      </w:r>
    </w:p>
    <w:p w:rsidR="00627521" w:rsidRDefault="00627521"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E7CE2" w:rsidRDefault="00DE7CE2" w:rsidP="002159B4">
      <w:pPr>
        <w:rPr>
          <w:rFonts w:ascii="Arial" w:hAnsi="Arial" w:cs="Arial"/>
          <w:i/>
        </w:rPr>
      </w:pPr>
    </w:p>
    <w:p w:rsidR="00D265BD" w:rsidRDefault="00D265BD" w:rsidP="002159B4">
      <w:pPr>
        <w:rPr>
          <w:rFonts w:ascii="Arial" w:hAnsi="Arial" w:cs="Arial"/>
        </w:rPr>
      </w:pPr>
    </w:p>
    <w:p w:rsidR="00BA79F7" w:rsidRDefault="00BA79F7" w:rsidP="002159B4">
      <w:pPr>
        <w:rPr>
          <w:rFonts w:ascii="Arial" w:hAnsi="Arial" w:cs="Arial"/>
        </w:rPr>
      </w:pPr>
    </w:p>
    <w:p w:rsidR="0092760B" w:rsidRDefault="0092760B" w:rsidP="0092760B">
      <w:pPr>
        <w:jc w:val="center"/>
        <w:rPr>
          <w:rFonts w:ascii="Arial" w:hAnsi="Arial" w:cs="Arial"/>
          <w:lang w:eastAsia="en-CA"/>
        </w:rPr>
      </w:pPr>
      <w:r>
        <w:rPr>
          <w:rFonts w:ascii="Arial" w:hAnsi="Arial" w:cs="Arial"/>
          <w:lang w:eastAsia="en-CA"/>
        </w:rPr>
        <w:t>If there is an attachment referred to in this document,</w:t>
      </w:r>
    </w:p>
    <w:p w:rsidR="0092760B" w:rsidRDefault="0092760B" w:rsidP="0092760B">
      <w:pPr>
        <w:jc w:val="center"/>
        <w:rPr>
          <w:rFonts w:ascii="Arial" w:hAnsi="Arial" w:cs="Arial"/>
          <w:lang w:eastAsia="en-CA"/>
        </w:rPr>
      </w:pPr>
      <w:r>
        <w:rPr>
          <w:rFonts w:ascii="Arial" w:hAnsi="Arial" w:cs="Arial"/>
          <w:lang w:eastAsia="en-CA"/>
        </w:rPr>
        <w:t>please visit www.elto.gov.on.ca to view the attachment in PDF format.</w:t>
      </w:r>
    </w:p>
    <w:p w:rsidR="003D1234" w:rsidRPr="001E764F" w:rsidRDefault="003D1234" w:rsidP="002159B4">
      <w:pPr>
        <w:rPr>
          <w:rFonts w:ascii="Arial" w:hAnsi="Arial" w:cs="Arial"/>
        </w:rPr>
      </w:pPr>
    </w:p>
    <w:p w:rsidR="009A73F6" w:rsidRPr="001E764F" w:rsidRDefault="009A73F6" w:rsidP="002159B4">
      <w:pPr>
        <w:rPr>
          <w:rFonts w:ascii="Arial" w:hAnsi="Arial" w:cs="Arial"/>
        </w:rPr>
      </w:pPr>
    </w:p>
    <w:p w:rsidR="005A6B29" w:rsidRPr="001E764F" w:rsidRDefault="005A6B29" w:rsidP="001E764F">
      <w:pPr>
        <w:jc w:val="center"/>
        <w:rPr>
          <w:rFonts w:ascii="Arial" w:hAnsi="Arial" w:cs="Arial"/>
          <w:b/>
        </w:rPr>
      </w:pPr>
      <w:r w:rsidRPr="001E764F">
        <w:rPr>
          <w:rFonts w:ascii="Arial" w:hAnsi="Arial" w:cs="Arial"/>
          <w:b/>
        </w:rPr>
        <w:t>Ontario Municipal Board</w:t>
      </w:r>
    </w:p>
    <w:p w:rsidR="005A6B29" w:rsidRPr="001E764F" w:rsidRDefault="005A6B29" w:rsidP="001E764F">
      <w:pPr>
        <w:jc w:val="center"/>
        <w:rPr>
          <w:rFonts w:ascii="Arial" w:hAnsi="Arial" w:cs="Arial"/>
        </w:rPr>
      </w:pPr>
      <w:r w:rsidRPr="001E764F">
        <w:rPr>
          <w:rFonts w:ascii="Arial" w:hAnsi="Arial" w:cs="Arial"/>
        </w:rPr>
        <w:t>A constituent tribunal of Environment and Land Tribunals Ontario</w:t>
      </w:r>
    </w:p>
    <w:p w:rsidR="005A6B29" w:rsidRPr="001E764F" w:rsidRDefault="005A6B29" w:rsidP="001E764F">
      <w:pPr>
        <w:jc w:val="center"/>
        <w:rPr>
          <w:rFonts w:ascii="Arial" w:hAnsi="Arial" w:cs="Arial"/>
        </w:rPr>
      </w:pPr>
      <w:r w:rsidRPr="001E764F">
        <w:rPr>
          <w:rFonts w:ascii="Arial" w:hAnsi="Arial" w:cs="Arial"/>
        </w:rPr>
        <w:t>Website: www.elto.gov.on.ca  Telephone: 416-212-6349  Toll Free: 1-866-448-2248</w:t>
      </w:r>
    </w:p>
    <w:sectPr w:rsidR="005A6B29" w:rsidRPr="001E764F"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F9" w:rsidRDefault="004E61F9">
      <w:r>
        <w:separator/>
      </w:r>
    </w:p>
  </w:endnote>
  <w:endnote w:type="continuationSeparator" w:id="0">
    <w:p w:rsidR="004E61F9" w:rsidRDefault="004E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F9" w:rsidRDefault="004E61F9">
      <w:r>
        <w:separator/>
      </w:r>
    </w:p>
  </w:footnote>
  <w:footnote w:type="continuationSeparator" w:id="0">
    <w:p w:rsidR="004E61F9" w:rsidRDefault="004E6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D7" w:rsidRDefault="005D1ED7" w:rsidP="002D2254">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9B409F">
      <w:rPr>
        <w:rFonts w:ascii="Arial" w:hAnsi="Arial" w:cs="Arial"/>
        <w:noProof/>
      </w:rPr>
      <w:t>5</w:t>
    </w:r>
    <w:r w:rsidRPr="005E51AF">
      <w:rPr>
        <w:rFonts w:ascii="Arial" w:hAnsi="Arial" w:cs="Arial"/>
        <w:noProof/>
      </w:rPr>
      <w:fldChar w:fldCharType="end"/>
    </w:r>
    <w:r w:rsidR="00C02B28">
      <w:rPr>
        <w:rFonts w:ascii="Arial" w:hAnsi="Arial" w:cs="Arial"/>
        <w:noProof/>
      </w:rPr>
      <w:tab/>
    </w:r>
    <w:r w:rsidR="002D2254">
      <w:rPr>
        <w:rFonts w:ascii="Arial" w:hAnsi="Arial" w:cs="Arial"/>
        <w:noProof/>
      </w:rPr>
      <w:tab/>
    </w:r>
    <w:r w:rsidR="00EF6354">
      <w:rPr>
        <w:rFonts w:ascii="Arial" w:hAnsi="Arial" w:cs="Arial"/>
        <w:noProof/>
      </w:rPr>
      <w:t xml:space="preserve"> </w:t>
    </w:r>
    <w:r w:rsidR="009707D1">
      <w:rPr>
        <w:rFonts w:ascii="Arial" w:hAnsi="Arial" w:cs="Arial"/>
        <w:noProof/>
      </w:rPr>
      <w:t>PL170494</w:t>
    </w:r>
  </w:p>
  <w:p w:rsidR="008A1A0C" w:rsidRDefault="008A1A0C" w:rsidP="002D2254">
    <w:pPr>
      <w:pStyle w:val="Header"/>
      <w:tabs>
        <w:tab w:val="clear" w:pos="8640"/>
        <w:tab w:val="center" w:pos="4680"/>
        <w:tab w:val="left" w:pos="6804"/>
        <w:tab w:val="right" w:pos="9360"/>
      </w:tabs>
      <w:rPr>
        <w:rFonts w:ascii="Arial" w:hAnsi="Arial" w:cs="Arial"/>
        <w:noProof/>
      </w:rPr>
    </w:pP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pStyle w:val="DecisionBody"/>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ECD608D"/>
    <w:multiLevelType w:val="hybridMultilevel"/>
    <w:tmpl w:val="A9BC177E"/>
    <w:lvl w:ilvl="0" w:tplc="820C71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30"/>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70F3"/>
    <w:rsid w:val="00017DFC"/>
    <w:rsid w:val="00031C6E"/>
    <w:rsid w:val="0003783B"/>
    <w:rsid w:val="000424A6"/>
    <w:rsid w:val="00054A9F"/>
    <w:rsid w:val="00056F73"/>
    <w:rsid w:val="0006526A"/>
    <w:rsid w:val="00067B80"/>
    <w:rsid w:val="00075342"/>
    <w:rsid w:val="00076196"/>
    <w:rsid w:val="0008105B"/>
    <w:rsid w:val="00081B93"/>
    <w:rsid w:val="000B4BFB"/>
    <w:rsid w:val="000C21BB"/>
    <w:rsid w:val="000C480C"/>
    <w:rsid w:val="000C7608"/>
    <w:rsid w:val="000D09B3"/>
    <w:rsid w:val="000D6F9D"/>
    <w:rsid w:val="000D7BBD"/>
    <w:rsid w:val="000F6357"/>
    <w:rsid w:val="00100AF6"/>
    <w:rsid w:val="0010191A"/>
    <w:rsid w:val="00104001"/>
    <w:rsid w:val="00104A0B"/>
    <w:rsid w:val="00113DAA"/>
    <w:rsid w:val="00120B25"/>
    <w:rsid w:val="0013161B"/>
    <w:rsid w:val="00137797"/>
    <w:rsid w:val="00153BB7"/>
    <w:rsid w:val="001551CC"/>
    <w:rsid w:val="001562BE"/>
    <w:rsid w:val="001634FB"/>
    <w:rsid w:val="001656BC"/>
    <w:rsid w:val="001702F3"/>
    <w:rsid w:val="00172CE7"/>
    <w:rsid w:val="001765FB"/>
    <w:rsid w:val="00182765"/>
    <w:rsid w:val="00182B0E"/>
    <w:rsid w:val="00185E46"/>
    <w:rsid w:val="00190DF3"/>
    <w:rsid w:val="001A3C06"/>
    <w:rsid w:val="001B2A7F"/>
    <w:rsid w:val="001B5CE4"/>
    <w:rsid w:val="001D6F93"/>
    <w:rsid w:val="001E764F"/>
    <w:rsid w:val="001F179F"/>
    <w:rsid w:val="0020298E"/>
    <w:rsid w:val="00205167"/>
    <w:rsid w:val="002159B4"/>
    <w:rsid w:val="0021608D"/>
    <w:rsid w:val="00220639"/>
    <w:rsid w:val="0022133C"/>
    <w:rsid w:val="0022393B"/>
    <w:rsid w:val="00225203"/>
    <w:rsid w:val="00226115"/>
    <w:rsid w:val="002315A3"/>
    <w:rsid w:val="002346B3"/>
    <w:rsid w:val="002419BB"/>
    <w:rsid w:val="002433A2"/>
    <w:rsid w:val="002446DE"/>
    <w:rsid w:val="00246A65"/>
    <w:rsid w:val="00247424"/>
    <w:rsid w:val="0026320F"/>
    <w:rsid w:val="0027622A"/>
    <w:rsid w:val="00277F40"/>
    <w:rsid w:val="00283370"/>
    <w:rsid w:val="00290FEC"/>
    <w:rsid w:val="00293E85"/>
    <w:rsid w:val="002959D2"/>
    <w:rsid w:val="002A393B"/>
    <w:rsid w:val="002B47E9"/>
    <w:rsid w:val="002C00E1"/>
    <w:rsid w:val="002C7CBA"/>
    <w:rsid w:val="002D2254"/>
    <w:rsid w:val="002D38E7"/>
    <w:rsid w:val="002E7C9F"/>
    <w:rsid w:val="002F37EF"/>
    <w:rsid w:val="002F73E5"/>
    <w:rsid w:val="003051EA"/>
    <w:rsid w:val="00307DEE"/>
    <w:rsid w:val="00316394"/>
    <w:rsid w:val="00323369"/>
    <w:rsid w:val="00324440"/>
    <w:rsid w:val="00340879"/>
    <w:rsid w:val="00345480"/>
    <w:rsid w:val="003506EA"/>
    <w:rsid w:val="00350E1B"/>
    <w:rsid w:val="00354C2E"/>
    <w:rsid w:val="003620BF"/>
    <w:rsid w:val="00367CB0"/>
    <w:rsid w:val="00375F31"/>
    <w:rsid w:val="0038484F"/>
    <w:rsid w:val="00391DD7"/>
    <w:rsid w:val="003B236D"/>
    <w:rsid w:val="003B298B"/>
    <w:rsid w:val="003B7CE2"/>
    <w:rsid w:val="003D1234"/>
    <w:rsid w:val="003F0A09"/>
    <w:rsid w:val="003F266C"/>
    <w:rsid w:val="003F7831"/>
    <w:rsid w:val="00401F7B"/>
    <w:rsid w:val="00403715"/>
    <w:rsid w:val="00420FFD"/>
    <w:rsid w:val="004233D2"/>
    <w:rsid w:val="00441A9B"/>
    <w:rsid w:val="004507E6"/>
    <w:rsid w:val="004509E4"/>
    <w:rsid w:val="00452228"/>
    <w:rsid w:val="004568CC"/>
    <w:rsid w:val="004662FE"/>
    <w:rsid w:val="00490781"/>
    <w:rsid w:val="004A4461"/>
    <w:rsid w:val="004A587D"/>
    <w:rsid w:val="004B3247"/>
    <w:rsid w:val="004C06AB"/>
    <w:rsid w:val="004C5ADC"/>
    <w:rsid w:val="004E03A4"/>
    <w:rsid w:val="004E4C91"/>
    <w:rsid w:val="004E4CD6"/>
    <w:rsid w:val="004E61F9"/>
    <w:rsid w:val="004F13B0"/>
    <w:rsid w:val="00501946"/>
    <w:rsid w:val="00505DF1"/>
    <w:rsid w:val="005064E9"/>
    <w:rsid w:val="00506DDA"/>
    <w:rsid w:val="00510812"/>
    <w:rsid w:val="00513CCD"/>
    <w:rsid w:val="005176E6"/>
    <w:rsid w:val="00542A08"/>
    <w:rsid w:val="0055024F"/>
    <w:rsid w:val="005718D4"/>
    <w:rsid w:val="00575802"/>
    <w:rsid w:val="00581834"/>
    <w:rsid w:val="00581FFB"/>
    <w:rsid w:val="005832B8"/>
    <w:rsid w:val="00585632"/>
    <w:rsid w:val="0058684A"/>
    <w:rsid w:val="005A6B29"/>
    <w:rsid w:val="005A767F"/>
    <w:rsid w:val="005B0EFC"/>
    <w:rsid w:val="005B2223"/>
    <w:rsid w:val="005C46AA"/>
    <w:rsid w:val="005C7251"/>
    <w:rsid w:val="005C7AA9"/>
    <w:rsid w:val="005D1ED7"/>
    <w:rsid w:val="005D4DFB"/>
    <w:rsid w:val="005D7665"/>
    <w:rsid w:val="005E51AF"/>
    <w:rsid w:val="005F182A"/>
    <w:rsid w:val="005F7A16"/>
    <w:rsid w:val="006002DC"/>
    <w:rsid w:val="0060505C"/>
    <w:rsid w:val="00614648"/>
    <w:rsid w:val="00616822"/>
    <w:rsid w:val="00625826"/>
    <w:rsid w:val="00627521"/>
    <w:rsid w:val="006306A8"/>
    <w:rsid w:val="0063575A"/>
    <w:rsid w:val="00640174"/>
    <w:rsid w:val="006419E7"/>
    <w:rsid w:val="00641AD3"/>
    <w:rsid w:val="00646BFB"/>
    <w:rsid w:val="00647ECC"/>
    <w:rsid w:val="006510E9"/>
    <w:rsid w:val="00652A1F"/>
    <w:rsid w:val="00653B50"/>
    <w:rsid w:val="00655F95"/>
    <w:rsid w:val="00656CC7"/>
    <w:rsid w:val="00663C56"/>
    <w:rsid w:val="00665DAE"/>
    <w:rsid w:val="006664C3"/>
    <w:rsid w:val="00677294"/>
    <w:rsid w:val="006A119C"/>
    <w:rsid w:val="006A19B7"/>
    <w:rsid w:val="006C44F4"/>
    <w:rsid w:val="006D09B4"/>
    <w:rsid w:val="006D1DFD"/>
    <w:rsid w:val="006D6E2C"/>
    <w:rsid w:val="006E6454"/>
    <w:rsid w:val="006F214C"/>
    <w:rsid w:val="006F2DF2"/>
    <w:rsid w:val="006F3415"/>
    <w:rsid w:val="006F6F82"/>
    <w:rsid w:val="007057F0"/>
    <w:rsid w:val="00706196"/>
    <w:rsid w:val="00707B3B"/>
    <w:rsid w:val="00715DD1"/>
    <w:rsid w:val="00716030"/>
    <w:rsid w:val="007353C0"/>
    <w:rsid w:val="0076119A"/>
    <w:rsid w:val="00765C2D"/>
    <w:rsid w:val="007A1709"/>
    <w:rsid w:val="007A2C3D"/>
    <w:rsid w:val="007C08BD"/>
    <w:rsid w:val="007E0C30"/>
    <w:rsid w:val="007F7583"/>
    <w:rsid w:val="00802055"/>
    <w:rsid w:val="008046EB"/>
    <w:rsid w:val="0080724D"/>
    <w:rsid w:val="008173CF"/>
    <w:rsid w:val="00823753"/>
    <w:rsid w:val="008316DB"/>
    <w:rsid w:val="0083211C"/>
    <w:rsid w:val="00835A80"/>
    <w:rsid w:val="008369F0"/>
    <w:rsid w:val="00837AE6"/>
    <w:rsid w:val="00851AE5"/>
    <w:rsid w:val="00865727"/>
    <w:rsid w:val="00866681"/>
    <w:rsid w:val="00890E5D"/>
    <w:rsid w:val="0089782A"/>
    <w:rsid w:val="008A1A0C"/>
    <w:rsid w:val="008A3586"/>
    <w:rsid w:val="008A560C"/>
    <w:rsid w:val="008B3EB4"/>
    <w:rsid w:val="008B667D"/>
    <w:rsid w:val="008C09C4"/>
    <w:rsid w:val="008C7470"/>
    <w:rsid w:val="008D3B01"/>
    <w:rsid w:val="008E147D"/>
    <w:rsid w:val="008E5B11"/>
    <w:rsid w:val="008E7003"/>
    <w:rsid w:val="00900C5B"/>
    <w:rsid w:val="00911B8E"/>
    <w:rsid w:val="0092760B"/>
    <w:rsid w:val="00930FD3"/>
    <w:rsid w:val="009333AA"/>
    <w:rsid w:val="00935095"/>
    <w:rsid w:val="00935ABA"/>
    <w:rsid w:val="009360FC"/>
    <w:rsid w:val="00941E55"/>
    <w:rsid w:val="00951EE2"/>
    <w:rsid w:val="0095571C"/>
    <w:rsid w:val="0096422B"/>
    <w:rsid w:val="009650D8"/>
    <w:rsid w:val="009707D1"/>
    <w:rsid w:val="009748FB"/>
    <w:rsid w:val="00976AA8"/>
    <w:rsid w:val="009773EC"/>
    <w:rsid w:val="00981E7A"/>
    <w:rsid w:val="00985581"/>
    <w:rsid w:val="00987BE8"/>
    <w:rsid w:val="00990F55"/>
    <w:rsid w:val="00997D13"/>
    <w:rsid w:val="009A0956"/>
    <w:rsid w:val="009A31C9"/>
    <w:rsid w:val="009A34A1"/>
    <w:rsid w:val="009A6D63"/>
    <w:rsid w:val="009A73F6"/>
    <w:rsid w:val="009B3F71"/>
    <w:rsid w:val="009B409F"/>
    <w:rsid w:val="009B4E77"/>
    <w:rsid w:val="009C20B2"/>
    <w:rsid w:val="009C4D62"/>
    <w:rsid w:val="009D0B82"/>
    <w:rsid w:val="009D5078"/>
    <w:rsid w:val="009D5A08"/>
    <w:rsid w:val="009E0DF7"/>
    <w:rsid w:val="009E1C08"/>
    <w:rsid w:val="009E202F"/>
    <w:rsid w:val="009E6983"/>
    <w:rsid w:val="009F040C"/>
    <w:rsid w:val="009F3047"/>
    <w:rsid w:val="00A07D8A"/>
    <w:rsid w:val="00A20E8C"/>
    <w:rsid w:val="00A240AE"/>
    <w:rsid w:val="00A41803"/>
    <w:rsid w:val="00A45D63"/>
    <w:rsid w:val="00A47406"/>
    <w:rsid w:val="00A550FC"/>
    <w:rsid w:val="00A677B3"/>
    <w:rsid w:val="00A70E2F"/>
    <w:rsid w:val="00A81716"/>
    <w:rsid w:val="00A84EF0"/>
    <w:rsid w:val="00A86E97"/>
    <w:rsid w:val="00A90CD1"/>
    <w:rsid w:val="00A955CF"/>
    <w:rsid w:val="00AA1090"/>
    <w:rsid w:val="00AA432A"/>
    <w:rsid w:val="00AA6E2C"/>
    <w:rsid w:val="00AB07FC"/>
    <w:rsid w:val="00AB519E"/>
    <w:rsid w:val="00AB7E2E"/>
    <w:rsid w:val="00AC1EA4"/>
    <w:rsid w:val="00AC630B"/>
    <w:rsid w:val="00AD29BF"/>
    <w:rsid w:val="00AE075F"/>
    <w:rsid w:val="00AE1098"/>
    <w:rsid w:val="00B00171"/>
    <w:rsid w:val="00B157E1"/>
    <w:rsid w:val="00B16A05"/>
    <w:rsid w:val="00B17BED"/>
    <w:rsid w:val="00B225A1"/>
    <w:rsid w:val="00B24C1B"/>
    <w:rsid w:val="00B25ACB"/>
    <w:rsid w:val="00B25ECF"/>
    <w:rsid w:val="00B268A7"/>
    <w:rsid w:val="00B35686"/>
    <w:rsid w:val="00B51EBA"/>
    <w:rsid w:val="00B5261C"/>
    <w:rsid w:val="00B5585B"/>
    <w:rsid w:val="00B62606"/>
    <w:rsid w:val="00B6431E"/>
    <w:rsid w:val="00B67AB9"/>
    <w:rsid w:val="00B70285"/>
    <w:rsid w:val="00B702CE"/>
    <w:rsid w:val="00B721A7"/>
    <w:rsid w:val="00B73739"/>
    <w:rsid w:val="00B77B07"/>
    <w:rsid w:val="00B818DE"/>
    <w:rsid w:val="00B92BA3"/>
    <w:rsid w:val="00BA28A5"/>
    <w:rsid w:val="00BA2B4C"/>
    <w:rsid w:val="00BA5F87"/>
    <w:rsid w:val="00BA6609"/>
    <w:rsid w:val="00BA79F7"/>
    <w:rsid w:val="00BB1683"/>
    <w:rsid w:val="00BB6613"/>
    <w:rsid w:val="00BC66D9"/>
    <w:rsid w:val="00BD2407"/>
    <w:rsid w:val="00BD75BA"/>
    <w:rsid w:val="00BE0045"/>
    <w:rsid w:val="00BE0FA0"/>
    <w:rsid w:val="00BE4156"/>
    <w:rsid w:val="00BF23CB"/>
    <w:rsid w:val="00BF497A"/>
    <w:rsid w:val="00BF5248"/>
    <w:rsid w:val="00BF7426"/>
    <w:rsid w:val="00C02B28"/>
    <w:rsid w:val="00C203CD"/>
    <w:rsid w:val="00C300F2"/>
    <w:rsid w:val="00C4139D"/>
    <w:rsid w:val="00C73B30"/>
    <w:rsid w:val="00C801A0"/>
    <w:rsid w:val="00C838B9"/>
    <w:rsid w:val="00C92977"/>
    <w:rsid w:val="00CA45E4"/>
    <w:rsid w:val="00CB1DAF"/>
    <w:rsid w:val="00CC269B"/>
    <w:rsid w:val="00CC29F3"/>
    <w:rsid w:val="00CC5C59"/>
    <w:rsid w:val="00CC67E0"/>
    <w:rsid w:val="00CD235D"/>
    <w:rsid w:val="00CD5591"/>
    <w:rsid w:val="00CE10CC"/>
    <w:rsid w:val="00CF2AB8"/>
    <w:rsid w:val="00CF3F96"/>
    <w:rsid w:val="00CF4C37"/>
    <w:rsid w:val="00CF55CF"/>
    <w:rsid w:val="00D008AB"/>
    <w:rsid w:val="00D01696"/>
    <w:rsid w:val="00D265BD"/>
    <w:rsid w:val="00D30F49"/>
    <w:rsid w:val="00D32294"/>
    <w:rsid w:val="00D35322"/>
    <w:rsid w:val="00D36525"/>
    <w:rsid w:val="00D42D9F"/>
    <w:rsid w:val="00D44AB7"/>
    <w:rsid w:val="00D50C1C"/>
    <w:rsid w:val="00D53BDA"/>
    <w:rsid w:val="00D66856"/>
    <w:rsid w:val="00D76186"/>
    <w:rsid w:val="00D76968"/>
    <w:rsid w:val="00D83C03"/>
    <w:rsid w:val="00D84899"/>
    <w:rsid w:val="00D8571F"/>
    <w:rsid w:val="00D91064"/>
    <w:rsid w:val="00D95EDE"/>
    <w:rsid w:val="00DB023D"/>
    <w:rsid w:val="00DB16DE"/>
    <w:rsid w:val="00DB49FE"/>
    <w:rsid w:val="00DD35F5"/>
    <w:rsid w:val="00DD6665"/>
    <w:rsid w:val="00DE62BC"/>
    <w:rsid w:val="00DE68F8"/>
    <w:rsid w:val="00DE7CE2"/>
    <w:rsid w:val="00DF75FB"/>
    <w:rsid w:val="00E11105"/>
    <w:rsid w:val="00E11D71"/>
    <w:rsid w:val="00E12DE7"/>
    <w:rsid w:val="00E15446"/>
    <w:rsid w:val="00E40778"/>
    <w:rsid w:val="00E4342D"/>
    <w:rsid w:val="00E45C87"/>
    <w:rsid w:val="00E5336E"/>
    <w:rsid w:val="00E65759"/>
    <w:rsid w:val="00E73226"/>
    <w:rsid w:val="00E75DD6"/>
    <w:rsid w:val="00E87A9B"/>
    <w:rsid w:val="00E906F7"/>
    <w:rsid w:val="00E97F04"/>
    <w:rsid w:val="00EA07C0"/>
    <w:rsid w:val="00EA73B7"/>
    <w:rsid w:val="00EB3E73"/>
    <w:rsid w:val="00EC181A"/>
    <w:rsid w:val="00ED4343"/>
    <w:rsid w:val="00EE4BA3"/>
    <w:rsid w:val="00EE62E6"/>
    <w:rsid w:val="00EF4FA7"/>
    <w:rsid w:val="00EF6354"/>
    <w:rsid w:val="00F13970"/>
    <w:rsid w:val="00F2019D"/>
    <w:rsid w:val="00F20B8D"/>
    <w:rsid w:val="00F376E5"/>
    <w:rsid w:val="00F404B1"/>
    <w:rsid w:val="00F408C2"/>
    <w:rsid w:val="00F548C9"/>
    <w:rsid w:val="00F62C56"/>
    <w:rsid w:val="00F76E36"/>
    <w:rsid w:val="00F82F6D"/>
    <w:rsid w:val="00F90029"/>
    <w:rsid w:val="00F9597B"/>
    <w:rsid w:val="00FA016B"/>
    <w:rsid w:val="00FA6295"/>
    <w:rsid w:val="00FD10D9"/>
    <w:rsid w:val="00FD236F"/>
    <w:rsid w:val="00FD4182"/>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DE68F8"/>
    <w:pPr>
      <w:spacing w:line="360" w:lineRule="auto"/>
      <w:ind w:right="573"/>
    </w:pPr>
    <w:rPr>
      <w:rFonts w:cs="Arial"/>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D95EDE"/>
    <w:pPr>
      <w:widowControl w:val="0"/>
      <w:ind w:left="5040"/>
      <w:jc w:val="right"/>
    </w:pPr>
  </w:style>
  <w:style w:type="paragraph" w:customStyle="1" w:styleId="DecisionBody">
    <w:name w:val="DecisionBody"/>
    <w:basedOn w:val="PartiesCounselAgent"/>
    <w:autoRedefine/>
    <w:rsid w:val="00AA1090"/>
    <w:pPr>
      <w:widowControl w:val="0"/>
      <w:numPr>
        <w:numId w:val="11"/>
      </w:numPr>
      <w:spacing w:before="240" w:after="240" w:line="360" w:lineRule="atLeast"/>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DE68F8"/>
    <w:pPr>
      <w:spacing w:line="360" w:lineRule="auto"/>
      <w:ind w:right="573"/>
    </w:pPr>
    <w:rPr>
      <w:rFonts w:cs="Arial"/>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D95EDE"/>
    <w:pPr>
      <w:widowControl w:val="0"/>
      <w:ind w:left="5040"/>
      <w:jc w:val="right"/>
    </w:pPr>
  </w:style>
  <w:style w:type="paragraph" w:customStyle="1" w:styleId="DecisionBody">
    <w:name w:val="DecisionBody"/>
    <w:basedOn w:val="PartiesCounselAgent"/>
    <w:autoRedefine/>
    <w:rsid w:val="00AA1090"/>
    <w:pPr>
      <w:widowControl w:val="0"/>
      <w:numPr>
        <w:numId w:val="11"/>
      </w:numPr>
      <w:spacing w:before="240" w:after="240" w:line="360" w:lineRule="atLeast"/>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04921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4405-AF9B-492D-A6D1-6DB9381B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Perri, Leonida (MAG)</cp:lastModifiedBy>
  <cp:revision>2</cp:revision>
  <cp:lastPrinted>2014-04-10T18:33:00Z</cp:lastPrinted>
  <dcterms:created xsi:type="dcterms:W3CDTF">2018-02-20T16:55:00Z</dcterms:created>
  <dcterms:modified xsi:type="dcterms:W3CDTF">2018-02-20T16:55:00Z</dcterms:modified>
</cp:coreProperties>
</file>