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6D09B4" w:rsidRPr="001E764F" w:rsidTr="00EC0B6D">
        <w:trPr>
          <w:trHeight w:val="281"/>
        </w:trPr>
        <w:tc>
          <w:tcPr>
            <w:tcW w:w="5778" w:type="dxa"/>
          </w:tcPr>
          <w:p w:rsidR="006D09B4" w:rsidRPr="001E764F" w:rsidRDefault="006D09B4" w:rsidP="006D09B4">
            <w:pPr>
              <w:rPr>
                <w:rFonts w:ascii="Arial" w:hAnsi="Arial" w:cs="Arial"/>
                <w:b/>
                <w:sz w:val="16"/>
                <w:szCs w:val="16"/>
              </w:rPr>
            </w:pPr>
          </w:p>
        </w:tc>
        <w:tc>
          <w:tcPr>
            <w:tcW w:w="3828" w:type="dxa"/>
            <w:vMerge w:val="restart"/>
          </w:tcPr>
          <w:p w:rsidR="006D09B4" w:rsidRPr="001E764F" w:rsidRDefault="00B12A97" w:rsidP="006D09B4">
            <w:pPr>
              <w:rPr>
                <w:rFonts w:ascii="Arial" w:hAnsi="Arial" w:cs="Arial"/>
                <w:b/>
                <w:noProof/>
                <w:sz w:val="32"/>
                <w:szCs w:val="32"/>
                <w:lang w:val="en-CA" w:eastAsia="en-CA"/>
              </w:rPr>
            </w:pPr>
            <w:r>
              <w:rPr>
                <w:rFonts w:ascii="Arial" w:hAnsi="Arial" w:cs="Arial"/>
                <w:noProof/>
                <w:lang w:val="en-CA" w:eastAsia="en-CA"/>
              </w:rPr>
              <w:drawing>
                <wp:anchor distT="0" distB="0" distL="114300" distR="114300" simplePos="0" relativeHeight="251657728" behindDoc="0" locked="0" layoutInCell="1" allowOverlap="1" wp14:anchorId="4E2FE5CD" wp14:editId="1E8FD30D">
                  <wp:simplePos x="0" y="0"/>
                  <wp:positionH relativeFrom="column">
                    <wp:align>center</wp:align>
                  </wp:positionH>
                  <wp:positionV relativeFrom="paragraph">
                    <wp:posOffset>80010</wp:posOffset>
                  </wp:positionV>
                  <wp:extent cx="1188720" cy="1188720"/>
                  <wp:effectExtent l="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9B4" w:rsidRPr="001E764F" w:rsidTr="00EC0B6D">
        <w:tc>
          <w:tcPr>
            <w:tcW w:w="5778" w:type="dxa"/>
          </w:tcPr>
          <w:p w:rsidR="006D09B4" w:rsidRPr="001E764F" w:rsidRDefault="00BB66A5" w:rsidP="006D09B4">
            <w:pPr>
              <w:rPr>
                <w:rFonts w:ascii="Arial" w:hAnsi="Arial" w:cs="Arial"/>
                <w:b/>
                <w:sz w:val="32"/>
                <w:szCs w:val="32"/>
              </w:rPr>
            </w:pPr>
            <w:r w:rsidRPr="00A7018C">
              <w:rPr>
                <w:rFonts w:ascii="Arial" w:hAnsi="Arial" w:cs="Arial"/>
                <w:b/>
                <w:sz w:val="32"/>
                <w:szCs w:val="32"/>
              </w:rPr>
              <w:t>Local Planning Appeal Tribunal</w:t>
            </w:r>
          </w:p>
        </w:tc>
        <w:tc>
          <w:tcPr>
            <w:tcW w:w="3828" w:type="dxa"/>
            <w:vMerge/>
          </w:tcPr>
          <w:p w:rsidR="006D09B4" w:rsidRPr="001E764F" w:rsidRDefault="006D09B4" w:rsidP="006D09B4">
            <w:pPr>
              <w:rPr>
                <w:rFonts w:ascii="Arial" w:hAnsi="Arial" w:cs="Arial"/>
                <w:b/>
                <w:sz w:val="32"/>
                <w:szCs w:val="32"/>
              </w:rPr>
            </w:pPr>
          </w:p>
        </w:tc>
      </w:tr>
      <w:tr w:rsidR="006D09B4" w:rsidRPr="001E764F" w:rsidTr="00EC0B6D">
        <w:tc>
          <w:tcPr>
            <w:tcW w:w="5778" w:type="dxa"/>
          </w:tcPr>
          <w:p w:rsidR="00FE1AB5" w:rsidRPr="001E764F" w:rsidRDefault="00FE1AB5" w:rsidP="00FE1AB5">
            <w:pPr>
              <w:rPr>
                <w:rFonts w:ascii="Arial" w:hAnsi="Arial" w:cs="Arial"/>
                <w:sz w:val="32"/>
                <w:szCs w:val="32"/>
                <w:lang w:val="fr-CA"/>
              </w:rPr>
            </w:pPr>
            <w:r>
              <w:rPr>
                <w:rFonts w:ascii="Arial" w:hAnsi="Arial" w:cs="Arial"/>
                <w:sz w:val="32"/>
                <w:szCs w:val="32"/>
                <w:lang w:val="fr-CA"/>
              </w:rPr>
              <w:t>Tribunal d’appel de l’aménagement local</w:t>
            </w:r>
          </w:p>
          <w:p w:rsidR="006D09B4" w:rsidRPr="001E764F" w:rsidRDefault="006D09B4" w:rsidP="006D09B4">
            <w:pPr>
              <w:rPr>
                <w:rFonts w:ascii="Arial" w:hAnsi="Arial" w:cs="Arial"/>
                <w:sz w:val="32"/>
                <w:szCs w:val="32"/>
                <w:lang w:val="fr-CA"/>
              </w:rPr>
            </w:pPr>
          </w:p>
          <w:p w:rsidR="006D09B4" w:rsidRPr="001E764F" w:rsidRDefault="006D09B4" w:rsidP="006D09B4">
            <w:pPr>
              <w:rPr>
                <w:rFonts w:ascii="Arial" w:hAnsi="Arial" w:cs="Arial"/>
                <w:sz w:val="32"/>
                <w:szCs w:val="32"/>
                <w:lang w:val="fr-CA"/>
              </w:rPr>
            </w:pPr>
          </w:p>
        </w:tc>
        <w:tc>
          <w:tcPr>
            <w:tcW w:w="3828" w:type="dxa"/>
            <w:vMerge/>
          </w:tcPr>
          <w:p w:rsidR="006D09B4" w:rsidRPr="001E764F" w:rsidRDefault="006D09B4" w:rsidP="006D09B4">
            <w:pPr>
              <w:rPr>
                <w:rFonts w:ascii="Arial" w:hAnsi="Arial" w:cs="Arial"/>
                <w:sz w:val="32"/>
                <w:szCs w:val="32"/>
                <w:lang w:val="fr-CA"/>
              </w:rPr>
            </w:pPr>
          </w:p>
        </w:tc>
      </w:tr>
    </w:tbl>
    <w:p w:rsidR="00AB07FC" w:rsidRPr="0006526A" w:rsidRDefault="00AB07FC" w:rsidP="002159B4">
      <w:pPr>
        <w:rPr>
          <w:rFonts w:ascii="Arial" w:hAnsi="Arial" w:cs="Arial"/>
          <w:lang w:val="fr-CA"/>
        </w:rPr>
      </w:pPr>
      <w:bookmarkStart w:id="0" w:name="Appearances"/>
    </w:p>
    <w:tbl>
      <w:tblPr>
        <w:tblpPr w:leftFromText="181" w:rightFromText="181" w:vertAnchor="text" w:horzAnchor="margin" w:tblpY="189"/>
        <w:tblW w:w="9606" w:type="dxa"/>
        <w:tblLook w:val="04A0" w:firstRow="1" w:lastRow="0" w:firstColumn="1" w:lastColumn="0" w:noHBand="0" w:noVBand="1"/>
      </w:tblPr>
      <w:tblGrid>
        <w:gridCol w:w="1818"/>
        <w:gridCol w:w="3960"/>
        <w:gridCol w:w="1890"/>
        <w:gridCol w:w="1938"/>
      </w:tblGrid>
      <w:tr w:rsidR="00EA73B7" w:rsidRPr="001E764F" w:rsidTr="00EC0B6D">
        <w:tc>
          <w:tcPr>
            <w:tcW w:w="1818" w:type="dxa"/>
            <w:shd w:val="clear" w:color="auto" w:fill="auto"/>
            <w:vAlign w:val="center"/>
          </w:tcPr>
          <w:p w:rsidR="00EA73B7" w:rsidRPr="001D67CE" w:rsidRDefault="00EA73B7" w:rsidP="002159B4">
            <w:pPr>
              <w:rPr>
                <w:rFonts w:ascii="Arial" w:hAnsi="Arial" w:cs="Arial"/>
              </w:rPr>
            </w:pPr>
            <w:r w:rsidRPr="001E764F">
              <w:rPr>
                <w:rFonts w:ascii="Arial" w:hAnsi="Arial" w:cs="Arial"/>
                <w:b/>
              </w:rPr>
              <w:t>ISSUE DATE:</w:t>
            </w:r>
          </w:p>
        </w:tc>
        <w:tc>
          <w:tcPr>
            <w:tcW w:w="3960" w:type="dxa"/>
            <w:shd w:val="clear" w:color="auto" w:fill="auto"/>
            <w:vAlign w:val="center"/>
          </w:tcPr>
          <w:p w:rsidR="00EA73B7" w:rsidRPr="001D67CE" w:rsidRDefault="00B17B15" w:rsidP="002159B4">
            <w:pPr>
              <w:rPr>
                <w:rFonts w:ascii="Arial" w:hAnsi="Arial" w:cs="Arial"/>
              </w:rPr>
            </w:pPr>
            <w:r>
              <w:rPr>
                <w:rFonts w:ascii="Arial" w:hAnsi="Arial" w:cs="Arial"/>
              </w:rPr>
              <w:t>April 16, 2018</w:t>
            </w:r>
          </w:p>
        </w:tc>
        <w:tc>
          <w:tcPr>
            <w:tcW w:w="1890" w:type="dxa"/>
            <w:shd w:val="clear" w:color="auto" w:fill="auto"/>
            <w:vAlign w:val="center"/>
          </w:tcPr>
          <w:p w:rsidR="00EA73B7" w:rsidRPr="001D67CE" w:rsidRDefault="00EA73B7" w:rsidP="002159B4">
            <w:pPr>
              <w:rPr>
                <w:rFonts w:ascii="Arial" w:hAnsi="Arial" w:cs="Arial"/>
              </w:rPr>
            </w:pPr>
            <w:r w:rsidRPr="001E764F">
              <w:rPr>
                <w:rFonts w:ascii="Arial" w:hAnsi="Arial" w:cs="Arial"/>
                <w:b/>
              </w:rPr>
              <w:fldChar w:fldCharType="begin"/>
            </w:r>
            <w:r w:rsidRPr="001E764F">
              <w:rPr>
                <w:rFonts w:ascii="Arial" w:hAnsi="Arial" w:cs="Arial"/>
                <w:b/>
              </w:rPr>
              <w:instrText xml:space="preserve"> SEQ CHAPTER \h \r 1</w:instrText>
            </w:r>
            <w:r w:rsidRPr="001E764F">
              <w:rPr>
                <w:rFonts w:ascii="Arial" w:hAnsi="Arial" w:cs="Arial"/>
                <w:b/>
              </w:rPr>
              <w:fldChar w:fldCharType="end"/>
            </w:r>
            <w:r w:rsidRPr="001E764F">
              <w:rPr>
                <w:rFonts w:ascii="Arial" w:hAnsi="Arial" w:cs="Arial"/>
                <w:b/>
              </w:rPr>
              <w:t>CASE NO(S)</w:t>
            </w:r>
            <w:proofErr w:type="gramStart"/>
            <w:r w:rsidRPr="001E764F">
              <w:rPr>
                <w:rFonts w:ascii="Arial" w:hAnsi="Arial" w:cs="Arial"/>
                <w:b/>
              </w:rPr>
              <w:t>.:</w:t>
            </w:r>
            <w:proofErr w:type="gramEnd"/>
          </w:p>
        </w:tc>
        <w:tc>
          <w:tcPr>
            <w:tcW w:w="1938" w:type="dxa"/>
            <w:shd w:val="clear" w:color="auto" w:fill="auto"/>
            <w:vAlign w:val="center"/>
          </w:tcPr>
          <w:p w:rsidR="00EA73B7" w:rsidRPr="001E764F" w:rsidRDefault="00C92310" w:rsidP="00280925">
            <w:pPr>
              <w:jc w:val="right"/>
              <w:rPr>
                <w:rFonts w:ascii="Arial" w:hAnsi="Arial" w:cs="Arial"/>
              </w:rPr>
            </w:pPr>
            <w:r>
              <w:rPr>
                <w:rFonts w:ascii="Arial" w:hAnsi="Arial" w:cs="Arial"/>
              </w:rPr>
              <w:t>PL171016</w:t>
            </w:r>
          </w:p>
        </w:tc>
      </w:tr>
    </w:tbl>
    <w:p w:rsidR="00FD395A" w:rsidRPr="00FD395A" w:rsidRDefault="00FD395A" w:rsidP="00F46275">
      <w:pPr>
        <w:rPr>
          <w:rFonts w:ascii="Arial" w:hAnsi="Arial" w:cs="Arial"/>
        </w:rPr>
      </w:pPr>
    </w:p>
    <w:tbl>
      <w:tblPr>
        <w:tblW w:w="9606" w:type="dxa"/>
        <w:tblLook w:val="0000" w:firstRow="0" w:lastRow="0" w:firstColumn="0" w:lastColumn="0" w:noHBand="0" w:noVBand="0"/>
      </w:tblPr>
      <w:tblGrid>
        <w:gridCol w:w="9606"/>
      </w:tblGrid>
      <w:tr w:rsidR="001D67CE" w:rsidRPr="001E764F" w:rsidTr="00EC0B6D">
        <w:tc>
          <w:tcPr>
            <w:tcW w:w="9606" w:type="dxa"/>
          </w:tcPr>
          <w:p w:rsidR="00F71AB8" w:rsidRPr="00250221" w:rsidRDefault="00F71AB8" w:rsidP="00F71AB8">
            <w:pPr>
              <w:rPr>
                <w:rFonts w:ascii="Arial" w:hAnsi="Arial" w:cs="Arial"/>
              </w:rPr>
            </w:pPr>
            <w:r w:rsidRPr="00250221">
              <w:rPr>
                <w:rFonts w:ascii="Arial" w:hAnsi="Arial" w:cs="Arial"/>
              </w:rPr>
              <w:t>The Ontario Municipal Board (the “OMB”) is continued under the name Local Planning Appeal Tribunal (the “Tribunal”), and any reference to the Ontario Municipal Board or Board in any publication of the Tribunal is deemed to be a reference to the Tribunal.</w:t>
            </w:r>
          </w:p>
        </w:tc>
      </w:tr>
    </w:tbl>
    <w:p w:rsidR="001D67CE" w:rsidRDefault="001D67CE" w:rsidP="001D67CE">
      <w:pPr>
        <w:rPr>
          <w:rFonts w:ascii="Arial" w:hAnsi="Arial" w:cs="Arial"/>
          <w:highlight w:val="yellow"/>
        </w:rPr>
      </w:pPr>
    </w:p>
    <w:p w:rsidR="001D67CE" w:rsidRDefault="001D67CE" w:rsidP="001D67CE">
      <w:pPr>
        <w:rPr>
          <w:rFonts w:ascii="Arial" w:hAnsi="Arial" w:cs="Arial"/>
          <w:highlight w:val="yellow"/>
        </w:rPr>
      </w:pPr>
    </w:p>
    <w:tbl>
      <w:tblPr>
        <w:tblW w:w="9648" w:type="dxa"/>
        <w:tblLook w:val="04A0" w:firstRow="1" w:lastRow="0" w:firstColumn="1" w:lastColumn="0" w:noHBand="0" w:noVBand="1"/>
      </w:tblPr>
      <w:tblGrid>
        <w:gridCol w:w="4338"/>
        <w:gridCol w:w="5310"/>
      </w:tblGrid>
      <w:tr w:rsidR="00884B82" w:rsidTr="00CC3AC9">
        <w:trPr>
          <w:cantSplit/>
          <w:trHeight w:val="732"/>
        </w:trPr>
        <w:tc>
          <w:tcPr>
            <w:tcW w:w="9648" w:type="dxa"/>
            <w:gridSpan w:val="2"/>
            <w:hideMark/>
          </w:tcPr>
          <w:p w:rsidR="00884B82" w:rsidRPr="00884B82" w:rsidRDefault="00884B82">
            <w:pPr>
              <w:rPr>
                <w:rFonts w:ascii="Arial" w:hAnsi="Arial" w:cs="Arial"/>
              </w:rPr>
            </w:pPr>
            <w:r w:rsidRPr="00884B82">
              <w:rPr>
                <w:rFonts w:ascii="Arial" w:hAnsi="Arial" w:cs="Arial"/>
                <w:b/>
              </w:rPr>
              <w:t xml:space="preserve">PROCEEDING COMMENCED UNDER </w:t>
            </w:r>
            <w:r w:rsidRPr="00884B82">
              <w:rPr>
                <w:rFonts w:ascii="Arial" w:hAnsi="Arial" w:cs="Arial"/>
              </w:rPr>
              <w:t xml:space="preserve">subsection 34(11) of the </w:t>
            </w:r>
            <w:r w:rsidRPr="00884B82">
              <w:rPr>
                <w:rFonts w:ascii="Arial" w:hAnsi="Arial" w:cs="Arial"/>
                <w:i/>
              </w:rPr>
              <w:t>Planning Act</w:t>
            </w:r>
            <w:r w:rsidRPr="00884B82">
              <w:rPr>
                <w:rFonts w:ascii="Arial" w:hAnsi="Arial" w:cs="Arial"/>
              </w:rPr>
              <w:t>, R.S.O. 1990, c. P.13, as amended</w:t>
            </w:r>
          </w:p>
        </w:tc>
      </w:tr>
      <w:tr w:rsidR="00884B82" w:rsidTr="00CC3AC9">
        <w:tc>
          <w:tcPr>
            <w:tcW w:w="4338" w:type="dxa"/>
            <w:hideMark/>
          </w:tcPr>
          <w:p w:rsidR="00884B82" w:rsidRPr="00884B82" w:rsidRDefault="00884B82">
            <w:pPr>
              <w:rPr>
                <w:rFonts w:ascii="Arial" w:hAnsi="Arial" w:cs="Arial"/>
              </w:rPr>
            </w:pPr>
            <w:r w:rsidRPr="00884B82">
              <w:rPr>
                <w:rFonts w:ascii="Arial" w:hAnsi="Arial" w:cs="Arial"/>
              </w:rPr>
              <w:t>Applicant and Appellant:</w:t>
            </w:r>
          </w:p>
        </w:tc>
        <w:tc>
          <w:tcPr>
            <w:tcW w:w="5310" w:type="dxa"/>
            <w:hideMark/>
          </w:tcPr>
          <w:p w:rsidR="00884B82" w:rsidRPr="00884B82" w:rsidRDefault="00884B82">
            <w:pPr>
              <w:rPr>
                <w:rFonts w:ascii="Arial" w:hAnsi="Arial" w:cs="Arial"/>
              </w:rPr>
            </w:pPr>
            <w:r w:rsidRPr="00884B82">
              <w:rPr>
                <w:rFonts w:ascii="Arial" w:hAnsi="Arial" w:cs="Arial"/>
              </w:rPr>
              <w:t>Valery Homes Paris Limited</w:t>
            </w:r>
          </w:p>
        </w:tc>
      </w:tr>
      <w:tr w:rsidR="00884B82" w:rsidTr="00CC3AC9">
        <w:tc>
          <w:tcPr>
            <w:tcW w:w="4338" w:type="dxa"/>
            <w:hideMark/>
          </w:tcPr>
          <w:p w:rsidR="00884B82" w:rsidRPr="00884B82" w:rsidRDefault="00884B82">
            <w:pPr>
              <w:rPr>
                <w:rFonts w:ascii="Arial" w:hAnsi="Arial" w:cs="Arial"/>
              </w:rPr>
            </w:pPr>
            <w:r w:rsidRPr="00884B82">
              <w:rPr>
                <w:rFonts w:ascii="Arial" w:hAnsi="Arial" w:cs="Arial"/>
              </w:rPr>
              <w:t>Subject:</w:t>
            </w:r>
          </w:p>
        </w:tc>
        <w:tc>
          <w:tcPr>
            <w:tcW w:w="5310" w:type="dxa"/>
            <w:hideMark/>
          </w:tcPr>
          <w:p w:rsidR="00884B82" w:rsidRPr="00884B82" w:rsidRDefault="00884B82">
            <w:pPr>
              <w:rPr>
                <w:rFonts w:ascii="Arial" w:hAnsi="Arial" w:cs="Arial"/>
              </w:rPr>
            </w:pPr>
            <w:r w:rsidRPr="00884B82">
              <w:rPr>
                <w:rFonts w:ascii="Arial" w:hAnsi="Arial" w:cs="Arial"/>
              </w:rPr>
              <w:t xml:space="preserve">Application to amend Zoning By-law No. 110-01 </w:t>
            </w:r>
          </w:p>
          <w:p w:rsidR="00884B82" w:rsidRPr="00884B82" w:rsidRDefault="00884B82">
            <w:pPr>
              <w:rPr>
                <w:rFonts w:ascii="Arial" w:hAnsi="Arial" w:cs="Arial"/>
              </w:rPr>
            </w:pPr>
            <w:r w:rsidRPr="00884B82">
              <w:rPr>
                <w:rFonts w:ascii="Arial" w:hAnsi="Arial" w:cs="Arial"/>
              </w:rPr>
              <w:t>- Refusal or neglect of the County of Brant to make a decision</w:t>
            </w:r>
          </w:p>
        </w:tc>
      </w:tr>
      <w:tr w:rsidR="00884B82" w:rsidTr="00CC3AC9">
        <w:tc>
          <w:tcPr>
            <w:tcW w:w="4338" w:type="dxa"/>
            <w:hideMark/>
          </w:tcPr>
          <w:p w:rsidR="00884B82" w:rsidRPr="00884B82" w:rsidRDefault="00884B82">
            <w:pPr>
              <w:rPr>
                <w:rFonts w:ascii="Arial" w:hAnsi="Arial" w:cs="Arial"/>
              </w:rPr>
            </w:pPr>
            <w:r w:rsidRPr="00884B82">
              <w:rPr>
                <w:rFonts w:ascii="Arial" w:hAnsi="Arial" w:cs="Arial"/>
              </w:rPr>
              <w:t>Existing Zoning:</w:t>
            </w:r>
          </w:p>
        </w:tc>
        <w:tc>
          <w:tcPr>
            <w:tcW w:w="5310" w:type="dxa"/>
            <w:hideMark/>
          </w:tcPr>
          <w:p w:rsidR="00884B82" w:rsidRPr="00884B82" w:rsidRDefault="00884B82">
            <w:pPr>
              <w:rPr>
                <w:rFonts w:ascii="Arial" w:hAnsi="Arial" w:cs="Arial"/>
              </w:rPr>
            </w:pPr>
            <w:r w:rsidRPr="00884B82">
              <w:rPr>
                <w:rFonts w:ascii="Arial" w:hAnsi="Arial" w:cs="Arial"/>
              </w:rPr>
              <w:t>Agricultural Restrictive (AR)</w:t>
            </w:r>
          </w:p>
        </w:tc>
      </w:tr>
      <w:tr w:rsidR="00884B82" w:rsidTr="00CC3AC9">
        <w:tc>
          <w:tcPr>
            <w:tcW w:w="4338" w:type="dxa"/>
            <w:hideMark/>
          </w:tcPr>
          <w:p w:rsidR="00884B82" w:rsidRPr="00884B82" w:rsidRDefault="00884B82">
            <w:pPr>
              <w:rPr>
                <w:rFonts w:ascii="Arial" w:hAnsi="Arial" w:cs="Arial"/>
              </w:rPr>
            </w:pPr>
            <w:r w:rsidRPr="00884B82">
              <w:rPr>
                <w:rFonts w:ascii="Arial" w:hAnsi="Arial" w:cs="Arial"/>
              </w:rPr>
              <w:t xml:space="preserve">Proposed Zoning: </w:t>
            </w:r>
          </w:p>
        </w:tc>
        <w:tc>
          <w:tcPr>
            <w:tcW w:w="5310" w:type="dxa"/>
            <w:hideMark/>
          </w:tcPr>
          <w:p w:rsidR="00884B82" w:rsidRPr="00884B82" w:rsidRDefault="00884B82">
            <w:pPr>
              <w:rPr>
                <w:rFonts w:ascii="Arial" w:hAnsi="Arial" w:cs="Arial"/>
              </w:rPr>
            </w:pPr>
            <w:r w:rsidRPr="00884B82">
              <w:rPr>
                <w:rFonts w:ascii="Arial" w:hAnsi="Arial" w:cs="Arial"/>
              </w:rPr>
              <w:t>Site Specific (To be determined)</w:t>
            </w:r>
          </w:p>
        </w:tc>
      </w:tr>
      <w:tr w:rsidR="00884B82" w:rsidTr="00CC3AC9">
        <w:tc>
          <w:tcPr>
            <w:tcW w:w="4338" w:type="dxa"/>
            <w:hideMark/>
          </w:tcPr>
          <w:p w:rsidR="00884B82" w:rsidRPr="00884B82" w:rsidRDefault="00884B82">
            <w:pPr>
              <w:rPr>
                <w:rFonts w:ascii="Arial" w:hAnsi="Arial" w:cs="Arial"/>
              </w:rPr>
            </w:pPr>
            <w:r w:rsidRPr="00884B82">
              <w:rPr>
                <w:rFonts w:ascii="Arial" w:hAnsi="Arial" w:cs="Arial"/>
              </w:rPr>
              <w:t xml:space="preserve">Purpose: </w:t>
            </w:r>
          </w:p>
        </w:tc>
        <w:tc>
          <w:tcPr>
            <w:tcW w:w="5310" w:type="dxa"/>
            <w:hideMark/>
          </w:tcPr>
          <w:p w:rsidR="00884B82" w:rsidRPr="00884B82" w:rsidRDefault="00884B82">
            <w:pPr>
              <w:rPr>
                <w:rFonts w:ascii="Arial" w:hAnsi="Arial" w:cs="Arial"/>
              </w:rPr>
            </w:pPr>
            <w:r w:rsidRPr="00884B82">
              <w:rPr>
                <w:rFonts w:ascii="Arial" w:hAnsi="Arial" w:cs="Arial"/>
              </w:rPr>
              <w:t>To permit the development of 230 single detached dwellings and 64 street townhomes</w:t>
            </w:r>
          </w:p>
        </w:tc>
      </w:tr>
      <w:tr w:rsidR="00884B82" w:rsidTr="00CC3AC9">
        <w:tc>
          <w:tcPr>
            <w:tcW w:w="4338" w:type="dxa"/>
            <w:hideMark/>
          </w:tcPr>
          <w:p w:rsidR="00884B82" w:rsidRPr="00884B82" w:rsidRDefault="00884B82">
            <w:pPr>
              <w:rPr>
                <w:rFonts w:ascii="Arial" w:hAnsi="Arial" w:cs="Arial"/>
              </w:rPr>
            </w:pPr>
            <w:r w:rsidRPr="00884B82">
              <w:rPr>
                <w:rFonts w:ascii="Arial" w:hAnsi="Arial" w:cs="Arial"/>
              </w:rPr>
              <w:t xml:space="preserve">Property Address/Description: </w:t>
            </w:r>
          </w:p>
        </w:tc>
        <w:tc>
          <w:tcPr>
            <w:tcW w:w="5310" w:type="dxa"/>
            <w:hideMark/>
          </w:tcPr>
          <w:p w:rsidR="00884B82" w:rsidRPr="00884B82" w:rsidRDefault="00884B82">
            <w:pPr>
              <w:rPr>
                <w:rFonts w:ascii="Arial" w:hAnsi="Arial" w:cs="Arial"/>
              </w:rPr>
            </w:pPr>
            <w:r w:rsidRPr="00884B82">
              <w:rPr>
                <w:rFonts w:ascii="Arial" w:hAnsi="Arial" w:cs="Arial"/>
              </w:rPr>
              <w:t>848 Watt’s Pond Road</w:t>
            </w:r>
          </w:p>
        </w:tc>
      </w:tr>
      <w:tr w:rsidR="00884B82" w:rsidTr="00CC3AC9">
        <w:tc>
          <w:tcPr>
            <w:tcW w:w="4338" w:type="dxa"/>
            <w:hideMark/>
          </w:tcPr>
          <w:p w:rsidR="00884B82" w:rsidRPr="00884B82" w:rsidRDefault="00884B82">
            <w:pPr>
              <w:rPr>
                <w:rFonts w:ascii="Arial" w:hAnsi="Arial" w:cs="Arial"/>
              </w:rPr>
            </w:pPr>
            <w:r w:rsidRPr="00884B82">
              <w:rPr>
                <w:rFonts w:ascii="Arial" w:hAnsi="Arial" w:cs="Arial"/>
              </w:rPr>
              <w:t xml:space="preserve">Municipality: </w:t>
            </w:r>
          </w:p>
        </w:tc>
        <w:tc>
          <w:tcPr>
            <w:tcW w:w="5310" w:type="dxa"/>
            <w:hideMark/>
          </w:tcPr>
          <w:p w:rsidR="00884B82" w:rsidRPr="00884B82" w:rsidRDefault="00884B82">
            <w:pPr>
              <w:rPr>
                <w:rFonts w:ascii="Arial" w:hAnsi="Arial" w:cs="Arial"/>
              </w:rPr>
            </w:pPr>
            <w:r w:rsidRPr="00884B82">
              <w:rPr>
                <w:rFonts w:ascii="Arial" w:hAnsi="Arial" w:cs="Arial"/>
              </w:rPr>
              <w:t>County of Brant</w:t>
            </w:r>
          </w:p>
        </w:tc>
      </w:tr>
      <w:tr w:rsidR="00884B82" w:rsidTr="00CC3AC9">
        <w:tc>
          <w:tcPr>
            <w:tcW w:w="4338" w:type="dxa"/>
            <w:hideMark/>
          </w:tcPr>
          <w:p w:rsidR="00884B82" w:rsidRPr="00884B82" w:rsidRDefault="00884B82">
            <w:pPr>
              <w:rPr>
                <w:rFonts w:ascii="Arial" w:hAnsi="Arial" w:cs="Arial"/>
              </w:rPr>
            </w:pPr>
            <w:r w:rsidRPr="00884B82">
              <w:rPr>
                <w:rFonts w:ascii="Arial" w:hAnsi="Arial" w:cs="Arial"/>
              </w:rPr>
              <w:t xml:space="preserve">Municipality File No.: </w:t>
            </w:r>
          </w:p>
        </w:tc>
        <w:tc>
          <w:tcPr>
            <w:tcW w:w="5310" w:type="dxa"/>
            <w:hideMark/>
          </w:tcPr>
          <w:p w:rsidR="00884B82" w:rsidRPr="00884B82" w:rsidRDefault="00884B82">
            <w:pPr>
              <w:rPr>
                <w:rFonts w:ascii="Arial" w:hAnsi="Arial" w:cs="Arial"/>
              </w:rPr>
            </w:pPr>
            <w:r w:rsidRPr="00884B82">
              <w:rPr>
                <w:rFonts w:ascii="Arial" w:hAnsi="Arial" w:cs="Arial"/>
              </w:rPr>
              <w:t>ZBA13/15/MD</w:t>
            </w:r>
          </w:p>
        </w:tc>
      </w:tr>
      <w:tr w:rsidR="00884B82" w:rsidTr="00CC3AC9">
        <w:tc>
          <w:tcPr>
            <w:tcW w:w="4338" w:type="dxa"/>
            <w:hideMark/>
          </w:tcPr>
          <w:p w:rsidR="00884B82" w:rsidRPr="00884B82" w:rsidRDefault="00884B82">
            <w:pPr>
              <w:rPr>
                <w:rFonts w:ascii="Arial" w:hAnsi="Arial" w:cs="Arial"/>
              </w:rPr>
            </w:pPr>
            <w:r w:rsidRPr="00884B82">
              <w:rPr>
                <w:rFonts w:ascii="Arial" w:hAnsi="Arial" w:cs="Arial"/>
              </w:rPr>
              <w:t xml:space="preserve">OMB Case No.: </w:t>
            </w:r>
          </w:p>
        </w:tc>
        <w:tc>
          <w:tcPr>
            <w:tcW w:w="5310" w:type="dxa"/>
            <w:hideMark/>
          </w:tcPr>
          <w:p w:rsidR="00884B82" w:rsidRPr="00884B82" w:rsidRDefault="00884B82">
            <w:pPr>
              <w:rPr>
                <w:rFonts w:ascii="Arial" w:hAnsi="Arial" w:cs="Arial"/>
              </w:rPr>
            </w:pPr>
            <w:r w:rsidRPr="00884B82">
              <w:rPr>
                <w:rFonts w:ascii="Arial" w:hAnsi="Arial" w:cs="Arial"/>
              </w:rPr>
              <w:t>PL171016</w:t>
            </w:r>
          </w:p>
        </w:tc>
      </w:tr>
      <w:tr w:rsidR="00884B82" w:rsidTr="00CC3AC9">
        <w:tc>
          <w:tcPr>
            <w:tcW w:w="4338" w:type="dxa"/>
            <w:hideMark/>
          </w:tcPr>
          <w:p w:rsidR="00884B82" w:rsidRPr="00884B82" w:rsidRDefault="00884B82">
            <w:pPr>
              <w:rPr>
                <w:rFonts w:ascii="Arial" w:hAnsi="Arial" w:cs="Arial"/>
              </w:rPr>
            </w:pPr>
            <w:r w:rsidRPr="00884B82">
              <w:rPr>
                <w:rFonts w:ascii="Arial" w:hAnsi="Arial" w:cs="Arial"/>
              </w:rPr>
              <w:t xml:space="preserve">OMB File No.: </w:t>
            </w:r>
          </w:p>
        </w:tc>
        <w:tc>
          <w:tcPr>
            <w:tcW w:w="5310" w:type="dxa"/>
            <w:hideMark/>
          </w:tcPr>
          <w:p w:rsidR="00884B82" w:rsidRPr="00884B82" w:rsidRDefault="00884B82">
            <w:pPr>
              <w:rPr>
                <w:rFonts w:ascii="Arial" w:hAnsi="Arial" w:cs="Arial"/>
              </w:rPr>
            </w:pPr>
            <w:r w:rsidRPr="00884B82">
              <w:rPr>
                <w:rFonts w:ascii="Arial" w:hAnsi="Arial" w:cs="Arial"/>
              </w:rPr>
              <w:t>PL171016</w:t>
            </w:r>
          </w:p>
        </w:tc>
      </w:tr>
      <w:tr w:rsidR="00884B82" w:rsidTr="00CC3AC9">
        <w:tc>
          <w:tcPr>
            <w:tcW w:w="4338" w:type="dxa"/>
            <w:hideMark/>
          </w:tcPr>
          <w:p w:rsidR="00884B82" w:rsidRPr="00884B82" w:rsidRDefault="00884B82">
            <w:pPr>
              <w:rPr>
                <w:rFonts w:ascii="Arial" w:hAnsi="Arial" w:cs="Arial"/>
              </w:rPr>
            </w:pPr>
            <w:r w:rsidRPr="00884B82">
              <w:rPr>
                <w:rFonts w:ascii="Arial" w:hAnsi="Arial" w:cs="Arial"/>
              </w:rPr>
              <w:t xml:space="preserve">OMB Case Name: </w:t>
            </w:r>
          </w:p>
        </w:tc>
        <w:tc>
          <w:tcPr>
            <w:tcW w:w="5310" w:type="dxa"/>
            <w:hideMark/>
          </w:tcPr>
          <w:p w:rsidR="00884B82" w:rsidRPr="00884B82" w:rsidRDefault="00884B82">
            <w:pPr>
              <w:rPr>
                <w:rFonts w:ascii="Arial" w:hAnsi="Arial" w:cs="Arial"/>
              </w:rPr>
            </w:pPr>
            <w:r w:rsidRPr="00884B82">
              <w:rPr>
                <w:rFonts w:ascii="Arial" w:hAnsi="Arial" w:cs="Arial"/>
              </w:rPr>
              <w:t>Valery Homes Paris Limited v. Brant (County)</w:t>
            </w:r>
          </w:p>
        </w:tc>
      </w:tr>
    </w:tbl>
    <w:p w:rsidR="001D67CE" w:rsidRPr="001E764F" w:rsidRDefault="001D67CE" w:rsidP="001D67CE">
      <w:pPr>
        <w:rPr>
          <w:rFonts w:ascii="Arial" w:hAnsi="Arial" w:cs="Arial"/>
        </w:rPr>
      </w:pPr>
    </w:p>
    <w:tbl>
      <w:tblPr>
        <w:tblW w:w="9648" w:type="dxa"/>
        <w:tblLook w:val="04A0" w:firstRow="1" w:lastRow="0" w:firstColumn="1" w:lastColumn="0" w:noHBand="0" w:noVBand="1"/>
      </w:tblPr>
      <w:tblGrid>
        <w:gridCol w:w="4338"/>
        <w:gridCol w:w="5310"/>
      </w:tblGrid>
      <w:tr w:rsidR="00884B82" w:rsidTr="009D24AB">
        <w:trPr>
          <w:cantSplit/>
          <w:trHeight w:val="732"/>
        </w:trPr>
        <w:tc>
          <w:tcPr>
            <w:tcW w:w="9648" w:type="dxa"/>
            <w:gridSpan w:val="2"/>
            <w:hideMark/>
          </w:tcPr>
          <w:p w:rsidR="00884B82" w:rsidRPr="00884B82" w:rsidRDefault="00884B82">
            <w:pPr>
              <w:rPr>
                <w:rFonts w:ascii="Arial" w:hAnsi="Arial" w:cs="Arial"/>
              </w:rPr>
            </w:pPr>
            <w:r w:rsidRPr="00884B82">
              <w:rPr>
                <w:rFonts w:ascii="Arial" w:hAnsi="Arial" w:cs="Arial"/>
                <w:b/>
              </w:rPr>
              <w:t xml:space="preserve">PROCEEDING COMMENCED UNDER </w:t>
            </w:r>
            <w:r w:rsidRPr="00884B82">
              <w:rPr>
                <w:rFonts w:ascii="Arial" w:hAnsi="Arial" w:cs="Arial"/>
              </w:rPr>
              <w:t xml:space="preserve">subsection 51(34) of the </w:t>
            </w:r>
            <w:r w:rsidRPr="00884B82">
              <w:rPr>
                <w:rFonts w:ascii="Arial" w:hAnsi="Arial" w:cs="Arial"/>
                <w:i/>
              </w:rPr>
              <w:t>Planning Act</w:t>
            </w:r>
            <w:r w:rsidRPr="00884B82">
              <w:rPr>
                <w:rFonts w:ascii="Arial" w:hAnsi="Arial" w:cs="Arial"/>
              </w:rPr>
              <w:t>, R.S.O. 1990, c. P.13, as amended</w:t>
            </w:r>
          </w:p>
        </w:tc>
      </w:tr>
      <w:tr w:rsidR="00884B82" w:rsidTr="009D24AB">
        <w:tc>
          <w:tcPr>
            <w:tcW w:w="4338" w:type="dxa"/>
            <w:hideMark/>
          </w:tcPr>
          <w:p w:rsidR="00884B82" w:rsidRPr="00884B82" w:rsidRDefault="00884B82">
            <w:pPr>
              <w:rPr>
                <w:rFonts w:ascii="Arial" w:hAnsi="Arial" w:cs="Arial"/>
              </w:rPr>
            </w:pPr>
            <w:r w:rsidRPr="00884B82">
              <w:rPr>
                <w:rFonts w:ascii="Arial" w:hAnsi="Arial" w:cs="Arial"/>
              </w:rPr>
              <w:t>Applicant and Appellant:</w:t>
            </w:r>
          </w:p>
        </w:tc>
        <w:tc>
          <w:tcPr>
            <w:tcW w:w="5310" w:type="dxa"/>
            <w:hideMark/>
          </w:tcPr>
          <w:p w:rsidR="00884B82" w:rsidRPr="00884B82" w:rsidRDefault="00884B82">
            <w:pPr>
              <w:rPr>
                <w:rFonts w:ascii="Arial" w:hAnsi="Arial" w:cs="Arial"/>
              </w:rPr>
            </w:pPr>
            <w:r w:rsidRPr="00884B82">
              <w:rPr>
                <w:rFonts w:ascii="Arial" w:hAnsi="Arial" w:cs="Arial"/>
              </w:rPr>
              <w:t>Valery Homes Paris Limited</w:t>
            </w:r>
          </w:p>
        </w:tc>
      </w:tr>
      <w:tr w:rsidR="00884B82" w:rsidTr="009D24AB">
        <w:tc>
          <w:tcPr>
            <w:tcW w:w="4338" w:type="dxa"/>
            <w:hideMark/>
          </w:tcPr>
          <w:p w:rsidR="00884B82" w:rsidRPr="00884B82" w:rsidRDefault="00884B82">
            <w:pPr>
              <w:rPr>
                <w:rFonts w:ascii="Arial" w:hAnsi="Arial" w:cs="Arial"/>
              </w:rPr>
            </w:pPr>
            <w:r w:rsidRPr="00884B82">
              <w:rPr>
                <w:rFonts w:ascii="Arial" w:hAnsi="Arial" w:cs="Arial"/>
              </w:rPr>
              <w:t>Subject:</w:t>
            </w:r>
          </w:p>
        </w:tc>
        <w:tc>
          <w:tcPr>
            <w:tcW w:w="5310" w:type="dxa"/>
            <w:hideMark/>
          </w:tcPr>
          <w:p w:rsidR="00884B82" w:rsidRPr="00884B82" w:rsidRDefault="00884B82">
            <w:pPr>
              <w:rPr>
                <w:rFonts w:ascii="Arial" w:hAnsi="Arial" w:cs="Arial"/>
              </w:rPr>
            </w:pPr>
            <w:r w:rsidRPr="00884B82">
              <w:rPr>
                <w:rFonts w:ascii="Arial" w:hAnsi="Arial" w:cs="Arial"/>
              </w:rPr>
              <w:t>Proposed Plan of Subdivision - Failure of the County of Brant to make a decision</w:t>
            </w:r>
          </w:p>
        </w:tc>
      </w:tr>
      <w:tr w:rsidR="00884B82" w:rsidTr="009D24AB">
        <w:tc>
          <w:tcPr>
            <w:tcW w:w="4338" w:type="dxa"/>
            <w:hideMark/>
          </w:tcPr>
          <w:p w:rsidR="00884B82" w:rsidRPr="00884B82" w:rsidRDefault="00884B82">
            <w:pPr>
              <w:rPr>
                <w:rFonts w:ascii="Arial" w:hAnsi="Arial" w:cs="Arial"/>
              </w:rPr>
            </w:pPr>
            <w:r w:rsidRPr="00884B82">
              <w:rPr>
                <w:rFonts w:ascii="Arial" w:hAnsi="Arial" w:cs="Arial"/>
              </w:rPr>
              <w:t>Purpose:</w:t>
            </w:r>
          </w:p>
        </w:tc>
        <w:tc>
          <w:tcPr>
            <w:tcW w:w="5310" w:type="dxa"/>
            <w:hideMark/>
          </w:tcPr>
          <w:p w:rsidR="00884B82" w:rsidRPr="00884B82" w:rsidRDefault="00884B82">
            <w:pPr>
              <w:rPr>
                <w:rFonts w:ascii="Arial" w:hAnsi="Arial" w:cs="Arial"/>
              </w:rPr>
            </w:pPr>
            <w:r w:rsidRPr="00884B82">
              <w:rPr>
                <w:rFonts w:ascii="Arial" w:hAnsi="Arial" w:cs="Arial"/>
              </w:rPr>
              <w:t>To permit the development of 230 single detached dwellings and 64 street townhomes</w:t>
            </w:r>
          </w:p>
        </w:tc>
      </w:tr>
      <w:tr w:rsidR="00884B82" w:rsidTr="009D24AB">
        <w:tc>
          <w:tcPr>
            <w:tcW w:w="4338" w:type="dxa"/>
            <w:hideMark/>
          </w:tcPr>
          <w:p w:rsidR="00884B82" w:rsidRPr="00884B82" w:rsidRDefault="00884B82">
            <w:pPr>
              <w:rPr>
                <w:rFonts w:ascii="Arial" w:hAnsi="Arial" w:cs="Arial"/>
              </w:rPr>
            </w:pPr>
            <w:r w:rsidRPr="00884B82">
              <w:rPr>
                <w:rFonts w:ascii="Arial" w:hAnsi="Arial" w:cs="Arial"/>
              </w:rPr>
              <w:t xml:space="preserve">Property Address/Description: </w:t>
            </w:r>
          </w:p>
        </w:tc>
        <w:tc>
          <w:tcPr>
            <w:tcW w:w="5310" w:type="dxa"/>
            <w:hideMark/>
          </w:tcPr>
          <w:p w:rsidR="00884B82" w:rsidRPr="00884B82" w:rsidRDefault="00884B82">
            <w:pPr>
              <w:rPr>
                <w:rFonts w:ascii="Arial" w:hAnsi="Arial" w:cs="Arial"/>
              </w:rPr>
            </w:pPr>
            <w:r w:rsidRPr="00884B82">
              <w:rPr>
                <w:rFonts w:ascii="Arial" w:hAnsi="Arial" w:cs="Arial"/>
              </w:rPr>
              <w:t>848 Watt’s Pond Road</w:t>
            </w:r>
          </w:p>
        </w:tc>
      </w:tr>
      <w:tr w:rsidR="00884B82" w:rsidTr="009D24AB">
        <w:tc>
          <w:tcPr>
            <w:tcW w:w="4338" w:type="dxa"/>
            <w:hideMark/>
          </w:tcPr>
          <w:p w:rsidR="00884B82" w:rsidRPr="00884B82" w:rsidRDefault="00884B82">
            <w:pPr>
              <w:rPr>
                <w:rFonts w:ascii="Arial" w:hAnsi="Arial" w:cs="Arial"/>
              </w:rPr>
            </w:pPr>
            <w:r w:rsidRPr="00884B82">
              <w:rPr>
                <w:rFonts w:ascii="Arial" w:hAnsi="Arial" w:cs="Arial"/>
              </w:rPr>
              <w:t xml:space="preserve">Municipality: </w:t>
            </w:r>
          </w:p>
        </w:tc>
        <w:tc>
          <w:tcPr>
            <w:tcW w:w="5310" w:type="dxa"/>
            <w:hideMark/>
          </w:tcPr>
          <w:p w:rsidR="00884B82" w:rsidRPr="00884B82" w:rsidRDefault="00884B82">
            <w:pPr>
              <w:rPr>
                <w:rFonts w:ascii="Arial" w:hAnsi="Arial" w:cs="Arial"/>
              </w:rPr>
            </w:pPr>
            <w:r w:rsidRPr="00884B82">
              <w:rPr>
                <w:rFonts w:ascii="Arial" w:hAnsi="Arial" w:cs="Arial"/>
              </w:rPr>
              <w:t>County of Brant</w:t>
            </w:r>
          </w:p>
        </w:tc>
      </w:tr>
      <w:tr w:rsidR="00884B82" w:rsidTr="009D24AB">
        <w:tc>
          <w:tcPr>
            <w:tcW w:w="4338" w:type="dxa"/>
            <w:hideMark/>
          </w:tcPr>
          <w:p w:rsidR="00884B82" w:rsidRPr="00884B82" w:rsidRDefault="00884B82">
            <w:pPr>
              <w:rPr>
                <w:rFonts w:ascii="Arial" w:hAnsi="Arial" w:cs="Arial"/>
              </w:rPr>
            </w:pPr>
            <w:r w:rsidRPr="00884B82">
              <w:rPr>
                <w:rFonts w:ascii="Arial" w:hAnsi="Arial" w:cs="Arial"/>
              </w:rPr>
              <w:t xml:space="preserve">Municipality File No.: </w:t>
            </w:r>
          </w:p>
        </w:tc>
        <w:tc>
          <w:tcPr>
            <w:tcW w:w="5310" w:type="dxa"/>
            <w:hideMark/>
          </w:tcPr>
          <w:p w:rsidR="00884B82" w:rsidRPr="00884B82" w:rsidRDefault="00884B82">
            <w:pPr>
              <w:rPr>
                <w:rFonts w:ascii="Arial" w:hAnsi="Arial" w:cs="Arial"/>
              </w:rPr>
            </w:pPr>
            <w:r w:rsidRPr="00884B82">
              <w:rPr>
                <w:rFonts w:ascii="Arial" w:hAnsi="Arial" w:cs="Arial"/>
              </w:rPr>
              <w:t>PS1/15/MD</w:t>
            </w:r>
          </w:p>
        </w:tc>
      </w:tr>
      <w:tr w:rsidR="00884B82" w:rsidTr="009D24AB">
        <w:tc>
          <w:tcPr>
            <w:tcW w:w="4338" w:type="dxa"/>
            <w:hideMark/>
          </w:tcPr>
          <w:p w:rsidR="00884B82" w:rsidRPr="00884B82" w:rsidRDefault="00884B82">
            <w:pPr>
              <w:rPr>
                <w:rFonts w:ascii="Arial" w:hAnsi="Arial" w:cs="Arial"/>
              </w:rPr>
            </w:pPr>
            <w:r w:rsidRPr="00884B82">
              <w:rPr>
                <w:rFonts w:ascii="Arial" w:hAnsi="Arial" w:cs="Arial"/>
              </w:rPr>
              <w:t xml:space="preserve">OMB Case No.: </w:t>
            </w:r>
          </w:p>
        </w:tc>
        <w:tc>
          <w:tcPr>
            <w:tcW w:w="5310" w:type="dxa"/>
            <w:hideMark/>
          </w:tcPr>
          <w:p w:rsidR="00884B82" w:rsidRPr="00884B82" w:rsidRDefault="00884B82">
            <w:pPr>
              <w:rPr>
                <w:rFonts w:ascii="Arial" w:hAnsi="Arial" w:cs="Arial"/>
              </w:rPr>
            </w:pPr>
            <w:r w:rsidRPr="00884B82">
              <w:rPr>
                <w:rFonts w:ascii="Arial" w:hAnsi="Arial" w:cs="Arial"/>
              </w:rPr>
              <w:t>PL171016</w:t>
            </w:r>
          </w:p>
        </w:tc>
      </w:tr>
      <w:tr w:rsidR="00884B82" w:rsidTr="009D24AB">
        <w:tc>
          <w:tcPr>
            <w:tcW w:w="4338" w:type="dxa"/>
            <w:hideMark/>
          </w:tcPr>
          <w:p w:rsidR="00884B82" w:rsidRPr="00884B82" w:rsidRDefault="00884B82">
            <w:pPr>
              <w:rPr>
                <w:rFonts w:ascii="Arial" w:hAnsi="Arial" w:cs="Arial"/>
              </w:rPr>
            </w:pPr>
            <w:r w:rsidRPr="00884B82">
              <w:rPr>
                <w:rFonts w:ascii="Arial" w:hAnsi="Arial" w:cs="Arial"/>
              </w:rPr>
              <w:t xml:space="preserve">OMB File No.: </w:t>
            </w:r>
          </w:p>
        </w:tc>
        <w:tc>
          <w:tcPr>
            <w:tcW w:w="5310" w:type="dxa"/>
            <w:hideMark/>
          </w:tcPr>
          <w:p w:rsidR="00884B82" w:rsidRPr="00884B82" w:rsidRDefault="00884B82">
            <w:pPr>
              <w:rPr>
                <w:rFonts w:ascii="Arial" w:hAnsi="Arial" w:cs="Arial"/>
              </w:rPr>
            </w:pPr>
            <w:r w:rsidRPr="00884B82">
              <w:rPr>
                <w:rFonts w:ascii="Arial" w:hAnsi="Arial" w:cs="Arial"/>
              </w:rPr>
              <w:t>PL171017</w:t>
            </w:r>
          </w:p>
        </w:tc>
      </w:tr>
    </w:tbl>
    <w:p w:rsidR="00B268A7" w:rsidRPr="001E764F" w:rsidRDefault="00B268A7" w:rsidP="00B268A7">
      <w:pPr>
        <w:rPr>
          <w:rFonts w:ascii="Arial" w:hAnsi="Arial" w:cs="Arial"/>
        </w:rPr>
      </w:pPr>
    </w:p>
    <w:tbl>
      <w:tblPr>
        <w:tblpPr w:leftFromText="180" w:rightFromText="180" w:vertAnchor="text" w:horzAnchor="margin" w:tblpY="-70"/>
        <w:tblW w:w="9576" w:type="dxa"/>
        <w:tblLook w:val="0000" w:firstRow="0" w:lastRow="0" w:firstColumn="0" w:lastColumn="0" w:noHBand="0" w:noVBand="0"/>
      </w:tblPr>
      <w:tblGrid>
        <w:gridCol w:w="4338"/>
        <w:gridCol w:w="5238"/>
      </w:tblGrid>
      <w:tr w:rsidR="00B268A7" w:rsidRPr="001E764F" w:rsidTr="002B7494">
        <w:tc>
          <w:tcPr>
            <w:tcW w:w="4338" w:type="dxa"/>
          </w:tcPr>
          <w:p w:rsidR="00B268A7" w:rsidRPr="00C940BC" w:rsidRDefault="00B268A7" w:rsidP="00185E46">
            <w:pPr>
              <w:rPr>
                <w:rFonts w:ascii="Arial" w:hAnsi="Arial" w:cs="Arial"/>
              </w:rPr>
            </w:pPr>
            <w:r w:rsidRPr="001E764F">
              <w:rPr>
                <w:rFonts w:ascii="Arial" w:hAnsi="Arial" w:cs="Arial"/>
                <w:b/>
              </w:rPr>
              <w:lastRenderedPageBreak/>
              <w:t>Heard:</w:t>
            </w:r>
          </w:p>
        </w:tc>
        <w:tc>
          <w:tcPr>
            <w:tcW w:w="5238" w:type="dxa"/>
          </w:tcPr>
          <w:p w:rsidR="00B268A7" w:rsidRPr="001E764F" w:rsidRDefault="005B4A8E" w:rsidP="00185E46">
            <w:pPr>
              <w:rPr>
                <w:rFonts w:ascii="Arial" w:hAnsi="Arial" w:cs="Arial"/>
              </w:rPr>
            </w:pPr>
            <w:r>
              <w:rPr>
                <w:rFonts w:ascii="Arial" w:hAnsi="Arial" w:cs="Arial"/>
              </w:rPr>
              <w:t>March 28, 2018 in Paris, Ontario</w:t>
            </w:r>
          </w:p>
        </w:tc>
      </w:tr>
    </w:tbl>
    <w:p w:rsidR="00B268A7" w:rsidRPr="001E764F" w:rsidRDefault="00B268A7" w:rsidP="002159B4">
      <w:pPr>
        <w:rPr>
          <w:rFonts w:ascii="Arial" w:hAnsi="Arial" w:cs="Arial"/>
        </w:rPr>
      </w:pPr>
    </w:p>
    <w:tbl>
      <w:tblPr>
        <w:tblW w:w="9606" w:type="dxa"/>
        <w:tblLook w:val="0000" w:firstRow="0" w:lastRow="0" w:firstColumn="0" w:lastColumn="0" w:noHBand="0" w:noVBand="0"/>
      </w:tblPr>
      <w:tblGrid>
        <w:gridCol w:w="4361"/>
        <w:gridCol w:w="5245"/>
      </w:tblGrid>
      <w:tr w:rsidR="0089782A" w:rsidRPr="001E764F" w:rsidTr="00EC0B6D">
        <w:tc>
          <w:tcPr>
            <w:tcW w:w="4361" w:type="dxa"/>
          </w:tcPr>
          <w:bookmarkEnd w:id="0"/>
          <w:p w:rsidR="0089782A" w:rsidRPr="00C940BC" w:rsidRDefault="0089782A" w:rsidP="002159B4">
            <w:pPr>
              <w:rPr>
                <w:rFonts w:ascii="Arial" w:hAnsi="Arial" w:cs="Arial"/>
              </w:rPr>
            </w:pPr>
            <w:r w:rsidRPr="001E764F">
              <w:rPr>
                <w:rFonts w:ascii="Arial" w:hAnsi="Arial" w:cs="Arial"/>
                <w:b/>
              </w:rPr>
              <w:t>APPEARANCES:</w:t>
            </w:r>
          </w:p>
        </w:tc>
        <w:tc>
          <w:tcPr>
            <w:tcW w:w="5245" w:type="dxa"/>
          </w:tcPr>
          <w:p w:rsidR="0089782A" w:rsidRPr="001E764F" w:rsidRDefault="0089782A" w:rsidP="002159B4">
            <w:pPr>
              <w:rPr>
                <w:rFonts w:ascii="Arial" w:hAnsi="Arial" w:cs="Arial"/>
              </w:rPr>
            </w:pPr>
          </w:p>
        </w:tc>
      </w:tr>
      <w:tr w:rsidR="0089782A" w:rsidRPr="001E764F" w:rsidTr="00EC0B6D">
        <w:tc>
          <w:tcPr>
            <w:tcW w:w="4361" w:type="dxa"/>
          </w:tcPr>
          <w:p w:rsidR="0089782A" w:rsidRPr="001E764F" w:rsidRDefault="0089782A" w:rsidP="002159B4">
            <w:pPr>
              <w:rPr>
                <w:rFonts w:ascii="Arial" w:hAnsi="Arial" w:cs="Arial"/>
              </w:rPr>
            </w:pPr>
          </w:p>
        </w:tc>
        <w:tc>
          <w:tcPr>
            <w:tcW w:w="5245" w:type="dxa"/>
          </w:tcPr>
          <w:p w:rsidR="0089782A" w:rsidRPr="001E764F" w:rsidRDefault="0089782A" w:rsidP="002159B4">
            <w:pPr>
              <w:rPr>
                <w:rFonts w:ascii="Arial" w:hAnsi="Arial" w:cs="Arial"/>
              </w:rPr>
            </w:pPr>
          </w:p>
        </w:tc>
      </w:tr>
      <w:tr w:rsidR="008046EB" w:rsidRPr="001E764F" w:rsidTr="00EC0B6D">
        <w:tc>
          <w:tcPr>
            <w:tcW w:w="4361" w:type="dxa"/>
          </w:tcPr>
          <w:p w:rsidR="008046EB" w:rsidRPr="00C940BC" w:rsidRDefault="008046EB" w:rsidP="002159B4">
            <w:pPr>
              <w:rPr>
                <w:rFonts w:ascii="Arial" w:hAnsi="Arial" w:cs="Arial"/>
              </w:rPr>
            </w:pPr>
            <w:bookmarkStart w:id="1" w:name="Parties"/>
            <w:r w:rsidRPr="00C300F2">
              <w:rPr>
                <w:rFonts w:ascii="Arial" w:hAnsi="Arial" w:cs="Arial"/>
                <w:b/>
                <w:u w:val="single"/>
              </w:rPr>
              <w:t>Parties</w:t>
            </w:r>
            <w:bookmarkEnd w:id="1"/>
          </w:p>
        </w:tc>
        <w:tc>
          <w:tcPr>
            <w:tcW w:w="5245" w:type="dxa"/>
          </w:tcPr>
          <w:p w:rsidR="008046EB" w:rsidRPr="00C940BC" w:rsidRDefault="008046EB" w:rsidP="002159B4">
            <w:pPr>
              <w:rPr>
                <w:rFonts w:ascii="Arial" w:hAnsi="Arial" w:cs="Arial"/>
              </w:rPr>
            </w:pPr>
            <w:bookmarkStart w:id="2" w:name="CounselAgent"/>
            <w:r w:rsidRPr="00C300F2">
              <w:rPr>
                <w:rFonts w:ascii="Arial" w:hAnsi="Arial" w:cs="Arial"/>
                <w:b/>
                <w:u w:val="single"/>
              </w:rPr>
              <w:t>Counse</w:t>
            </w:r>
            <w:r w:rsidR="009333AA" w:rsidRPr="00C300F2">
              <w:rPr>
                <w:rFonts w:ascii="Arial" w:hAnsi="Arial" w:cs="Arial"/>
                <w:b/>
                <w:u w:val="single"/>
              </w:rPr>
              <w:t>l</w:t>
            </w:r>
            <w:bookmarkEnd w:id="2"/>
          </w:p>
        </w:tc>
      </w:tr>
      <w:tr w:rsidR="00CF3F96" w:rsidRPr="001E764F" w:rsidTr="00EC0B6D">
        <w:tc>
          <w:tcPr>
            <w:tcW w:w="4361" w:type="dxa"/>
          </w:tcPr>
          <w:p w:rsidR="00CF3F96" w:rsidRPr="001E764F" w:rsidRDefault="00CF3F96" w:rsidP="002159B4">
            <w:pPr>
              <w:rPr>
                <w:rFonts w:ascii="Arial" w:hAnsi="Arial" w:cs="Arial"/>
              </w:rPr>
            </w:pPr>
          </w:p>
        </w:tc>
        <w:tc>
          <w:tcPr>
            <w:tcW w:w="5245" w:type="dxa"/>
          </w:tcPr>
          <w:p w:rsidR="00CF3F96" w:rsidRPr="001D67CE" w:rsidRDefault="00CF3F96" w:rsidP="002159B4">
            <w:pPr>
              <w:rPr>
                <w:rFonts w:ascii="Arial" w:hAnsi="Arial" w:cs="Arial"/>
              </w:rPr>
            </w:pPr>
          </w:p>
        </w:tc>
      </w:tr>
      <w:tr w:rsidR="001D67CE" w:rsidRPr="001E764F" w:rsidTr="00EC0B6D">
        <w:tc>
          <w:tcPr>
            <w:tcW w:w="4361" w:type="dxa"/>
          </w:tcPr>
          <w:p w:rsidR="001D67CE" w:rsidRDefault="005B4A8E" w:rsidP="002159B4">
            <w:pPr>
              <w:rPr>
                <w:rFonts w:ascii="Arial" w:hAnsi="Arial" w:cs="Arial"/>
              </w:rPr>
            </w:pPr>
            <w:r>
              <w:rPr>
                <w:rFonts w:ascii="Arial" w:hAnsi="Arial" w:cs="Arial"/>
              </w:rPr>
              <w:t>Valery Homes Paris Limited</w:t>
            </w:r>
          </w:p>
          <w:p w:rsidR="005B4A8E" w:rsidRPr="001E764F" w:rsidRDefault="005B4A8E" w:rsidP="002159B4">
            <w:pPr>
              <w:rPr>
                <w:rFonts w:ascii="Arial" w:hAnsi="Arial" w:cs="Arial"/>
              </w:rPr>
            </w:pPr>
            <w:r>
              <w:rPr>
                <w:rFonts w:ascii="Arial" w:hAnsi="Arial" w:cs="Arial"/>
              </w:rPr>
              <w:t>(“Applicant” / “Appellant”)</w:t>
            </w:r>
          </w:p>
        </w:tc>
        <w:tc>
          <w:tcPr>
            <w:tcW w:w="5245" w:type="dxa"/>
          </w:tcPr>
          <w:p w:rsidR="001D67CE" w:rsidRPr="001D67CE" w:rsidRDefault="005B4A8E" w:rsidP="002159B4">
            <w:pPr>
              <w:rPr>
                <w:rFonts w:ascii="Arial" w:hAnsi="Arial" w:cs="Arial"/>
              </w:rPr>
            </w:pPr>
            <w:r>
              <w:rPr>
                <w:rFonts w:ascii="Arial" w:hAnsi="Arial" w:cs="Arial"/>
              </w:rPr>
              <w:t>Joel Farber</w:t>
            </w:r>
          </w:p>
        </w:tc>
      </w:tr>
      <w:tr w:rsidR="001D67CE" w:rsidRPr="001E764F" w:rsidTr="00EC0B6D">
        <w:tc>
          <w:tcPr>
            <w:tcW w:w="4361" w:type="dxa"/>
          </w:tcPr>
          <w:p w:rsidR="001D67CE" w:rsidRPr="001E764F" w:rsidRDefault="001D67CE" w:rsidP="002159B4">
            <w:pPr>
              <w:rPr>
                <w:rFonts w:ascii="Arial" w:hAnsi="Arial" w:cs="Arial"/>
              </w:rPr>
            </w:pPr>
          </w:p>
        </w:tc>
        <w:tc>
          <w:tcPr>
            <w:tcW w:w="5245" w:type="dxa"/>
          </w:tcPr>
          <w:p w:rsidR="001D67CE" w:rsidRPr="001D67CE" w:rsidRDefault="001D67CE" w:rsidP="002159B4">
            <w:pPr>
              <w:rPr>
                <w:rFonts w:ascii="Arial" w:hAnsi="Arial" w:cs="Arial"/>
              </w:rPr>
            </w:pPr>
          </w:p>
        </w:tc>
      </w:tr>
      <w:tr w:rsidR="001D67CE" w:rsidRPr="001E764F" w:rsidTr="00EC0B6D">
        <w:tc>
          <w:tcPr>
            <w:tcW w:w="4361" w:type="dxa"/>
          </w:tcPr>
          <w:p w:rsidR="001D67CE" w:rsidRPr="001E764F" w:rsidRDefault="005B4A8E" w:rsidP="002159B4">
            <w:pPr>
              <w:rPr>
                <w:rFonts w:ascii="Arial" w:hAnsi="Arial" w:cs="Arial"/>
              </w:rPr>
            </w:pPr>
            <w:r>
              <w:rPr>
                <w:rFonts w:ascii="Arial" w:hAnsi="Arial" w:cs="Arial"/>
              </w:rPr>
              <w:t>County of Brant (“County”)</w:t>
            </w:r>
          </w:p>
        </w:tc>
        <w:tc>
          <w:tcPr>
            <w:tcW w:w="5245" w:type="dxa"/>
          </w:tcPr>
          <w:p w:rsidR="001D67CE" w:rsidRPr="001D67CE" w:rsidRDefault="005B4A8E" w:rsidP="002159B4">
            <w:pPr>
              <w:rPr>
                <w:rFonts w:ascii="Arial" w:hAnsi="Arial" w:cs="Arial"/>
              </w:rPr>
            </w:pPr>
            <w:r>
              <w:rPr>
                <w:rFonts w:ascii="Arial" w:hAnsi="Arial" w:cs="Arial"/>
              </w:rPr>
              <w:t>Nancy Smith</w:t>
            </w:r>
          </w:p>
        </w:tc>
      </w:tr>
      <w:tr w:rsidR="001D67CE" w:rsidRPr="001E764F" w:rsidTr="00EC0B6D">
        <w:tc>
          <w:tcPr>
            <w:tcW w:w="4361" w:type="dxa"/>
          </w:tcPr>
          <w:p w:rsidR="001D67CE" w:rsidRPr="001E764F" w:rsidRDefault="001D67CE" w:rsidP="002159B4">
            <w:pPr>
              <w:rPr>
                <w:rFonts w:ascii="Arial" w:hAnsi="Arial" w:cs="Arial"/>
              </w:rPr>
            </w:pPr>
          </w:p>
        </w:tc>
        <w:tc>
          <w:tcPr>
            <w:tcW w:w="5245" w:type="dxa"/>
          </w:tcPr>
          <w:p w:rsidR="001D67CE" w:rsidRPr="001D67CE" w:rsidRDefault="001D67CE" w:rsidP="002159B4">
            <w:pPr>
              <w:rPr>
                <w:rFonts w:ascii="Arial" w:hAnsi="Arial" w:cs="Arial"/>
              </w:rPr>
            </w:pPr>
          </w:p>
        </w:tc>
      </w:tr>
      <w:tr w:rsidR="005B4A8E" w:rsidRPr="001E764F" w:rsidTr="00EC0B6D">
        <w:tc>
          <w:tcPr>
            <w:tcW w:w="4361" w:type="dxa"/>
          </w:tcPr>
          <w:p w:rsidR="005B4A8E" w:rsidRPr="001E764F" w:rsidRDefault="005B4A8E" w:rsidP="002159B4">
            <w:pPr>
              <w:rPr>
                <w:rFonts w:ascii="Arial" w:hAnsi="Arial" w:cs="Arial"/>
              </w:rPr>
            </w:pPr>
            <w:r>
              <w:rPr>
                <w:rFonts w:ascii="Arial" w:hAnsi="Arial" w:cs="Arial"/>
              </w:rPr>
              <w:t>Brookfield Homes (Ontario) Limited</w:t>
            </w:r>
          </w:p>
        </w:tc>
        <w:tc>
          <w:tcPr>
            <w:tcW w:w="5245" w:type="dxa"/>
          </w:tcPr>
          <w:p w:rsidR="005B4A8E" w:rsidRPr="001D67CE" w:rsidRDefault="005B4A8E" w:rsidP="002159B4">
            <w:pPr>
              <w:rPr>
                <w:rFonts w:ascii="Arial" w:hAnsi="Arial" w:cs="Arial"/>
              </w:rPr>
            </w:pPr>
            <w:r>
              <w:rPr>
                <w:rFonts w:ascii="Arial" w:hAnsi="Arial" w:cs="Arial"/>
              </w:rPr>
              <w:t>Kimberly Beckman</w:t>
            </w:r>
          </w:p>
        </w:tc>
      </w:tr>
    </w:tbl>
    <w:p w:rsidR="0026320F" w:rsidRDefault="0026320F" w:rsidP="002159B4">
      <w:pPr>
        <w:rPr>
          <w:rFonts w:ascii="Arial" w:hAnsi="Arial" w:cs="Arial"/>
        </w:rPr>
      </w:pPr>
    </w:p>
    <w:p w:rsidR="00935095" w:rsidRDefault="00935095" w:rsidP="002159B4">
      <w:pPr>
        <w:rPr>
          <w:rFonts w:ascii="Arial" w:hAnsi="Arial" w:cs="Arial"/>
        </w:rPr>
      </w:pPr>
    </w:p>
    <w:p w:rsidR="00935095" w:rsidRPr="00C940BC" w:rsidRDefault="005B4A8E" w:rsidP="00935095">
      <w:pPr>
        <w:pStyle w:val="DecisionDeliveredby"/>
        <w:pBdr>
          <w:bottom w:val="single" w:sz="4" w:space="1" w:color="auto"/>
        </w:pBdr>
        <w:rPr>
          <w:rFonts w:cs="Arial"/>
          <w:b w:val="0"/>
        </w:rPr>
      </w:pPr>
      <w:r>
        <w:rPr>
          <w:rFonts w:cs="Arial"/>
        </w:rPr>
        <w:t xml:space="preserve">MEMORANDUM OF ORAL </w:t>
      </w:r>
      <w:r w:rsidR="00935095" w:rsidRPr="005A767F">
        <w:rPr>
          <w:rFonts w:cs="Arial"/>
        </w:rPr>
        <w:t xml:space="preserve">DECISION DELIVERED BY </w:t>
      </w:r>
      <w:r>
        <w:rPr>
          <w:rFonts w:cs="Arial"/>
        </w:rPr>
        <w:t>S. TOUSAW ON MARCH 28, 2018 AND ORDER OF THE TRIBUNAL</w:t>
      </w:r>
    </w:p>
    <w:p w:rsidR="005B4A8E" w:rsidRDefault="005B4A8E" w:rsidP="005B4A8E">
      <w:pPr>
        <w:spacing w:line="360" w:lineRule="auto"/>
        <w:rPr>
          <w:rFonts w:ascii="Arial" w:hAnsi="Arial" w:cs="Arial"/>
          <w:b/>
          <w:lang w:val="en-CA"/>
        </w:rPr>
      </w:pPr>
    </w:p>
    <w:p w:rsidR="00DD2968" w:rsidRPr="007400D0" w:rsidRDefault="00DD2968" w:rsidP="005B4A8E">
      <w:pPr>
        <w:spacing w:line="360" w:lineRule="auto"/>
        <w:rPr>
          <w:rFonts w:ascii="Arial" w:hAnsi="Arial" w:cs="Arial"/>
          <w:b/>
          <w:lang w:val="en-CA"/>
        </w:rPr>
      </w:pPr>
      <w:r w:rsidRPr="007400D0">
        <w:rPr>
          <w:rFonts w:ascii="Arial" w:hAnsi="Arial" w:cs="Arial"/>
          <w:b/>
          <w:lang w:val="en-CA"/>
        </w:rPr>
        <w:t>PROCEEDINGS</w:t>
      </w:r>
    </w:p>
    <w:p w:rsidR="00FB6C8F" w:rsidRPr="001B04C0" w:rsidRDefault="001B04C0" w:rsidP="00DD2968">
      <w:pPr>
        <w:numPr>
          <w:ilvl w:val="0"/>
          <w:numId w:val="31"/>
        </w:numPr>
        <w:spacing w:beforeLines="150" w:before="360" w:afterLines="150" w:after="360" w:line="360" w:lineRule="auto"/>
        <w:ind w:left="0" w:firstLine="0"/>
        <w:rPr>
          <w:rFonts w:ascii="Arial" w:hAnsi="Arial" w:cs="Arial"/>
          <w:lang w:val="en-CA"/>
        </w:rPr>
      </w:pPr>
      <w:r w:rsidRPr="001B04C0">
        <w:rPr>
          <w:rFonts w:ascii="Arial" w:hAnsi="Arial" w:cs="Arial"/>
        </w:rPr>
        <w:t xml:space="preserve">This </w:t>
      </w:r>
      <w:r w:rsidRPr="00B861DA">
        <w:rPr>
          <w:rFonts w:ascii="Arial" w:hAnsi="Arial" w:cs="Arial"/>
        </w:rPr>
        <w:t>Pre-hearing Conference (“</w:t>
      </w:r>
      <w:r w:rsidRPr="001B04C0">
        <w:rPr>
          <w:rFonts w:ascii="Arial" w:hAnsi="Arial" w:cs="Arial"/>
        </w:rPr>
        <w:t>PHC</w:t>
      </w:r>
      <w:r w:rsidRPr="00B861DA">
        <w:rPr>
          <w:rFonts w:ascii="Arial" w:hAnsi="Arial" w:cs="Arial"/>
        </w:rPr>
        <w:t>”)</w:t>
      </w:r>
      <w:r w:rsidRPr="001B04C0">
        <w:rPr>
          <w:rFonts w:ascii="Arial" w:hAnsi="Arial" w:cs="Arial"/>
        </w:rPr>
        <w:t xml:space="preserve"> was convened and conducted by the Ontario Municipal Board (the “Board”) and an oral decision was given by the Board during the PHC. </w:t>
      </w:r>
      <w:r w:rsidR="00B861DA">
        <w:rPr>
          <w:rFonts w:ascii="Arial" w:hAnsi="Arial" w:cs="Arial"/>
        </w:rPr>
        <w:t xml:space="preserve"> </w:t>
      </w:r>
      <w:r w:rsidRPr="001B04C0">
        <w:rPr>
          <w:rFonts w:ascii="Arial" w:hAnsi="Arial" w:cs="Arial"/>
        </w:rPr>
        <w:t xml:space="preserve">However, on April 3, 2018, the </w:t>
      </w:r>
      <w:r w:rsidRPr="001B04C0">
        <w:rPr>
          <w:rFonts w:ascii="Arial" w:hAnsi="Arial" w:cs="Arial"/>
          <w:i/>
        </w:rPr>
        <w:t>Local Planning Appeal Tribunal Act, 2017</w:t>
      </w:r>
      <w:r w:rsidRPr="001B04C0">
        <w:rPr>
          <w:rFonts w:ascii="Arial" w:hAnsi="Arial" w:cs="Arial"/>
        </w:rPr>
        <w:t xml:space="preserve"> (“LPATA”) was proclaimed, which provides that the Board will be continued as the Local Planning Appeal Tribunal (the “Tribunal”). </w:t>
      </w:r>
      <w:r w:rsidR="00B861DA">
        <w:rPr>
          <w:rFonts w:ascii="Arial" w:hAnsi="Arial" w:cs="Arial"/>
        </w:rPr>
        <w:t xml:space="preserve"> </w:t>
      </w:r>
      <w:r w:rsidRPr="001B04C0">
        <w:rPr>
          <w:rFonts w:ascii="Arial" w:hAnsi="Arial" w:cs="Arial"/>
        </w:rPr>
        <w:t>Because this memorandum of decision has been issued after the LPATA</w:t>
      </w:r>
      <w:r w:rsidRPr="00B861DA">
        <w:rPr>
          <w:rFonts w:ascii="Arial" w:hAnsi="Arial" w:cs="Arial"/>
        </w:rPr>
        <w:t xml:space="preserve"> proclamation</w:t>
      </w:r>
      <w:r w:rsidRPr="001B04C0">
        <w:rPr>
          <w:rFonts w:ascii="Arial" w:hAnsi="Arial" w:cs="Arial"/>
        </w:rPr>
        <w:t xml:space="preserve">, it is a decision issued by the Tribunal that documents an oral decision of the Board. </w:t>
      </w:r>
      <w:r w:rsidR="00B861DA">
        <w:rPr>
          <w:rFonts w:ascii="Arial" w:hAnsi="Arial" w:cs="Arial"/>
        </w:rPr>
        <w:t xml:space="preserve"> </w:t>
      </w:r>
      <w:r w:rsidRPr="001B04C0">
        <w:rPr>
          <w:rFonts w:ascii="Arial" w:hAnsi="Arial" w:cs="Arial"/>
        </w:rPr>
        <w:t>Any reference to the Board in this decision is therefore deemed to be a reference to the Tribunal.</w:t>
      </w:r>
    </w:p>
    <w:p w:rsidR="00DD2968" w:rsidRPr="007400D0" w:rsidRDefault="00DD2968" w:rsidP="00DD2968">
      <w:pPr>
        <w:numPr>
          <w:ilvl w:val="0"/>
          <w:numId w:val="31"/>
        </w:numPr>
        <w:spacing w:beforeLines="150" w:before="360" w:afterLines="150" w:after="360" w:line="360" w:lineRule="auto"/>
        <w:ind w:left="0" w:firstLine="0"/>
        <w:rPr>
          <w:rFonts w:ascii="Arial" w:hAnsi="Arial" w:cs="Arial"/>
          <w:lang w:val="en-CA"/>
        </w:rPr>
      </w:pPr>
      <w:r w:rsidRPr="007400D0">
        <w:rPr>
          <w:rFonts w:ascii="Arial" w:hAnsi="Arial" w:cs="Arial"/>
          <w:lang w:val="en-CA"/>
        </w:rPr>
        <w:t xml:space="preserve">This PHC was held to organize a hearing on the merits of appeals by the Applicant to the County’s failure to make a decision on the applications within the time prescribed by the </w:t>
      </w:r>
      <w:r w:rsidRPr="004468A7">
        <w:rPr>
          <w:rFonts w:ascii="Arial" w:hAnsi="Arial" w:cs="Arial"/>
          <w:i/>
          <w:lang w:val="en-CA"/>
        </w:rPr>
        <w:t>Planning Act</w:t>
      </w:r>
      <w:r w:rsidRPr="007400D0">
        <w:rPr>
          <w:rFonts w:ascii="Arial" w:hAnsi="Arial" w:cs="Arial"/>
          <w:lang w:val="en-CA"/>
        </w:rPr>
        <w:t>.</w:t>
      </w:r>
    </w:p>
    <w:p w:rsidR="00DD2968" w:rsidRPr="007400D0" w:rsidRDefault="00DD2968" w:rsidP="00DD2968">
      <w:pPr>
        <w:numPr>
          <w:ilvl w:val="0"/>
          <w:numId w:val="31"/>
        </w:numPr>
        <w:spacing w:beforeLines="150" w:before="360" w:afterLines="150" w:after="360" w:line="360" w:lineRule="auto"/>
        <w:ind w:left="0" w:firstLine="0"/>
        <w:rPr>
          <w:rFonts w:ascii="Arial" w:hAnsi="Arial" w:cs="Arial"/>
          <w:lang w:val="en-CA"/>
        </w:rPr>
      </w:pPr>
      <w:r w:rsidRPr="007400D0">
        <w:rPr>
          <w:rFonts w:ascii="Arial" w:hAnsi="Arial" w:cs="Arial"/>
          <w:lang w:val="en-CA"/>
        </w:rPr>
        <w:t>The Applicant seeks zoning and subdivision approval for a residential development comprising 230 detached dwellings and 64 townhouse dwellings in the northwest corner of Paris.  The property is located south of Watts Pond Road and east of Pinehurst Road.</w:t>
      </w:r>
    </w:p>
    <w:p w:rsidR="00DD2968" w:rsidRPr="007400D0" w:rsidRDefault="00DD2968" w:rsidP="00DD2968">
      <w:pPr>
        <w:numPr>
          <w:ilvl w:val="0"/>
          <w:numId w:val="31"/>
        </w:numPr>
        <w:spacing w:beforeLines="150" w:before="360" w:afterLines="150" w:after="360" w:line="360" w:lineRule="auto"/>
        <w:ind w:left="0" w:firstLine="0"/>
        <w:rPr>
          <w:rFonts w:ascii="Arial" w:hAnsi="Arial" w:cs="Arial"/>
          <w:lang w:val="en-CA"/>
        </w:rPr>
      </w:pPr>
      <w:r w:rsidRPr="007400D0">
        <w:rPr>
          <w:rFonts w:ascii="Arial" w:hAnsi="Arial" w:cs="Arial"/>
          <w:lang w:val="en-CA"/>
        </w:rPr>
        <w:lastRenderedPageBreak/>
        <w:t>Municipal services are being extended gradually towards the property from the east as the two adjacent developments proceed.  With the availability of services imminent, the Applicant wishes to proceed and acknowledges that servicing agreements are necessary with the adjacent developers.</w:t>
      </w:r>
    </w:p>
    <w:p w:rsidR="00C503C9" w:rsidRDefault="00DD2968" w:rsidP="00DD2968">
      <w:pPr>
        <w:numPr>
          <w:ilvl w:val="0"/>
          <w:numId w:val="31"/>
        </w:numPr>
        <w:spacing w:beforeLines="150" w:before="360" w:afterLines="150" w:after="360" w:line="360" w:lineRule="auto"/>
        <w:ind w:left="0" w:firstLine="0"/>
        <w:rPr>
          <w:rFonts w:ascii="Arial" w:hAnsi="Arial" w:cs="Arial"/>
          <w:lang w:val="en-CA"/>
        </w:rPr>
      </w:pPr>
      <w:r w:rsidRPr="007400D0">
        <w:rPr>
          <w:rFonts w:ascii="Arial" w:hAnsi="Arial" w:cs="Arial"/>
          <w:lang w:val="en-CA"/>
        </w:rPr>
        <w:t xml:space="preserve">The Applicant and County intend to meet in June 2018 with a view to resolving issues and reaching a settlement.  Further studies, if required to address issues or finalize a resolution, would be conducted in the fall of 2018.  </w:t>
      </w:r>
    </w:p>
    <w:p w:rsidR="00DD2968" w:rsidRPr="007400D0" w:rsidRDefault="00DD2968" w:rsidP="00DD2968">
      <w:pPr>
        <w:numPr>
          <w:ilvl w:val="0"/>
          <w:numId w:val="31"/>
        </w:numPr>
        <w:spacing w:beforeLines="150" w:before="360" w:afterLines="150" w:after="360" w:line="360" w:lineRule="auto"/>
        <w:ind w:left="0" w:firstLine="0"/>
        <w:rPr>
          <w:rFonts w:ascii="Arial" w:hAnsi="Arial" w:cs="Arial"/>
          <w:lang w:val="en-CA"/>
        </w:rPr>
      </w:pPr>
      <w:r w:rsidRPr="007400D0">
        <w:rPr>
          <w:rFonts w:ascii="Arial" w:hAnsi="Arial" w:cs="Arial"/>
          <w:lang w:val="en-CA"/>
        </w:rPr>
        <w:t>Because a statutory public meeting was not held by the County for these applications, the Board</w:t>
      </w:r>
      <w:bookmarkStart w:id="3" w:name="_GoBack"/>
      <w:bookmarkEnd w:id="3"/>
      <w:r w:rsidRPr="007400D0">
        <w:rPr>
          <w:rFonts w:ascii="Arial" w:hAnsi="Arial" w:cs="Arial"/>
          <w:lang w:val="en-CA"/>
        </w:rPr>
        <w:t xml:space="preserve"> encouraged the County and Applicant to convene a public information meeting at a suitable time during their deliberations.  The County also offered to meet with the Participants registered at this PHC to share information and to hear their concerns.</w:t>
      </w:r>
    </w:p>
    <w:p w:rsidR="00DD2968" w:rsidRPr="007400D0" w:rsidRDefault="00DD2968" w:rsidP="00B861DA">
      <w:pPr>
        <w:numPr>
          <w:ilvl w:val="0"/>
          <w:numId w:val="31"/>
        </w:numPr>
        <w:spacing w:beforeLines="150" w:before="360" w:afterLines="150" w:after="360" w:line="360" w:lineRule="auto"/>
        <w:ind w:left="0" w:firstLine="0"/>
        <w:rPr>
          <w:rFonts w:ascii="Arial" w:hAnsi="Arial" w:cs="Arial"/>
          <w:lang w:val="en-CA"/>
        </w:rPr>
      </w:pPr>
      <w:r w:rsidRPr="007400D0">
        <w:rPr>
          <w:rFonts w:ascii="Arial" w:hAnsi="Arial" w:cs="Arial"/>
          <w:lang w:val="en-CA"/>
        </w:rPr>
        <w:t>If a settlement is reached, the next PHC may become a Settlement Hearing.  In that event, the Applicant undertook to provide the settlement to the Parties and Participants in advance of the PHC / Settlement Hearing.  If a settlement is not reached, the next PHC will address arrangements for the eventual hearing.</w:t>
      </w:r>
    </w:p>
    <w:p w:rsidR="00DD2968" w:rsidRPr="007400D0" w:rsidRDefault="00DD2968" w:rsidP="00B861DA">
      <w:pPr>
        <w:numPr>
          <w:ilvl w:val="0"/>
          <w:numId w:val="31"/>
        </w:numPr>
        <w:spacing w:beforeLines="150" w:before="360" w:afterLines="150" w:after="360" w:line="360" w:lineRule="auto"/>
        <w:ind w:left="0" w:firstLine="0"/>
        <w:rPr>
          <w:rFonts w:ascii="Arial" w:hAnsi="Arial" w:cs="Arial"/>
          <w:lang w:val="en-CA"/>
        </w:rPr>
      </w:pPr>
      <w:r w:rsidRPr="007400D0">
        <w:rPr>
          <w:rFonts w:ascii="Arial" w:hAnsi="Arial" w:cs="Arial"/>
          <w:lang w:val="en-CA"/>
        </w:rPr>
        <w:t xml:space="preserve">The parties understand that if a settlement is not reached, hearing dates will not be scheduled at the next PHC unless an agreed </w:t>
      </w:r>
      <w:r w:rsidR="002B7494">
        <w:rPr>
          <w:rFonts w:ascii="Arial" w:hAnsi="Arial" w:cs="Arial"/>
          <w:lang w:val="en-CA"/>
        </w:rPr>
        <w:t xml:space="preserve">upon </w:t>
      </w:r>
      <w:r w:rsidRPr="007400D0">
        <w:rPr>
          <w:rFonts w:ascii="Arial" w:hAnsi="Arial" w:cs="Arial"/>
          <w:lang w:val="en-CA"/>
        </w:rPr>
        <w:t xml:space="preserve">Procedural Order, including a scoped Issues List, is presented for approval. </w:t>
      </w:r>
    </w:p>
    <w:p w:rsidR="00DD2968" w:rsidRPr="007400D0" w:rsidRDefault="00DD2968" w:rsidP="00B861DA">
      <w:pPr>
        <w:spacing w:beforeLines="150" w:before="360" w:afterLines="150" w:after="360" w:line="360" w:lineRule="auto"/>
        <w:rPr>
          <w:rFonts w:ascii="Arial" w:hAnsi="Arial" w:cs="Arial"/>
          <w:b/>
          <w:lang w:val="en-CA"/>
        </w:rPr>
      </w:pPr>
      <w:r w:rsidRPr="007400D0">
        <w:rPr>
          <w:rFonts w:ascii="Arial" w:hAnsi="Arial" w:cs="Arial"/>
          <w:b/>
          <w:lang w:val="en-CA"/>
        </w:rPr>
        <w:t>PARTIES AND PARTICIPANTS</w:t>
      </w:r>
    </w:p>
    <w:p w:rsidR="00DD2968" w:rsidRPr="007400D0" w:rsidRDefault="00DD2968" w:rsidP="00B861DA">
      <w:pPr>
        <w:numPr>
          <w:ilvl w:val="0"/>
          <w:numId w:val="31"/>
        </w:numPr>
        <w:spacing w:beforeLines="150" w:before="360" w:afterLines="150" w:after="360" w:line="360" w:lineRule="auto"/>
        <w:ind w:left="0" w:firstLine="0"/>
        <w:rPr>
          <w:rFonts w:ascii="Arial" w:hAnsi="Arial" w:cs="Arial"/>
          <w:lang w:val="en-CA"/>
        </w:rPr>
      </w:pPr>
      <w:r w:rsidRPr="007400D0">
        <w:rPr>
          <w:rFonts w:ascii="Arial" w:hAnsi="Arial" w:cs="Arial"/>
          <w:lang w:val="en-CA"/>
        </w:rPr>
        <w:t>By letter from its Counsel, Brookfield Homes (Ontario) Limited, developer of the land to the east of this property, requested Party status.  On consent, the Board granted Party status to Brookfield Homes (Ontario) Limited.</w:t>
      </w:r>
    </w:p>
    <w:p w:rsidR="00DD2968" w:rsidRPr="007400D0" w:rsidRDefault="00DD2968" w:rsidP="00DD2968">
      <w:pPr>
        <w:numPr>
          <w:ilvl w:val="0"/>
          <w:numId w:val="31"/>
        </w:numPr>
        <w:spacing w:beforeLines="150" w:before="360" w:afterLines="150" w:after="360" w:line="360" w:lineRule="auto"/>
        <w:ind w:left="0" w:firstLine="0"/>
        <w:rPr>
          <w:rFonts w:ascii="Arial" w:hAnsi="Arial" w:cs="Arial"/>
          <w:lang w:val="en-CA"/>
        </w:rPr>
      </w:pPr>
      <w:r w:rsidRPr="007400D0">
        <w:rPr>
          <w:rFonts w:ascii="Arial" w:hAnsi="Arial" w:cs="Arial"/>
          <w:lang w:val="en-CA"/>
        </w:rPr>
        <w:t>Gideon Bell, Counsel for 1486563 Ontario Inc., requested Participant status for this owner of the land abutting to the east on which a draft plan of subdivision is registered.  When questioned by the Board, Mr. Bell reiterated that Participant status was sought.  The Board granted Participant status to 1486563 Ontario Inc.</w:t>
      </w:r>
    </w:p>
    <w:p w:rsidR="00DD2968" w:rsidRPr="007400D0" w:rsidRDefault="00DD2968" w:rsidP="00B861DA">
      <w:pPr>
        <w:numPr>
          <w:ilvl w:val="0"/>
          <w:numId w:val="31"/>
        </w:numPr>
        <w:spacing w:beforeLines="150" w:before="360" w:afterLines="150" w:after="360" w:line="360" w:lineRule="auto"/>
        <w:ind w:left="0" w:firstLine="0"/>
        <w:rPr>
          <w:rFonts w:ascii="Arial" w:hAnsi="Arial" w:cs="Arial"/>
          <w:lang w:val="en-CA"/>
        </w:rPr>
      </w:pPr>
      <w:r w:rsidRPr="007400D0">
        <w:rPr>
          <w:rFonts w:ascii="Arial" w:hAnsi="Arial" w:cs="Arial"/>
          <w:lang w:val="en-CA"/>
        </w:rPr>
        <w:t xml:space="preserve">Participant status was requested by and granted to residents Susan </w:t>
      </w:r>
      <w:proofErr w:type="spellStart"/>
      <w:r w:rsidRPr="007400D0">
        <w:rPr>
          <w:rFonts w:ascii="Arial" w:hAnsi="Arial" w:cs="Arial"/>
          <w:lang w:val="en-CA"/>
        </w:rPr>
        <w:t>Desroches</w:t>
      </w:r>
      <w:proofErr w:type="spellEnd"/>
      <w:r w:rsidRPr="007400D0">
        <w:rPr>
          <w:rFonts w:ascii="Arial" w:hAnsi="Arial" w:cs="Arial"/>
          <w:lang w:val="en-CA"/>
        </w:rPr>
        <w:t xml:space="preserve"> and Mary Taylor.  Two other residents, Bradley Lewis and John </w:t>
      </w:r>
      <w:proofErr w:type="spellStart"/>
      <w:r w:rsidRPr="007400D0">
        <w:rPr>
          <w:rFonts w:ascii="Arial" w:hAnsi="Arial" w:cs="Arial"/>
          <w:lang w:val="en-CA"/>
        </w:rPr>
        <w:t>Carr</w:t>
      </w:r>
      <w:proofErr w:type="spellEnd"/>
      <w:r w:rsidRPr="007400D0">
        <w:rPr>
          <w:rFonts w:ascii="Arial" w:hAnsi="Arial" w:cs="Arial"/>
          <w:lang w:val="en-CA"/>
        </w:rPr>
        <w:t>, requested to be added to the circulation list but did not request Participant status.</w:t>
      </w:r>
    </w:p>
    <w:p w:rsidR="00DD2968" w:rsidRPr="007400D0" w:rsidRDefault="00DD2968" w:rsidP="00B861DA">
      <w:pPr>
        <w:spacing w:beforeLines="150" w:before="360" w:afterLines="150" w:after="360" w:line="360" w:lineRule="auto"/>
        <w:rPr>
          <w:rFonts w:ascii="Arial" w:hAnsi="Arial" w:cs="Arial"/>
          <w:lang w:val="en-CA"/>
        </w:rPr>
      </w:pPr>
      <w:r w:rsidRPr="007400D0">
        <w:rPr>
          <w:rFonts w:ascii="Arial" w:hAnsi="Arial" w:cs="Arial"/>
          <w:b/>
          <w:lang w:val="en-CA"/>
        </w:rPr>
        <w:t>ORDER</w:t>
      </w:r>
    </w:p>
    <w:p w:rsidR="00DD2968" w:rsidRPr="007400D0" w:rsidRDefault="00DD2968" w:rsidP="00B861DA">
      <w:pPr>
        <w:numPr>
          <w:ilvl w:val="0"/>
          <w:numId w:val="31"/>
        </w:numPr>
        <w:spacing w:beforeLines="150" w:before="360" w:afterLines="150" w:after="360" w:line="360" w:lineRule="auto"/>
        <w:ind w:left="0" w:firstLine="0"/>
        <w:rPr>
          <w:rFonts w:ascii="Arial" w:hAnsi="Arial" w:cs="Arial"/>
          <w:lang w:val="en-CA"/>
        </w:rPr>
      </w:pPr>
      <w:r w:rsidRPr="007400D0">
        <w:rPr>
          <w:rFonts w:ascii="Arial" w:hAnsi="Arial" w:cs="Arial"/>
          <w:lang w:val="en-CA"/>
        </w:rPr>
        <w:t xml:space="preserve">The </w:t>
      </w:r>
      <w:r w:rsidR="002B7494">
        <w:rPr>
          <w:rFonts w:ascii="Arial" w:hAnsi="Arial" w:cs="Arial"/>
          <w:lang w:val="en-CA"/>
        </w:rPr>
        <w:t>Tribunal</w:t>
      </w:r>
      <w:r w:rsidRPr="007400D0">
        <w:rPr>
          <w:rFonts w:ascii="Arial" w:hAnsi="Arial" w:cs="Arial"/>
          <w:lang w:val="en-CA"/>
        </w:rPr>
        <w:t xml:space="preserve"> orders that Party and Participant status were granted as noted above.</w:t>
      </w:r>
    </w:p>
    <w:p w:rsidR="00DD2968" w:rsidRPr="007400D0" w:rsidRDefault="00DD2968" w:rsidP="00B861DA">
      <w:pPr>
        <w:numPr>
          <w:ilvl w:val="0"/>
          <w:numId w:val="31"/>
        </w:numPr>
        <w:spacing w:beforeLines="150" w:before="360" w:afterLines="150" w:after="360" w:line="360" w:lineRule="auto"/>
        <w:ind w:left="0" w:firstLine="0"/>
        <w:rPr>
          <w:rFonts w:ascii="Arial" w:hAnsi="Arial" w:cs="Arial"/>
          <w:lang w:val="en-CA"/>
        </w:rPr>
      </w:pPr>
      <w:r w:rsidRPr="007400D0">
        <w:rPr>
          <w:rFonts w:ascii="Arial" w:hAnsi="Arial" w:cs="Arial"/>
          <w:lang w:val="en-CA"/>
        </w:rPr>
        <w:t xml:space="preserve">The next PHC / Settlement Hearing will be held at </w:t>
      </w:r>
      <w:r w:rsidRPr="007400D0">
        <w:rPr>
          <w:rFonts w:ascii="Arial" w:hAnsi="Arial" w:cs="Arial"/>
          <w:b/>
          <w:lang w:val="en-CA"/>
        </w:rPr>
        <w:t>10</w:t>
      </w:r>
      <w:r w:rsidR="004468A7">
        <w:rPr>
          <w:rFonts w:ascii="Arial" w:hAnsi="Arial" w:cs="Arial"/>
          <w:b/>
          <w:lang w:val="en-CA"/>
        </w:rPr>
        <w:t xml:space="preserve"> </w:t>
      </w:r>
      <w:r w:rsidRPr="007400D0">
        <w:rPr>
          <w:rFonts w:ascii="Arial" w:hAnsi="Arial" w:cs="Arial"/>
          <w:b/>
          <w:lang w:val="en-CA"/>
        </w:rPr>
        <w:t>a.m.</w:t>
      </w:r>
      <w:r w:rsidRPr="007400D0">
        <w:rPr>
          <w:rFonts w:ascii="Arial" w:hAnsi="Arial" w:cs="Arial"/>
          <w:lang w:val="en-CA"/>
        </w:rPr>
        <w:t xml:space="preserve"> </w:t>
      </w:r>
      <w:r w:rsidRPr="00B861DA">
        <w:rPr>
          <w:rFonts w:ascii="Arial" w:hAnsi="Arial" w:cs="Arial"/>
          <w:lang w:val="en-CA"/>
        </w:rPr>
        <w:t>on</w:t>
      </w:r>
      <w:r w:rsidRPr="007400D0">
        <w:rPr>
          <w:rFonts w:ascii="Arial" w:hAnsi="Arial" w:cs="Arial"/>
          <w:lang w:val="en-CA"/>
        </w:rPr>
        <w:t xml:space="preserve"> </w:t>
      </w:r>
      <w:r w:rsidRPr="007400D0">
        <w:rPr>
          <w:rFonts w:ascii="Arial" w:hAnsi="Arial" w:cs="Arial"/>
          <w:b/>
          <w:lang w:val="en-CA"/>
        </w:rPr>
        <w:t>Monday, December 3, 2018</w:t>
      </w:r>
      <w:r w:rsidRPr="007400D0">
        <w:rPr>
          <w:rFonts w:ascii="Arial" w:hAnsi="Arial" w:cs="Arial"/>
          <w:lang w:val="en-CA"/>
        </w:rPr>
        <w:t xml:space="preserve"> at:</w:t>
      </w:r>
    </w:p>
    <w:p w:rsidR="00DD2968" w:rsidRPr="007400D0" w:rsidRDefault="00DD2968" w:rsidP="00DD2968">
      <w:pPr>
        <w:jc w:val="center"/>
        <w:rPr>
          <w:rFonts w:ascii="Arial" w:hAnsi="Arial" w:cs="Arial"/>
          <w:b/>
        </w:rPr>
      </w:pPr>
      <w:r w:rsidRPr="007400D0">
        <w:rPr>
          <w:rFonts w:ascii="Arial" w:hAnsi="Arial" w:cs="Arial"/>
          <w:b/>
        </w:rPr>
        <w:t>Council Chamber</w:t>
      </w:r>
      <w:r w:rsidR="002B7494">
        <w:rPr>
          <w:rFonts w:ascii="Arial" w:hAnsi="Arial" w:cs="Arial"/>
          <w:b/>
        </w:rPr>
        <w:t xml:space="preserve">, County </w:t>
      </w:r>
      <w:r w:rsidR="004468A7">
        <w:rPr>
          <w:rFonts w:ascii="Arial" w:hAnsi="Arial" w:cs="Arial"/>
          <w:b/>
        </w:rPr>
        <w:t xml:space="preserve">of </w:t>
      </w:r>
      <w:r w:rsidR="002B7494">
        <w:rPr>
          <w:rFonts w:ascii="Arial" w:hAnsi="Arial" w:cs="Arial"/>
          <w:b/>
        </w:rPr>
        <w:t>Brant</w:t>
      </w:r>
    </w:p>
    <w:p w:rsidR="00DD2968" w:rsidRPr="007400D0" w:rsidRDefault="00DD2968" w:rsidP="00DD2968">
      <w:pPr>
        <w:jc w:val="center"/>
        <w:rPr>
          <w:rFonts w:ascii="Arial" w:hAnsi="Arial" w:cs="Arial"/>
          <w:b/>
        </w:rPr>
      </w:pPr>
      <w:r w:rsidRPr="007400D0">
        <w:rPr>
          <w:rFonts w:ascii="Arial" w:hAnsi="Arial" w:cs="Arial"/>
          <w:b/>
        </w:rPr>
        <w:t>7 Broadway Street West</w:t>
      </w:r>
    </w:p>
    <w:p w:rsidR="00DD2968" w:rsidRPr="007400D0" w:rsidRDefault="00DD2968" w:rsidP="006E0D56">
      <w:pPr>
        <w:spacing w:line="360" w:lineRule="auto"/>
        <w:jc w:val="center"/>
        <w:rPr>
          <w:rFonts w:ascii="Arial" w:hAnsi="Arial" w:cs="Arial"/>
          <w:b/>
        </w:rPr>
      </w:pPr>
      <w:r w:rsidRPr="007400D0">
        <w:rPr>
          <w:rFonts w:ascii="Arial" w:hAnsi="Arial" w:cs="Arial"/>
          <w:b/>
        </w:rPr>
        <w:t>Paris, Ontario</w:t>
      </w:r>
    </w:p>
    <w:p w:rsidR="00DD2968" w:rsidRPr="007400D0" w:rsidRDefault="00DD2968" w:rsidP="00DD2968">
      <w:pPr>
        <w:numPr>
          <w:ilvl w:val="0"/>
          <w:numId w:val="31"/>
        </w:numPr>
        <w:spacing w:beforeLines="150" w:before="360" w:afterLines="150" w:after="360" w:line="360" w:lineRule="auto"/>
        <w:ind w:left="0" w:firstLine="0"/>
        <w:rPr>
          <w:rFonts w:ascii="Arial" w:hAnsi="Arial" w:cs="Arial"/>
          <w:lang w:val="en-CA"/>
        </w:rPr>
      </w:pPr>
      <w:r w:rsidRPr="007400D0">
        <w:rPr>
          <w:rFonts w:ascii="Arial" w:hAnsi="Arial" w:cs="Arial"/>
          <w:lang w:val="en-CA"/>
        </w:rPr>
        <w:t>No further notice will be given.</w:t>
      </w:r>
    </w:p>
    <w:p w:rsidR="00DD2968" w:rsidRPr="007400D0" w:rsidRDefault="00DD2968" w:rsidP="00DD2968">
      <w:pPr>
        <w:numPr>
          <w:ilvl w:val="0"/>
          <w:numId w:val="31"/>
        </w:numPr>
        <w:spacing w:beforeLines="150" w:before="360" w:afterLines="150" w:after="360" w:line="360" w:lineRule="auto"/>
        <w:ind w:left="0" w:firstLine="0"/>
        <w:rPr>
          <w:rFonts w:ascii="Arial" w:hAnsi="Arial" w:cs="Arial"/>
          <w:lang w:val="en-CA"/>
        </w:rPr>
      </w:pPr>
      <w:r w:rsidRPr="007400D0">
        <w:rPr>
          <w:rFonts w:ascii="Arial" w:hAnsi="Arial" w:cs="Arial"/>
          <w:lang w:val="en-CA"/>
        </w:rPr>
        <w:t xml:space="preserve">This Board Member is not seized. </w:t>
      </w:r>
    </w:p>
    <w:p w:rsidR="00DD2968" w:rsidRPr="007400D0" w:rsidRDefault="00DD2968" w:rsidP="00DD2968">
      <w:pPr>
        <w:rPr>
          <w:rFonts w:ascii="Arial" w:hAnsi="Arial" w:cs="Arial"/>
          <w:lang w:val="en-CA"/>
        </w:rPr>
      </w:pPr>
    </w:p>
    <w:p w:rsidR="00DD2968" w:rsidRPr="007400D0" w:rsidRDefault="00DD2968" w:rsidP="00DD2968">
      <w:pPr>
        <w:rPr>
          <w:rFonts w:ascii="Arial" w:hAnsi="Arial" w:cs="Arial"/>
          <w:lang w:val="en-CA"/>
        </w:rPr>
      </w:pPr>
    </w:p>
    <w:p w:rsidR="00DD2968" w:rsidRPr="007400D0" w:rsidRDefault="00DD2968" w:rsidP="00DD2968">
      <w:pPr>
        <w:rPr>
          <w:rFonts w:ascii="Arial" w:hAnsi="Arial" w:cs="Arial"/>
          <w:lang w:val="en-CA"/>
        </w:rPr>
      </w:pPr>
    </w:p>
    <w:p w:rsidR="00DD2968" w:rsidRPr="007400D0" w:rsidRDefault="00DD2968" w:rsidP="00DD2968">
      <w:pPr>
        <w:jc w:val="right"/>
        <w:rPr>
          <w:rFonts w:ascii="Arial" w:hAnsi="Arial" w:cs="Arial"/>
          <w:lang w:val="en-CA"/>
        </w:rPr>
      </w:pPr>
      <w:r w:rsidRPr="007400D0">
        <w:rPr>
          <w:rFonts w:ascii="Arial" w:hAnsi="Arial" w:cs="Arial"/>
          <w:lang w:val="en-CA"/>
        </w:rPr>
        <w:t>“</w:t>
      </w:r>
      <w:r w:rsidRPr="007400D0">
        <w:rPr>
          <w:rFonts w:ascii="Arial" w:hAnsi="Arial" w:cs="Arial"/>
          <w:i/>
          <w:lang w:val="en-CA"/>
        </w:rPr>
        <w:t>S. Tousaw</w:t>
      </w:r>
      <w:r w:rsidRPr="007400D0">
        <w:rPr>
          <w:rFonts w:ascii="Arial" w:hAnsi="Arial" w:cs="Arial"/>
          <w:lang w:val="en-CA"/>
        </w:rPr>
        <w:t>”</w:t>
      </w:r>
    </w:p>
    <w:p w:rsidR="00DD2968" w:rsidRPr="007400D0" w:rsidRDefault="00DD2968" w:rsidP="00DD2968">
      <w:pPr>
        <w:rPr>
          <w:rFonts w:ascii="Arial" w:hAnsi="Arial" w:cs="Arial"/>
          <w:lang w:val="en-CA"/>
        </w:rPr>
      </w:pPr>
    </w:p>
    <w:p w:rsidR="00DD2968" w:rsidRPr="007400D0" w:rsidRDefault="00DD2968" w:rsidP="00DD2968">
      <w:pPr>
        <w:rPr>
          <w:rFonts w:ascii="Arial" w:hAnsi="Arial" w:cs="Arial"/>
          <w:lang w:val="en-CA"/>
        </w:rPr>
      </w:pPr>
    </w:p>
    <w:p w:rsidR="00DD2968" w:rsidRPr="007400D0" w:rsidRDefault="00DD2968" w:rsidP="00DD2968">
      <w:pPr>
        <w:jc w:val="right"/>
        <w:rPr>
          <w:rFonts w:ascii="Arial" w:hAnsi="Arial" w:cs="Arial"/>
          <w:lang w:val="en-CA"/>
        </w:rPr>
      </w:pPr>
      <w:r w:rsidRPr="007400D0">
        <w:rPr>
          <w:rFonts w:ascii="Arial" w:hAnsi="Arial" w:cs="Arial"/>
          <w:lang w:val="en-CA"/>
        </w:rPr>
        <w:t>S. TOUSAW</w:t>
      </w:r>
    </w:p>
    <w:p w:rsidR="00DD2968" w:rsidRPr="007400D0" w:rsidRDefault="00DD2968" w:rsidP="00DD2968">
      <w:pPr>
        <w:jc w:val="right"/>
        <w:rPr>
          <w:rFonts w:ascii="Arial" w:hAnsi="Arial" w:cs="Arial"/>
          <w:lang w:val="en-CA" w:eastAsia="en-CA"/>
        </w:rPr>
      </w:pPr>
      <w:r w:rsidRPr="007400D0">
        <w:rPr>
          <w:rFonts w:ascii="Arial" w:hAnsi="Arial" w:cs="Arial"/>
          <w:lang w:val="en-CA"/>
        </w:rPr>
        <w:t>MEMBER</w:t>
      </w:r>
    </w:p>
    <w:p w:rsidR="00935095" w:rsidRPr="001D67CE" w:rsidRDefault="00935095" w:rsidP="005554F9">
      <w:pPr>
        <w:keepLines/>
        <w:rPr>
          <w:rFonts w:ascii="Arial" w:hAnsi="Arial" w:cs="Arial"/>
        </w:rPr>
      </w:pPr>
    </w:p>
    <w:p w:rsidR="00935095" w:rsidRPr="001D67CE" w:rsidRDefault="00935095" w:rsidP="002159B4">
      <w:pPr>
        <w:rPr>
          <w:rFonts w:ascii="Arial" w:hAnsi="Arial" w:cs="Arial"/>
        </w:rPr>
      </w:pPr>
    </w:p>
    <w:p w:rsidR="00D265BD" w:rsidRPr="001D67CE" w:rsidRDefault="00D265BD" w:rsidP="002159B4">
      <w:pPr>
        <w:rPr>
          <w:rFonts w:ascii="Arial" w:hAnsi="Arial" w:cs="Arial"/>
        </w:rPr>
      </w:pPr>
    </w:p>
    <w:p w:rsidR="00D265BD" w:rsidRPr="001D67CE" w:rsidRDefault="00D265BD" w:rsidP="002159B4">
      <w:pPr>
        <w:rPr>
          <w:rFonts w:ascii="Arial" w:hAnsi="Arial" w:cs="Arial"/>
        </w:rPr>
      </w:pPr>
    </w:p>
    <w:p w:rsidR="00D265BD" w:rsidRPr="001D67CE" w:rsidRDefault="00D265BD" w:rsidP="002159B4">
      <w:pPr>
        <w:rPr>
          <w:rFonts w:ascii="Arial" w:hAnsi="Arial" w:cs="Arial"/>
        </w:rPr>
      </w:pPr>
    </w:p>
    <w:p w:rsidR="00D265BD" w:rsidRPr="001D67CE" w:rsidRDefault="00D265BD" w:rsidP="002159B4">
      <w:pPr>
        <w:rPr>
          <w:rFonts w:ascii="Arial" w:hAnsi="Arial" w:cs="Arial"/>
        </w:rPr>
      </w:pPr>
    </w:p>
    <w:p w:rsidR="00627521" w:rsidRPr="001D67CE" w:rsidRDefault="00627521" w:rsidP="002159B4">
      <w:pPr>
        <w:rPr>
          <w:rFonts w:ascii="Arial" w:hAnsi="Arial" w:cs="Arial"/>
        </w:rPr>
      </w:pPr>
    </w:p>
    <w:p w:rsidR="00627521" w:rsidRDefault="00627521" w:rsidP="002159B4">
      <w:pPr>
        <w:rPr>
          <w:rFonts w:ascii="Arial" w:hAnsi="Arial" w:cs="Arial"/>
        </w:rPr>
      </w:pPr>
    </w:p>
    <w:p w:rsidR="00B861DA" w:rsidRDefault="00B861DA" w:rsidP="002159B4">
      <w:pPr>
        <w:rPr>
          <w:rFonts w:ascii="Arial" w:hAnsi="Arial" w:cs="Arial"/>
        </w:rPr>
      </w:pPr>
    </w:p>
    <w:p w:rsidR="00B861DA" w:rsidRDefault="00B861DA" w:rsidP="002159B4">
      <w:pPr>
        <w:rPr>
          <w:rFonts w:ascii="Arial" w:hAnsi="Arial" w:cs="Arial"/>
        </w:rPr>
      </w:pPr>
    </w:p>
    <w:p w:rsidR="00B861DA" w:rsidRDefault="00B861DA" w:rsidP="002159B4">
      <w:pPr>
        <w:rPr>
          <w:rFonts w:ascii="Arial" w:hAnsi="Arial" w:cs="Arial"/>
        </w:rPr>
      </w:pPr>
    </w:p>
    <w:p w:rsidR="00B861DA" w:rsidRDefault="00B861DA" w:rsidP="002159B4">
      <w:pPr>
        <w:rPr>
          <w:rFonts w:ascii="Arial" w:hAnsi="Arial" w:cs="Arial"/>
        </w:rPr>
      </w:pPr>
    </w:p>
    <w:p w:rsidR="00B861DA" w:rsidRDefault="00B861DA" w:rsidP="002159B4">
      <w:pPr>
        <w:rPr>
          <w:rFonts w:ascii="Arial" w:hAnsi="Arial" w:cs="Arial"/>
        </w:rPr>
      </w:pPr>
    </w:p>
    <w:p w:rsidR="00B861DA" w:rsidRDefault="00B861DA" w:rsidP="002159B4">
      <w:pPr>
        <w:rPr>
          <w:rFonts w:ascii="Arial" w:hAnsi="Arial" w:cs="Arial"/>
        </w:rPr>
      </w:pPr>
    </w:p>
    <w:p w:rsidR="00B861DA" w:rsidRDefault="00B861DA" w:rsidP="002159B4">
      <w:pPr>
        <w:rPr>
          <w:rFonts w:ascii="Arial" w:hAnsi="Arial" w:cs="Arial"/>
        </w:rPr>
      </w:pPr>
    </w:p>
    <w:p w:rsidR="00B861DA" w:rsidRDefault="00B861DA" w:rsidP="002159B4">
      <w:pPr>
        <w:rPr>
          <w:rFonts w:ascii="Arial" w:hAnsi="Arial" w:cs="Arial"/>
        </w:rPr>
      </w:pPr>
    </w:p>
    <w:p w:rsidR="00B861DA" w:rsidRDefault="00B861DA" w:rsidP="002159B4">
      <w:pPr>
        <w:rPr>
          <w:rFonts w:ascii="Arial" w:hAnsi="Arial" w:cs="Arial"/>
        </w:rPr>
      </w:pPr>
    </w:p>
    <w:p w:rsidR="00B861DA" w:rsidRDefault="00B861DA" w:rsidP="002159B4">
      <w:pPr>
        <w:rPr>
          <w:rFonts w:ascii="Arial" w:hAnsi="Arial" w:cs="Arial"/>
        </w:rPr>
      </w:pPr>
    </w:p>
    <w:p w:rsidR="00B861DA" w:rsidRDefault="00B861DA" w:rsidP="002159B4">
      <w:pPr>
        <w:rPr>
          <w:rFonts w:ascii="Arial" w:hAnsi="Arial" w:cs="Arial"/>
        </w:rPr>
      </w:pPr>
    </w:p>
    <w:p w:rsidR="00B861DA" w:rsidRDefault="00B861DA" w:rsidP="002159B4">
      <w:pPr>
        <w:rPr>
          <w:rFonts w:ascii="Arial" w:hAnsi="Arial" w:cs="Arial"/>
        </w:rPr>
      </w:pPr>
    </w:p>
    <w:p w:rsidR="00B861DA" w:rsidRDefault="00B861DA" w:rsidP="002159B4">
      <w:pPr>
        <w:rPr>
          <w:rFonts w:ascii="Arial" w:hAnsi="Arial" w:cs="Arial"/>
        </w:rPr>
      </w:pPr>
    </w:p>
    <w:p w:rsidR="00B861DA" w:rsidRDefault="00B861DA" w:rsidP="002159B4">
      <w:pPr>
        <w:rPr>
          <w:rFonts w:ascii="Arial" w:hAnsi="Arial" w:cs="Arial"/>
        </w:rPr>
      </w:pPr>
    </w:p>
    <w:p w:rsidR="00B861DA" w:rsidRDefault="00B861DA" w:rsidP="002159B4">
      <w:pPr>
        <w:rPr>
          <w:rFonts w:ascii="Arial" w:hAnsi="Arial" w:cs="Arial"/>
        </w:rPr>
      </w:pPr>
    </w:p>
    <w:p w:rsidR="00B861DA" w:rsidRDefault="00B861DA" w:rsidP="002159B4">
      <w:pPr>
        <w:rPr>
          <w:rFonts w:ascii="Arial" w:hAnsi="Arial" w:cs="Arial"/>
        </w:rPr>
      </w:pPr>
    </w:p>
    <w:p w:rsidR="00B861DA" w:rsidRDefault="00B861DA" w:rsidP="002159B4">
      <w:pPr>
        <w:rPr>
          <w:rFonts w:ascii="Arial" w:hAnsi="Arial" w:cs="Arial"/>
        </w:rPr>
      </w:pPr>
    </w:p>
    <w:p w:rsidR="00B861DA" w:rsidRDefault="00B861DA" w:rsidP="002159B4">
      <w:pPr>
        <w:rPr>
          <w:rFonts w:ascii="Arial" w:hAnsi="Arial" w:cs="Arial"/>
        </w:rPr>
      </w:pPr>
    </w:p>
    <w:p w:rsidR="00B861DA" w:rsidRDefault="00B861DA" w:rsidP="002159B4">
      <w:pPr>
        <w:rPr>
          <w:rFonts w:ascii="Arial" w:hAnsi="Arial" w:cs="Arial"/>
        </w:rPr>
      </w:pPr>
    </w:p>
    <w:p w:rsidR="00B861DA" w:rsidRDefault="00B861DA" w:rsidP="002159B4">
      <w:pPr>
        <w:rPr>
          <w:rFonts w:ascii="Arial" w:hAnsi="Arial" w:cs="Arial"/>
        </w:rPr>
      </w:pPr>
    </w:p>
    <w:p w:rsidR="00B861DA" w:rsidRDefault="00B861DA" w:rsidP="002159B4">
      <w:pPr>
        <w:rPr>
          <w:rFonts w:ascii="Arial" w:hAnsi="Arial" w:cs="Arial"/>
        </w:rPr>
      </w:pPr>
    </w:p>
    <w:p w:rsidR="00B861DA" w:rsidRDefault="00B861DA" w:rsidP="002159B4">
      <w:pPr>
        <w:rPr>
          <w:rFonts w:ascii="Arial" w:hAnsi="Arial" w:cs="Arial"/>
        </w:rPr>
      </w:pPr>
    </w:p>
    <w:p w:rsidR="00B861DA" w:rsidRDefault="00B861DA" w:rsidP="002159B4">
      <w:pPr>
        <w:rPr>
          <w:rFonts w:ascii="Arial" w:hAnsi="Arial" w:cs="Arial"/>
        </w:rPr>
      </w:pPr>
    </w:p>
    <w:p w:rsidR="00B861DA" w:rsidRDefault="00B861DA" w:rsidP="002159B4">
      <w:pPr>
        <w:rPr>
          <w:rFonts w:ascii="Arial" w:hAnsi="Arial" w:cs="Arial"/>
        </w:rPr>
      </w:pPr>
    </w:p>
    <w:p w:rsidR="00B861DA" w:rsidRDefault="00B861DA" w:rsidP="002159B4">
      <w:pPr>
        <w:rPr>
          <w:rFonts w:ascii="Arial" w:hAnsi="Arial" w:cs="Arial"/>
        </w:rPr>
      </w:pPr>
    </w:p>
    <w:p w:rsidR="00B861DA" w:rsidRDefault="00B861DA" w:rsidP="002159B4">
      <w:pPr>
        <w:rPr>
          <w:rFonts w:ascii="Arial" w:hAnsi="Arial" w:cs="Arial"/>
        </w:rPr>
      </w:pPr>
    </w:p>
    <w:p w:rsidR="00B861DA" w:rsidRDefault="00B861DA" w:rsidP="002159B4">
      <w:pPr>
        <w:rPr>
          <w:rFonts w:ascii="Arial" w:hAnsi="Arial" w:cs="Arial"/>
        </w:rPr>
      </w:pPr>
    </w:p>
    <w:p w:rsidR="00B861DA" w:rsidRDefault="00B861DA" w:rsidP="002159B4">
      <w:pPr>
        <w:rPr>
          <w:rFonts w:ascii="Arial" w:hAnsi="Arial" w:cs="Arial"/>
        </w:rPr>
      </w:pPr>
    </w:p>
    <w:p w:rsidR="00627521" w:rsidRPr="001D67CE" w:rsidRDefault="00627521" w:rsidP="002159B4">
      <w:pPr>
        <w:rPr>
          <w:rFonts w:ascii="Arial" w:hAnsi="Arial" w:cs="Arial"/>
        </w:rPr>
      </w:pPr>
    </w:p>
    <w:p w:rsidR="00D265BD" w:rsidRPr="001D67CE" w:rsidRDefault="00D265BD" w:rsidP="002159B4">
      <w:pPr>
        <w:rPr>
          <w:rFonts w:ascii="Arial" w:hAnsi="Arial" w:cs="Arial"/>
        </w:rPr>
      </w:pPr>
    </w:p>
    <w:p w:rsidR="00BA79F7" w:rsidRPr="001D67CE" w:rsidRDefault="00BA79F7" w:rsidP="002159B4">
      <w:pPr>
        <w:rPr>
          <w:rFonts w:ascii="Arial" w:hAnsi="Arial" w:cs="Arial"/>
        </w:rPr>
      </w:pPr>
    </w:p>
    <w:p w:rsidR="0092760B" w:rsidRDefault="0092760B" w:rsidP="0092760B">
      <w:pPr>
        <w:jc w:val="center"/>
        <w:rPr>
          <w:rFonts w:ascii="Arial" w:hAnsi="Arial" w:cs="Arial"/>
          <w:lang w:eastAsia="en-CA"/>
        </w:rPr>
      </w:pPr>
      <w:r>
        <w:rPr>
          <w:rFonts w:ascii="Arial" w:hAnsi="Arial" w:cs="Arial"/>
          <w:lang w:eastAsia="en-CA"/>
        </w:rPr>
        <w:t>If there is an attachment referred to in this document,</w:t>
      </w:r>
    </w:p>
    <w:p w:rsidR="0092760B" w:rsidRDefault="0092760B" w:rsidP="0092760B">
      <w:pPr>
        <w:jc w:val="center"/>
        <w:rPr>
          <w:rFonts w:ascii="Arial" w:hAnsi="Arial" w:cs="Arial"/>
          <w:lang w:eastAsia="en-CA"/>
        </w:rPr>
      </w:pPr>
      <w:proofErr w:type="gramStart"/>
      <w:r>
        <w:rPr>
          <w:rFonts w:ascii="Arial" w:hAnsi="Arial" w:cs="Arial"/>
          <w:lang w:eastAsia="en-CA"/>
        </w:rPr>
        <w:t>please</w:t>
      </w:r>
      <w:proofErr w:type="gramEnd"/>
      <w:r>
        <w:rPr>
          <w:rFonts w:ascii="Arial" w:hAnsi="Arial" w:cs="Arial"/>
          <w:lang w:eastAsia="en-CA"/>
        </w:rPr>
        <w:t xml:space="preserve"> visit www.elto.gov.on.ca to view the attachment in PDF format.</w:t>
      </w:r>
    </w:p>
    <w:p w:rsidR="003D1234" w:rsidRPr="001E764F" w:rsidRDefault="003D1234" w:rsidP="002159B4">
      <w:pPr>
        <w:rPr>
          <w:rFonts w:ascii="Arial" w:hAnsi="Arial" w:cs="Arial"/>
        </w:rPr>
      </w:pPr>
    </w:p>
    <w:p w:rsidR="009A73F6" w:rsidRPr="001E764F" w:rsidRDefault="009A73F6" w:rsidP="002159B4">
      <w:pPr>
        <w:rPr>
          <w:rFonts w:ascii="Arial" w:hAnsi="Arial" w:cs="Arial"/>
        </w:rPr>
      </w:pPr>
    </w:p>
    <w:p w:rsidR="00FE1AB5" w:rsidRPr="004B6547" w:rsidRDefault="00FE1AB5" w:rsidP="00FE1AB5">
      <w:pPr>
        <w:jc w:val="center"/>
        <w:rPr>
          <w:rFonts w:ascii="Arial" w:hAnsi="Arial" w:cs="Arial"/>
        </w:rPr>
      </w:pPr>
      <w:r w:rsidRPr="00E8779D">
        <w:rPr>
          <w:rFonts w:ascii="Arial" w:hAnsi="Arial" w:cs="Arial"/>
          <w:b/>
        </w:rPr>
        <w:t>Local Planning Appeal Tribunal</w:t>
      </w:r>
    </w:p>
    <w:p w:rsidR="005A6B29" w:rsidRPr="001E764F" w:rsidRDefault="005A6B29" w:rsidP="001E764F">
      <w:pPr>
        <w:jc w:val="center"/>
        <w:rPr>
          <w:rFonts w:ascii="Arial" w:hAnsi="Arial" w:cs="Arial"/>
        </w:rPr>
      </w:pPr>
      <w:r w:rsidRPr="001E764F">
        <w:rPr>
          <w:rFonts w:ascii="Arial" w:hAnsi="Arial" w:cs="Arial"/>
        </w:rPr>
        <w:t>A constituent tribunal of Environment and Land Tribunals Ontario</w:t>
      </w:r>
    </w:p>
    <w:p w:rsidR="005A6B29" w:rsidRDefault="005A6B29" w:rsidP="001E764F">
      <w:pPr>
        <w:jc w:val="center"/>
        <w:rPr>
          <w:rFonts w:ascii="Arial" w:hAnsi="Arial" w:cs="Arial"/>
        </w:rPr>
      </w:pPr>
      <w:r w:rsidRPr="001E764F">
        <w:rPr>
          <w:rFonts w:ascii="Arial" w:hAnsi="Arial" w:cs="Arial"/>
        </w:rPr>
        <w:t xml:space="preserve">Website: </w:t>
      </w:r>
      <w:proofErr w:type="gramStart"/>
      <w:r w:rsidRPr="001E764F">
        <w:rPr>
          <w:rFonts w:ascii="Arial" w:hAnsi="Arial" w:cs="Arial"/>
        </w:rPr>
        <w:t>www.elto.gov.on.ca  Telephone</w:t>
      </w:r>
      <w:proofErr w:type="gramEnd"/>
      <w:r w:rsidRPr="001E764F">
        <w:rPr>
          <w:rFonts w:ascii="Arial" w:hAnsi="Arial" w:cs="Arial"/>
        </w:rPr>
        <w:t>: 416-212-6349  Toll Free: 1-866-448-2248</w:t>
      </w:r>
    </w:p>
    <w:sectPr w:rsidR="005A6B29" w:rsidSect="00627521">
      <w:headerReference w:type="default" r:id="rId10"/>
      <w:pgSz w:w="12240" w:h="15840" w:code="1"/>
      <w:pgMar w:top="1239" w:right="1440" w:bottom="135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943" w:rsidRDefault="00361943">
      <w:r>
        <w:separator/>
      </w:r>
    </w:p>
  </w:endnote>
  <w:endnote w:type="continuationSeparator" w:id="0">
    <w:p w:rsidR="00361943" w:rsidRDefault="0036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943" w:rsidRDefault="00361943">
      <w:r>
        <w:separator/>
      </w:r>
    </w:p>
  </w:footnote>
  <w:footnote w:type="continuationSeparator" w:id="0">
    <w:p w:rsidR="00361943" w:rsidRDefault="00361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547" w:rsidRDefault="005D1ED7" w:rsidP="004B6547">
    <w:pPr>
      <w:pStyle w:val="Header"/>
      <w:tabs>
        <w:tab w:val="clear" w:pos="8640"/>
        <w:tab w:val="center" w:pos="4680"/>
        <w:tab w:val="left" w:pos="6804"/>
        <w:tab w:val="right" w:pos="9360"/>
      </w:tabs>
      <w:rPr>
        <w:rFonts w:ascii="Arial" w:hAnsi="Arial" w:cs="Arial"/>
        <w:noProof/>
      </w:rPr>
    </w:pPr>
    <w:r>
      <w:tab/>
    </w:r>
    <w:r>
      <w:tab/>
    </w:r>
    <w:r w:rsidRPr="005E51AF">
      <w:rPr>
        <w:rFonts w:ascii="Arial" w:hAnsi="Arial" w:cs="Arial"/>
      </w:rPr>
      <w:fldChar w:fldCharType="begin"/>
    </w:r>
    <w:r w:rsidRPr="005E51AF">
      <w:rPr>
        <w:rFonts w:ascii="Arial" w:hAnsi="Arial" w:cs="Arial"/>
      </w:rPr>
      <w:instrText xml:space="preserve"> PAGE   \* MERGEFORMAT </w:instrText>
    </w:r>
    <w:r w:rsidRPr="005E51AF">
      <w:rPr>
        <w:rFonts w:ascii="Arial" w:hAnsi="Arial" w:cs="Arial"/>
      </w:rPr>
      <w:fldChar w:fldCharType="separate"/>
    </w:r>
    <w:r w:rsidR="0097355B">
      <w:rPr>
        <w:rFonts w:ascii="Arial" w:hAnsi="Arial" w:cs="Arial"/>
        <w:noProof/>
      </w:rPr>
      <w:t>3</w:t>
    </w:r>
    <w:r w:rsidRPr="005E51AF">
      <w:rPr>
        <w:rFonts w:ascii="Arial" w:hAnsi="Arial" w:cs="Arial"/>
        <w:noProof/>
      </w:rPr>
      <w:fldChar w:fldCharType="end"/>
    </w:r>
    <w:r w:rsidR="00C02B28">
      <w:rPr>
        <w:rFonts w:ascii="Arial" w:hAnsi="Arial" w:cs="Arial"/>
        <w:noProof/>
      </w:rPr>
      <w:tab/>
    </w:r>
    <w:r w:rsidR="00CC3AC9">
      <w:rPr>
        <w:rFonts w:ascii="Arial" w:hAnsi="Arial" w:cs="Arial"/>
        <w:noProof/>
      </w:rPr>
      <w:tab/>
      <w:t xml:space="preserve">  PL171016</w:t>
    </w:r>
  </w:p>
  <w:p w:rsidR="005D1ED7" w:rsidRDefault="002D2254" w:rsidP="002D2254">
    <w:pPr>
      <w:pStyle w:val="Header"/>
      <w:tabs>
        <w:tab w:val="clear" w:pos="8640"/>
        <w:tab w:val="center" w:pos="4680"/>
        <w:tab w:val="left" w:pos="6804"/>
        <w:tab w:val="right" w:pos="9360"/>
      </w:tabs>
      <w:rPr>
        <w:rFonts w:ascii="Arial" w:hAnsi="Arial" w:cs="Arial"/>
        <w:noProof/>
      </w:rPr>
    </w:pPr>
    <w:r>
      <w:rPr>
        <w:rFonts w:ascii="Arial" w:hAnsi="Arial" w:cs="Arial"/>
        <w:noProof/>
      </w:rPr>
      <w:tab/>
    </w:r>
    <w:r w:rsidR="00EF6354">
      <w:rPr>
        <w:rFonts w:ascii="Arial" w:hAnsi="Arial" w:cs="Arial"/>
        <w:noProof/>
      </w:rPr>
      <w:t xml:space="preserve"> </w:t>
    </w:r>
  </w:p>
  <w:p w:rsidR="008A1A0C" w:rsidRDefault="008A1A0C" w:rsidP="002D2254">
    <w:pPr>
      <w:pStyle w:val="Header"/>
      <w:tabs>
        <w:tab w:val="clear" w:pos="8640"/>
        <w:tab w:val="center" w:pos="4680"/>
        <w:tab w:val="left" w:pos="6804"/>
        <w:tab w:val="right" w:pos="9360"/>
      </w:tabs>
      <w:rPr>
        <w:rFonts w:ascii="Arial" w:hAnsi="Arial" w:cs="Arial"/>
        <w:noProof/>
      </w:rPr>
    </w:pPr>
  </w:p>
  <w:p w:rsidR="00420FFD" w:rsidRPr="005E51AF" w:rsidRDefault="00420FFD" w:rsidP="002D2254">
    <w:pPr>
      <w:pStyle w:val="Header"/>
      <w:tabs>
        <w:tab w:val="clear" w:pos="8640"/>
        <w:tab w:val="center" w:pos="4680"/>
        <w:tab w:val="left" w:pos="6804"/>
        <w:tab w:val="right" w:pos="936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B64"/>
    <w:multiLevelType w:val="hybridMultilevel"/>
    <w:tmpl w:val="D2A226C8"/>
    <w:lvl w:ilvl="0" w:tplc="0F965C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A0516C0"/>
    <w:multiLevelType w:val="hybridMultilevel"/>
    <w:tmpl w:val="072E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47372"/>
    <w:multiLevelType w:val="hybridMultilevel"/>
    <w:tmpl w:val="C8E0C6B4"/>
    <w:lvl w:ilvl="0" w:tplc="97B6B72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0E230A9A"/>
    <w:multiLevelType w:val="hybridMultilevel"/>
    <w:tmpl w:val="73EA5784"/>
    <w:lvl w:ilvl="0" w:tplc="F2C86DDE">
      <w:start w:val="1"/>
      <w:numFmt w:val="decimal"/>
      <w:lvlText w:val="%1."/>
      <w:lvlJc w:val="left"/>
      <w:pPr>
        <w:ind w:left="1815" w:hanging="360"/>
      </w:pPr>
      <w:rPr>
        <w:rFonts w:hint="default"/>
      </w:rPr>
    </w:lvl>
    <w:lvl w:ilvl="1" w:tplc="10090019" w:tentative="1">
      <w:start w:val="1"/>
      <w:numFmt w:val="lowerLetter"/>
      <w:lvlText w:val="%2."/>
      <w:lvlJc w:val="left"/>
      <w:pPr>
        <w:ind w:left="2535" w:hanging="360"/>
      </w:pPr>
    </w:lvl>
    <w:lvl w:ilvl="2" w:tplc="1009001B" w:tentative="1">
      <w:start w:val="1"/>
      <w:numFmt w:val="lowerRoman"/>
      <w:lvlText w:val="%3."/>
      <w:lvlJc w:val="right"/>
      <w:pPr>
        <w:ind w:left="3255" w:hanging="180"/>
      </w:pPr>
    </w:lvl>
    <w:lvl w:ilvl="3" w:tplc="1009000F" w:tentative="1">
      <w:start w:val="1"/>
      <w:numFmt w:val="decimal"/>
      <w:lvlText w:val="%4."/>
      <w:lvlJc w:val="left"/>
      <w:pPr>
        <w:ind w:left="3975" w:hanging="360"/>
      </w:pPr>
    </w:lvl>
    <w:lvl w:ilvl="4" w:tplc="10090019" w:tentative="1">
      <w:start w:val="1"/>
      <w:numFmt w:val="lowerLetter"/>
      <w:lvlText w:val="%5."/>
      <w:lvlJc w:val="left"/>
      <w:pPr>
        <w:ind w:left="4695" w:hanging="360"/>
      </w:pPr>
    </w:lvl>
    <w:lvl w:ilvl="5" w:tplc="1009001B" w:tentative="1">
      <w:start w:val="1"/>
      <w:numFmt w:val="lowerRoman"/>
      <w:lvlText w:val="%6."/>
      <w:lvlJc w:val="right"/>
      <w:pPr>
        <w:ind w:left="5415" w:hanging="180"/>
      </w:pPr>
    </w:lvl>
    <w:lvl w:ilvl="6" w:tplc="1009000F" w:tentative="1">
      <w:start w:val="1"/>
      <w:numFmt w:val="decimal"/>
      <w:lvlText w:val="%7."/>
      <w:lvlJc w:val="left"/>
      <w:pPr>
        <w:ind w:left="6135" w:hanging="360"/>
      </w:pPr>
    </w:lvl>
    <w:lvl w:ilvl="7" w:tplc="10090019" w:tentative="1">
      <w:start w:val="1"/>
      <w:numFmt w:val="lowerLetter"/>
      <w:lvlText w:val="%8."/>
      <w:lvlJc w:val="left"/>
      <w:pPr>
        <w:ind w:left="6855" w:hanging="360"/>
      </w:pPr>
    </w:lvl>
    <w:lvl w:ilvl="8" w:tplc="1009001B" w:tentative="1">
      <w:start w:val="1"/>
      <w:numFmt w:val="lowerRoman"/>
      <w:lvlText w:val="%9."/>
      <w:lvlJc w:val="right"/>
      <w:pPr>
        <w:ind w:left="7575" w:hanging="180"/>
      </w:pPr>
    </w:lvl>
  </w:abstractNum>
  <w:abstractNum w:abstractNumId="4">
    <w:nsid w:val="16BF5028"/>
    <w:multiLevelType w:val="hybridMultilevel"/>
    <w:tmpl w:val="5B90020E"/>
    <w:lvl w:ilvl="0" w:tplc="320EB60C">
      <w:start w:val="2"/>
      <w:numFmt w:val="decimal"/>
      <w:lvlText w:val="[%1]"/>
      <w:lvlJc w:val="left"/>
      <w:pPr>
        <w:ind w:left="360" w:hanging="360"/>
      </w:pPr>
      <w:rPr>
        <w:rFonts w:ascii="Arial" w:hAnsi="Arial" w:hint="default"/>
        <w:b w:val="0"/>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17E67A74"/>
    <w:multiLevelType w:val="hybridMultilevel"/>
    <w:tmpl w:val="E90CF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0F1F60"/>
    <w:multiLevelType w:val="hybridMultilevel"/>
    <w:tmpl w:val="D0DC2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E3260E"/>
    <w:multiLevelType w:val="hybridMultilevel"/>
    <w:tmpl w:val="4FCE1E12"/>
    <w:lvl w:ilvl="0" w:tplc="C4C2FB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F937D4B"/>
    <w:multiLevelType w:val="hybridMultilevel"/>
    <w:tmpl w:val="F2D812E8"/>
    <w:lvl w:ilvl="0" w:tplc="C8AAA2F0">
      <w:start w:val="1"/>
      <w:numFmt w:val="decimal"/>
      <w:lvlText w:val="%1."/>
      <w:lvlJc w:val="left"/>
      <w:pPr>
        <w:ind w:left="121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12786A"/>
    <w:multiLevelType w:val="hybridMultilevel"/>
    <w:tmpl w:val="34A2A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557F62"/>
    <w:multiLevelType w:val="hybridMultilevel"/>
    <w:tmpl w:val="32487B86"/>
    <w:lvl w:ilvl="0" w:tplc="F08247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EB7648F"/>
    <w:multiLevelType w:val="hybridMultilevel"/>
    <w:tmpl w:val="29364B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8B82D88"/>
    <w:multiLevelType w:val="hybridMultilevel"/>
    <w:tmpl w:val="E68C454E"/>
    <w:lvl w:ilvl="0" w:tplc="8BB6449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FA44A38"/>
    <w:multiLevelType w:val="hybridMultilevel"/>
    <w:tmpl w:val="146E0010"/>
    <w:lvl w:ilvl="0" w:tplc="06D8103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FDA525C"/>
    <w:multiLevelType w:val="hybridMultilevel"/>
    <w:tmpl w:val="924605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40774E68"/>
    <w:multiLevelType w:val="hybridMultilevel"/>
    <w:tmpl w:val="02863DF2"/>
    <w:lvl w:ilvl="0" w:tplc="09CC1668">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76A6F49"/>
    <w:multiLevelType w:val="hybridMultilevel"/>
    <w:tmpl w:val="28AE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6458B6"/>
    <w:multiLevelType w:val="hybridMultilevel"/>
    <w:tmpl w:val="288038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177116"/>
    <w:multiLevelType w:val="hybridMultilevel"/>
    <w:tmpl w:val="2DE62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1D5032"/>
    <w:multiLevelType w:val="hybridMultilevel"/>
    <w:tmpl w:val="AB3484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A12260"/>
    <w:multiLevelType w:val="hybridMultilevel"/>
    <w:tmpl w:val="D2882F00"/>
    <w:lvl w:ilvl="0" w:tplc="921E247A">
      <w:start w:val="1"/>
      <w:numFmt w:val="decimal"/>
      <w:pStyle w:val="DecisionBody"/>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9239C2"/>
    <w:multiLevelType w:val="hybridMultilevel"/>
    <w:tmpl w:val="249CEDA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nsid w:val="5C6275A3"/>
    <w:multiLevelType w:val="hybridMultilevel"/>
    <w:tmpl w:val="805A8E62"/>
    <w:lvl w:ilvl="0" w:tplc="01DC8C16">
      <w:start w:val="1"/>
      <w:numFmt w:val="decimal"/>
      <w:lvlText w:val="[%1]"/>
      <w:lvlJc w:val="left"/>
      <w:pPr>
        <w:ind w:left="720" w:hanging="360"/>
      </w:pPr>
      <w:rPr>
        <w:rFonts w:ascii="Arial" w:hAnsi="Arial"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4AA120A"/>
    <w:multiLevelType w:val="hybridMultilevel"/>
    <w:tmpl w:val="9FA4C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6B6A22"/>
    <w:multiLevelType w:val="hybridMultilevel"/>
    <w:tmpl w:val="8E221DE4"/>
    <w:lvl w:ilvl="0" w:tplc="80BC16C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66E41154"/>
    <w:multiLevelType w:val="hybridMultilevel"/>
    <w:tmpl w:val="3EEC5B7E"/>
    <w:lvl w:ilvl="0" w:tplc="FF8AF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3A3642"/>
    <w:multiLevelType w:val="hybridMultilevel"/>
    <w:tmpl w:val="0824A6D2"/>
    <w:lvl w:ilvl="0" w:tplc="CD6A13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7CD52EC"/>
    <w:multiLevelType w:val="hybridMultilevel"/>
    <w:tmpl w:val="E5E4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A920F07"/>
    <w:multiLevelType w:val="hybridMultilevel"/>
    <w:tmpl w:val="634A90FE"/>
    <w:lvl w:ilvl="0" w:tplc="C53065C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7F2C0661"/>
    <w:multiLevelType w:val="hybridMultilevel"/>
    <w:tmpl w:val="68A05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6"/>
  </w:num>
  <w:num w:numId="3">
    <w:abstractNumId w:val="27"/>
  </w:num>
  <w:num w:numId="4">
    <w:abstractNumId w:val="9"/>
  </w:num>
  <w:num w:numId="5">
    <w:abstractNumId w:val="29"/>
  </w:num>
  <w:num w:numId="6">
    <w:abstractNumId w:val="5"/>
  </w:num>
  <w:num w:numId="7">
    <w:abstractNumId w:val="1"/>
  </w:num>
  <w:num w:numId="8">
    <w:abstractNumId w:val="25"/>
  </w:num>
  <w:num w:numId="9">
    <w:abstractNumId w:val="16"/>
  </w:num>
  <w:num w:numId="10">
    <w:abstractNumId w:val="14"/>
  </w:num>
  <w:num w:numId="11">
    <w:abstractNumId w:val="20"/>
  </w:num>
  <w:num w:numId="12">
    <w:abstractNumId w:val="28"/>
  </w:num>
  <w:num w:numId="13">
    <w:abstractNumId w:val="4"/>
  </w:num>
  <w:num w:numId="14">
    <w:abstractNumId w:val="17"/>
  </w:num>
  <w:num w:numId="15">
    <w:abstractNumId w:val="23"/>
  </w:num>
  <w:num w:numId="16">
    <w:abstractNumId w:val="19"/>
  </w:num>
  <w:num w:numId="17">
    <w:abstractNumId w:val="8"/>
  </w:num>
  <w:num w:numId="18">
    <w:abstractNumId w:val="10"/>
  </w:num>
  <w:num w:numId="19">
    <w:abstractNumId w:val="2"/>
  </w:num>
  <w:num w:numId="20">
    <w:abstractNumId w:val="0"/>
  </w:num>
  <w:num w:numId="21">
    <w:abstractNumId w:val="7"/>
  </w:num>
  <w:num w:numId="22">
    <w:abstractNumId w:val="3"/>
  </w:num>
  <w:num w:numId="23">
    <w:abstractNumId w:val="13"/>
  </w:num>
  <w:num w:numId="24">
    <w:abstractNumId w:val="24"/>
  </w:num>
  <w:num w:numId="25">
    <w:abstractNumId w:val="12"/>
  </w:num>
  <w:num w:numId="26">
    <w:abstractNumId w:val="26"/>
  </w:num>
  <w:num w:numId="27">
    <w:abstractNumId w:val="11"/>
  </w:num>
  <w:num w:numId="28">
    <w:abstractNumId w:val="21"/>
  </w:num>
  <w:num w:numId="29">
    <w:abstractNumId w:val="15"/>
  </w:num>
  <w:num w:numId="30">
    <w:abstractNumId w:val="22"/>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C4"/>
    <w:rsid w:val="0001398A"/>
    <w:rsid w:val="000170F3"/>
    <w:rsid w:val="00017DFC"/>
    <w:rsid w:val="00031C6E"/>
    <w:rsid w:val="0003783B"/>
    <w:rsid w:val="000424A6"/>
    <w:rsid w:val="00054A9F"/>
    <w:rsid w:val="00056F73"/>
    <w:rsid w:val="0006526A"/>
    <w:rsid w:val="00075342"/>
    <w:rsid w:val="00076196"/>
    <w:rsid w:val="0008105B"/>
    <w:rsid w:val="00081B93"/>
    <w:rsid w:val="00094E62"/>
    <w:rsid w:val="000A5BAE"/>
    <w:rsid w:val="000B4BFB"/>
    <w:rsid w:val="000C21BB"/>
    <w:rsid w:val="000C480C"/>
    <w:rsid w:val="000C7608"/>
    <w:rsid w:val="000D09B3"/>
    <w:rsid w:val="000D6F9D"/>
    <w:rsid w:val="000D7BBD"/>
    <w:rsid w:val="000F6357"/>
    <w:rsid w:val="00100AF6"/>
    <w:rsid w:val="0010191A"/>
    <w:rsid w:val="00104001"/>
    <w:rsid w:val="001220E4"/>
    <w:rsid w:val="0013161B"/>
    <w:rsid w:val="00137797"/>
    <w:rsid w:val="001551CC"/>
    <w:rsid w:val="001562BE"/>
    <w:rsid w:val="001634FB"/>
    <w:rsid w:val="001656BC"/>
    <w:rsid w:val="001702F3"/>
    <w:rsid w:val="00172CE7"/>
    <w:rsid w:val="001765FB"/>
    <w:rsid w:val="001808B6"/>
    <w:rsid w:val="00182765"/>
    <w:rsid w:val="00182B0E"/>
    <w:rsid w:val="00185E46"/>
    <w:rsid w:val="00190DF3"/>
    <w:rsid w:val="001A3C06"/>
    <w:rsid w:val="001B04C0"/>
    <w:rsid w:val="001B5CE4"/>
    <w:rsid w:val="001D67CE"/>
    <w:rsid w:val="001D6F93"/>
    <w:rsid w:val="001D7608"/>
    <w:rsid w:val="001E764F"/>
    <w:rsid w:val="001F179F"/>
    <w:rsid w:val="0020298E"/>
    <w:rsid w:val="00205167"/>
    <w:rsid w:val="002159B4"/>
    <w:rsid w:val="0021608D"/>
    <w:rsid w:val="00220639"/>
    <w:rsid w:val="0022133C"/>
    <w:rsid w:val="00225203"/>
    <w:rsid w:val="0022579A"/>
    <w:rsid w:val="00226115"/>
    <w:rsid w:val="002315A3"/>
    <w:rsid w:val="002346B3"/>
    <w:rsid w:val="00235236"/>
    <w:rsid w:val="002419BB"/>
    <w:rsid w:val="002433A2"/>
    <w:rsid w:val="002446DE"/>
    <w:rsid w:val="00246A65"/>
    <w:rsid w:val="00250221"/>
    <w:rsid w:val="0026320F"/>
    <w:rsid w:val="00277F40"/>
    <w:rsid w:val="00280925"/>
    <w:rsid w:val="00283370"/>
    <w:rsid w:val="00290FEC"/>
    <w:rsid w:val="00293E85"/>
    <w:rsid w:val="002959D2"/>
    <w:rsid w:val="002A393B"/>
    <w:rsid w:val="002B47E9"/>
    <w:rsid w:val="002B7494"/>
    <w:rsid w:val="002B79B3"/>
    <w:rsid w:val="002C00E1"/>
    <w:rsid w:val="002C7CBA"/>
    <w:rsid w:val="002D2254"/>
    <w:rsid w:val="002D38E7"/>
    <w:rsid w:val="002E7C9F"/>
    <w:rsid w:val="002F379B"/>
    <w:rsid w:val="002F37EF"/>
    <w:rsid w:val="002F4E11"/>
    <w:rsid w:val="002F73E5"/>
    <w:rsid w:val="003051EA"/>
    <w:rsid w:val="00307DEE"/>
    <w:rsid w:val="00316394"/>
    <w:rsid w:val="00323369"/>
    <w:rsid w:val="00324440"/>
    <w:rsid w:val="00340879"/>
    <w:rsid w:val="00345480"/>
    <w:rsid w:val="003506EA"/>
    <w:rsid w:val="00350E1B"/>
    <w:rsid w:val="00354C2E"/>
    <w:rsid w:val="00361943"/>
    <w:rsid w:val="003620BF"/>
    <w:rsid w:val="00367CB0"/>
    <w:rsid w:val="00375F31"/>
    <w:rsid w:val="0038484F"/>
    <w:rsid w:val="00385FC9"/>
    <w:rsid w:val="00391DD7"/>
    <w:rsid w:val="003B236D"/>
    <w:rsid w:val="003B298B"/>
    <w:rsid w:val="003B7CE2"/>
    <w:rsid w:val="003D1234"/>
    <w:rsid w:val="003F266C"/>
    <w:rsid w:val="00401F7B"/>
    <w:rsid w:val="00403715"/>
    <w:rsid w:val="00420FFD"/>
    <w:rsid w:val="004233D2"/>
    <w:rsid w:val="00441A9B"/>
    <w:rsid w:val="004468A7"/>
    <w:rsid w:val="004507E6"/>
    <w:rsid w:val="00452228"/>
    <w:rsid w:val="004568CC"/>
    <w:rsid w:val="004662FE"/>
    <w:rsid w:val="004A4461"/>
    <w:rsid w:val="004A587D"/>
    <w:rsid w:val="004B3247"/>
    <w:rsid w:val="004B6547"/>
    <w:rsid w:val="004C06AB"/>
    <w:rsid w:val="004C5ADC"/>
    <w:rsid w:val="004E03A4"/>
    <w:rsid w:val="004E4C91"/>
    <w:rsid w:val="004E4CD6"/>
    <w:rsid w:val="004F13B0"/>
    <w:rsid w:val="004F1B46"/>
    <w:rsid w:val="00505DF1"/>
    <w:rsid w:val="005064E9"/>
    <w:rsid w:val="00513CCD"/>
    <w:rsid w:val="005176E6"/>
    <w:rsid w:val="00530917"/>
    <w:rsid w:val="0053773B"/>
    <w:rsid w:val="0055024F"/>
    <w:rsid w:val="005554F9"/>
    <w:rsid w:val="00575802"/>
    <w:rsid w:val="00581834"/>
    <w:rsid w:val="00581FFB"/>
    <w:rsid w:val="005832B8"/>
    <w:rsid w:val="00585632"/>
    <w:rsid w:val="0058684A"/>
    <w:rsid w:val="005A6B29"/>
    <w:rsid w:val="005A767F"/>
    <w:rsid w:val="005B0EFC"/>
    <w:rsid w:val="005B2223"/>
    <w:rsid w:val="005B4A8E"/>
    <w:rsid w:val="005C46AA"/>
    <w:rsid w:val="005C7251"/>
    <w:rsid w:val="005C7AA9"/>
    <w:rsid w:val="005D1ED7"/>
    <w:rsid w:val="005E51AF"/>
    <w:rsid w:val="005F182A"/>
    <w:rsid w:val="005F7A16"/>
    <w:rsid w:val="006002DC"/>
    <w:rsid w:val="0060505C"/>
    <w:rsid w:val="00614648"/>
    <w:rsid w:val="00616822"/>
    <w:rsid w:val="00627521"/>
    <w:rsid w:val="006306A8"/>
    <w:rsid w:val="0063575A"/>
    <w:rsid w:val="00640174"/>
    <w:rsid w:val="006419E7"/>
    <w:rsid w:val="00641AD3"/>
    <w:rsid w:val="00646BFB"/>
    <w:rsid w:val="00647ECC"/>
    <w:rsid w:val="006510E9"/>
    <w:rsid w:val="00653B50"/>
    <w:rsid w:val="00655F95"/>
    <w:rsid w:val="00656CC7"/>
    <w:rsid w:val="00657E0B"/>
    <w:rsid w:val="00663C56"/>
    <w:rsid w:val="00665DAE"/>
    <w:rsid w:val="006664C3"/>
    <w:rsid w:val="00677294"/>
    <w:rsid w:val="006A119C"/>
    <w:rsid w:val="006A19B7"/>
    <w:rsid w:val="006C6D4C"/>
    <w:rsid w:val="006D09B4"/>
    <w:rsid w:val="006D1DFD"/>
    <w:rsid w:val="006E0D56"/>
    <w:rsid w:val="006E6454"/>
    <w:rsid w:val="006F214C"/>
    <w:rsid w:val="006F2DF2"/>
    <w:rsid w:val="006F3415"/>
    <w:rsid w:val="006F6F82"/>
    <w:rsid w:val="007057F0"/>
    <w:rsid w:val="00706196"/>
    <w:rsid w:val="00707B3B"/>
    <w:rsid w:val="00715DD1"/>
    <w:rsid w:val="00716030"/>
    <w:rsid w:val="007342E5"/>
    <w:rsid w:val="007353C0"/>
    <w:rsid w:val="007400D0"/>
    <w:rsid w:val="0076119A"/>
    <w:rsid w:val="00765C2D"/>
    <w:rsid w:val="007A1709"/>
    <w:rsid w:val="007A2C3D"/>
    <w:rsid w:val="007A5DF8"/>
    <w:rsid w:val="007C08BD"/>
    <w:rsid w:val="007E0C30"/>
    <w:rsid w:val="007F3186"/>
    <w:rsid w:val="007F7583"/>
    <w:rsid w:val="00802055"/>
    <w:rsid w:val="008046EB"/>
    <w:rsid w:val="0080724D"/>
    <w:rsid w:val="008173CF"/>
    <w:rsid w:val="00823753"/>
    <w:rsid w:val="008316DB"/>
    <w:rsid w:val="0083211C"/>
    <w:rsid w:val="00835A80"/>
    <w:rsid w:val="00837AE6"/>
    <w:rsid w:val="00865727"/>
    <w:rsid w:val="00866681"/>
    <w:rsid w:val="00884B82"/>
    <w:rsid w:val="00890E5D"/>
    <w:rsid w:val="0089782A"/>
    <w:rsid w:val="008A1A0C"/>
    <w:rsid w:val="008A3586"/>
    <w:rsid w:val="008B3EB4"/>
    <w:rsid w:val="008B667D"/>
    <w:rsid w:val="008C09C4"/>
    <w:rsid w:val="008C7470"/>
    <w:rsid w:val="008D3B01"/>
    <w:rsid w:val="008E147D"/>
    <w:rsid w:val="008E5B11"/>
    <w:rsid w:val="00900C5B"/>
    <w:rsid w:val="009148E3"/>
    <w:rsid w:val="0092760B"/>
    <w:rsid w:val="00930FD3"/>
    <w:rsid w:val="009333AA"/>
    <w:rsid w:val="00935095"/>
    <w:rsid w:val="00935ABA"/>
    <w:rsid w:val="009360FC"/>
    <w:rsid w:val="00951EE2"/>
    <w:rsid w:val="0095571C"/>
    <w:rsid w:val="0096422B"/>
    <w:rsid w:val="009650D8"/>
    <w:rsid w:val="0097355B"/>
    <w:rsid w:val="009748FB"/>
    <w:rsid w:val="00976AA8"/>
    <w:rsid w:val="009773EC"/>
    <w:rsid w:val="00981E7A"/>
    <w:rsid w:val="00990F55"/>
    <w:rsid w:val="009A31C9"/>
    <w:rsid w:val="009A34A1"/>
    <w:rsid w:val="009A6D63"/>
    <w:rsid w:val="009A73F6"/>
    <w:rsid w:val="009C20B2"/>
    <w:rsid w:val="009C4D62"/>
    <w:rsid w:val="009D0B82"/>
    <w:rsid w:val="009D24AB"/>
    <w:rsid w:val="009D5078"/>
    <w:rsid w:val="009E0DF7"/>
    <w:rsid w:val="009E1C08"/>
    <w:rsid w:val="009E202F"/>
    <w:rsid w:val="009E6983"/>
    <w:rsid w:val="009F040C"/>
    <w:rsid w:val="009F3047"/>
    <w:rsid w:val="00A07D8A"/>
    <w:rsid w:val="00A11CE2"/>
    <w:rsid w:val="00A20E8C"/>
    <w:rsid w:val="00A45D63"/>
    <w:rsid w:val="00A47406"/>
    <w:rsid w:val="00A550FC"/>
    <w:rsid w:val="00A7018C"/>
    <w:rsid w:val="00A70E2F"/>
    <w:rsid w:val="00A76E5B"/>
    <w:rsid w:val="00A81716"/>
    <w:rsid w:val="00A84EF0"/>
    <w:rsid w:val="00A86E97"/>
    <w:rsid w:val="00A955CF"/>
    <w:rsid w:val="00AA1090"/>
    <w:rsid w:val="00AA432A"/>
    <w:rsid w:val="00AA6E2C"/>
    <w:rsid w:val="00AB07FC"/>
    <w:rsid w:val="00AB519E"/>
    <w:rsid w:val="00AB7E2E"/>
    <w:rsid w:val="00AC630B"/>
    <w:rsid w:val="00AD29BF"/>
    <w:rsid w:val="00AE075F"/>
    <w:rsid w:val="00AE1098"/>
    <w:rsid w:val="00AE1446"/>
    <w:rsid w:val="00B12A97"/>
    <w:rsid w:val="00B13C3D"/>
    <w:rsid w:val="00B157E1"/>
    <w:rsid w:val="00B16A05"/>
    <w:rsid w:val="00B17B15"/>
    <w:rsid w:val="00B17BED"/>
    <w:rsid w:val="00B225A1"/>
    <w:rsid w:val="00B25ACB"/>
    <w:rsid w:val="00B25ECF"/>
    <w:rsid w:val="00B268A7"/>
    <w:rsid w:val="00B35686"/>
    <w:rsid w:val="00B51EB2"/>
    <w:rsid w:val="00B51EBA"/>
    <w:rsid w:val="00B5261C"/>
    <w:rsid w:val="00B5585B"/>
    <w:rsid w:val="00B5628D"/>
    <w:rsid w:val="00B62606"/>
    <w:rsid w:val="00B6431E"/>
    <w:rsid w:val="00B67AB9"/>
    <w:rsid w:val="00B70285"/>
    <w:rsid w:val="00B702CE"/>
    <w:rsid w:val="00B721A7"/>
    <w:rsid w:val="00B73739"/>
    <w:rsid w:val="00B77B07"/>
    <w:rsid w:val="00B818DE"/>
    <w:rsid w:val="00B861DA"/>
    <w:rsid w:val="00B92BA3"/>
    <w:rsid w:val="00BA28A5"/>
    <w:rsid w:val="00BA5F87"/>
    <w:rsid w:val="00BA79F7"/>
    <w:rsid w:val="00BB1683"/>
    <w:rsid w:val="00BB6613"/>
    <w:rsid w:val="00BB66A5"/>
    <w:rsid w:val="00BC66D9"/>
    <w:rsid w:val="00BE0FA0"/>
    <w:rsid w:val="00BF23CB"/>
    <w:rsid w:val="00BF497A"/>
    <w:rsid w:val="00BF7426"/>
    <w:rsid w:val="00C02B28"/>
    <w:rsid w:val="00C1171C"/>
    <w:rsid w:val="00C300F2"/>
    <w:rsid w:val="00C503C9"/>
    <w:rsid w:val="00C801A0"/>
    <w:rsid w:val="00C838B9"/>
    <w:rsid w:val="00C92310"/>
    <w:rsid w:val="00C92977"/>
    <w:rsid w:val="00C940BC"/>
    <w:rsid w:val="00CC269B"/>
    <w:rsid w:val="00CC29F3"/>
    <w:rsid w:val="00CC3AC9"/>
    <w:rsid w:val="00CC5C59"/>
    <w:rsid w:val="00CD235D"/>
    <w:rsid w:val="00CD5591"/>
    <w:rsid w:val="00CE10CC"/>
    <w:rsid w:val="00CF2AB8"/>
    <w:rsid w:val="00CF3F96"/>
    <w:rsid w:val="00CF4C37"/>
    <w:rsid w:val="00CF55CF"/>
    <w:rsid w:val="00D008AB"/>
    <w:rsid w:val="00D01696"/>
    <w:rsid w:val="00D265BD"/>
    <w:rsid w:val="00D30F49"/>
    <w:rsid w:val="00D32294"/>
    <w:rsid w:val="00D35322"/>
    <w:rsid w:val="00D36525"/>
    <w:rsid w:val="00D42D9F"/>
    <w:rsid w:val="00D50C1C"/>
    <w:rsid w:val="00D53BDA"/>
    <w:rsid w:val="00D66856"/>
    <w:rsid w:val="00D76186"/>
    <w:rsid w:val="00D76968"/>
    <w:rsid w:val="00D83C03"/>
    <w:rsid w:val="00D84899"/>
    <w:rsid w:val="00D8571F"/>
    <w:rsid w:val="00D91064"/>
    <w:rsid w:val="00DB023D"/>
    <w:rsid w:val="00DB16DE"/>
    <w:rsid w:val="00DB45DF"/>
    <w:rsid w:val="00DB49FE"/>
    <w:rsid w:val="00DD2968"/>
    <w:rsid w:val="00DD35F5"/>
    <w:rsid w:val="00DD6665"/>
    <w:rsid w:val="00DE62BC"/>
    <w:rsid w:val="00DF75FB"/>
    <w:rsid w:val="00E11D71"/>
    <w:rsid w:val="00E12DE7"/>
    <w:rsid w:val="00E15446"/>
    <w:rsid w:val="00E40778"/>
    <w:rsid w:val="00E4342D"/>
    <w:rsid w:val="00E45C87"/>
    <w:rsid w:val="00E5336E"/>
    <w:rsid w:val="00E65759"/>
    <w:rsid w:val="00E65CE2"/>
    <w:rsid w:val="00E73226"/>
    <w:rsid w:val="00E743D2"/>
    <w:rsid w:val="00E77E48"/>
    <w:rsid w:val="00E8779D"/>
    <w:rsid w:val="00E87A9B"/>
    <w:rsid w:val="00E97D24"/>
    <w:rsid w:val="00E97F04"/>
    <w:rsid w:val="00EA73B7"/>
    <w:rsid w:val="00EB3E73"/>
    <w:rsid w:val="00EC0B6D"/>
    <w:rsid w:val="00EC181A"/>
    <w:rsid w:val="00EE4BA3"/>
    <w:rsid w:val="00EE62E6"/>
    <w:rsid w:val="00EF4FA7"/>
    <w:rsid w:val="00EF6354"/>
    <w:rsid w:val="00F13970"/>
    <w:rsid w:val="00F20B8D"/>
    <w:rsid w:val="00F26374"/>
    <w:rsid w:val="00F376E5"/>
    <w:rsid w:val="00F404B1"/>
    <w:rsid w:val="00F408C2"/>
    <w:rsid w:val="00F46275"/>
    <w:rsid w:val="00F548C9"/>
    <w:rsid w:val="00F62C56"/>
    <w:rsid w:val="00F71AB8"/>
    <w:rsid w:val="00F76E36"/>
    <w:rsid w:val="00F801FB"/>
    <w:rsid w:val="00F82F6D"/>
    <w:rsid w:val="00F90029"/>
    <w:rsid w:val="00F9597B"/>
    <w:rsid w:val="00FA016B"/>
    <w:rsid w:val="00FA6295"/>
    <w:rsid w:val="00FB6C8F"/>
    <w:rsid w:val="00FD10D9"/>
    <w:rsid w:val="00FD395A"/>
    <w:rsid w:val="00FD4182"/>
    <w:rsid w:val="00FE1AB5"/>
    <w:rsid w:val="00FE3524"/>
    <w:rsid w:val="00FE478E"/>
    <w:rsid w:val="00FE4D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FE478E"/>
    <w:pPr>
      <w:keepNext/>
      <w:outlineLvl w:val="0"/>
    </w:pPr>
    <w:rPr>
      <w:rFonts w:ascii="Arial" w:hAnsi="Arial"/>
      <w:b/>
      <w:bCs/>
      <w:sz w:val="16"/>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A550FC"/>
    <w:pPr>
      <w:tabs>
        <w:tab w:val="center" w:pos="4320"/>
        <w:tab w:val="right" w:pos="8640"/>
      </w:tabs>
    </w:p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basedOn w:val="PartiesCounselAgent"/>
    <w:autoRedefine/>
    <w:rsid w:val="00AA1090"/>
    <w:pPr>
      <w:widowControl w:val="0"/>
      <w:numPr>
        <w:numId w:val="11"/>
      </w:numPr>
      <w:spacing w:before="240" w:after="240" w:line="360" w:lineRule="atLeast"/>
      <w:ind w:left="0" w:firstLine="0"/>
    </w:pPr>
    <w:rPr>
      <w:bC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F404B1"/>
    <w:rPr>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FE478E"/>
    <w:pPr>
      <w:keepNext/>
      <w:outlineLvl w:val="0"/>
    </w:pPr>
    <w:rPr>
      <w:rFonts w:ascii="Arial" w:hAnsi="Arial"/>
      <w:b/>
      <w:bCs/>
      <w:sz w:val="16"/>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A550FC"/>
    <w:pPr>
      <w:tabs>
        <w:tab w:val="center" w:pos="4320"/>
        <w:tab w:val="right" w:pos="8640"/>
      </w:tabs>
    </w:p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basedOn w:val="PartiesCounselAgent"/>
    <w:autoRedefine/>
    <w:rsid w:val="00AA1090"/>
    <w:pPr>
      <w:widowControl w:val="0"/>
      <w:numPr>
        <w:numId w:val="11"/>
      </w:numPr>
      <w:spacing w:before="240" w:after="240" w:line="360" w:lineRule="atLeast"/>
      <w:ind w:left="0" w:firstLine="0"/>
    </w:pPr>
    <w:rPr>
      <w:bC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F404B1"/>
    <w:rPr>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5497">
      <w:bodyDiv w:val="1"/>
      <w:marLeft w:val="0"/>
      <w:marRight w:val="0"/>
      <w:marTop w:val="0"/>
      <w:marBottom w:val="0"/>
      <w:divBdr>
        <w:top w:val="none" w:sz="0" w:space="0" w:color="auto"/>
        <w:left w:val="none" w:sz="0" w:space="0" w:color="auto"/>
        <w:bottom w:val="none" w:sz="0" w:space="0" w:color="auto"/>
        <w:right w:val="none" w:sz="0" w:space="0" w:color="auto"/>
      </w:divBdr>
    </w:div>
    <w:div w:id="188644111">
      <w:bodyDiv w:val="1"/>
      <w:marLeft w:val="0"/>
      <w:marRight w:val="0"/>
      <w:marTop w:val="0"/>
      <w:marBottom w:val="0"/>
      <w:divBdr>
        <w:top w:val="none" w:sz="0" w:space="0" w:color="auto"/>
        <w:left w:val="none" w:sz="0" w:space="0" w:color="auto"/>
        <w:bottom w:val="none" w:sz="0" w:space="0" w:color="auto"/>
        <w:right w:val="none" w:sz="0" w:space="0" w:color="auto"/>
      </w:divBdr>
    </w:div>
    <w:div w:id="308294427">
      <w:bodyDiv w:val="1"/>
      <w:marLeft w:val="0"/>
      <w:marRight w:val="0"/>
      <w:marTop w:val="0"/>
      <w:marBottom w:val="0"/>
      <w:divBdr>
        <w:top w:val="none" w:sz="0" w:space="0" w:color="auto"/>
        <w:left w:val="none" w:sz="0" w:space="0" w:color="auto"/>
        <w:bottom w:val="none" w:sz="0" w:space="0" w:color="auto"/>
        <w:right w:val="none" w:sz="0" w:space="0" w:color="auto"/>
      </w:divBdr>
    </w:div>
    <w:div w:id="448474643">
      <w:bodyDiv w:val="1"/>
      <w:marLeft w:val="0"/>
      <w:marRight w:val="0"/>
      <w:marTop w:val="0"/>
      <w:marBottom w:val="0"/>
      <w:divBdr>
        <w:top w:val="none" w:sz="0" w:space="0" w:color="auto"/>
        <w:left w:val="none" w:sz="0" w:space="0" w:color="auto"/>
        <w:bottom w:val="none" w:sz="0" w:space="0" w:color="auto"/>
        <w:right w:val="none" w:sz="0" w:space="0" w:color="auto"/>
      </w:divBdr>
    </w:div>
    <w:div w:id="515576386">
      <w:bodyDiv w:val="1"/>
      <w:marLeft w:val="0"/>
      <w:marRight w:val="0"/>
      <w:marTop w:val="0"/>
      <w:marBottom w:val="0"/>
      <w:divBdr>
        <w:top w:val="none" w:sz="0" w:space="0" w:color="auto"/>
        <w:left w:val="none" w:sz="0" w:space="0" w:color="auto"/>
        <w:bottom w:val="none" w:sz="0" w:space="0" w:color="auto"/>
        <w:right w:val="none" w:sz="0" w:space="0" w:color="auto"/>
      </w:divBdr>
    </w:div>
    <w:div w:id="977341194">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520391583">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642340653">
      <w:bodyDiv w:val="1"/>
      <w:marLeft w:val="0"/>
      <w:marRight w:val="0"/>
      <w:marTop w:val="0"/>
      <w:marBottom w:val="0"/>
      <w:divBdr>
        <w:top w:val="none" w:sz="0" w:space="0" w:color="auto"/>
        <w:left w:val="none" w:sz="0" w:space="0" w:color="auto"/>
        <w:bottom w:val="none" w:sz="0" w:space="0" w:color="auto"/>
        <w:right w:val="none" w:sz="0" w:space="0" w:color="auto"/>
      </w:divBdr>
    </w:div>
    <w:div w:id="180677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2B3BC-C7DA-4E44-BF73-7480B0481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921</Words>
  <Characters>5034</Characters>
  <Application>Microsoft Office Word</Application>
  <DocSecurity>0</DocSecurity>
  <Lines>209</Lines>
  <Paragraphs>106</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creator>Authorized User</dc:creator>
  <cp:lastModifiedBy>Perri, Leonida (MAG)</cp:lastModifiedBy>
  <cp:revision>5</cp:revision>
  <cp:lastPrinted>2014-04-10T17:33:00Z</cp:lastPrinted>
  <dcterms:created xsi:type="dcterms:W3CDTF">2018-04-16T13:07:00Z</dcterms:created>
  <dcterms:modified xsi:type="dcterms:W3CDTF">2018-04-16T13:16:00Z</dcterms:modified>
</cp:coreProperties>
</file>