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DA1FD7">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11152F41" wp14:editId="74C27ACC">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DA1FD7">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DA1FD7">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DA1FD7">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FE5F63" w:rsidP="002159B4">
            <w:pPr>
              <w:rPr>
                <w:rFonts w:ascii="Arial" w:hAnsi="Arial" w:cs="Arial"/>
              </w:rPr>
            </w:pPr>
            <w:r>
              <w:rPr>
                <w:rFonts w:ascii="Arial" w:hAnsi="Arial" w:cs="Arial"/>
              </w:rPr>
              <w:t>September 11, 2018</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EA73B7" w:rsidRPr="001E764F" w:rsidRDefault="00400A7D" w:rsidP="00280925">
            <w:pPr>
              <w:jc w:val="right"/>
              <w:rPr>
                <w:rFonts w:ascii="Arial" w:hAnsi="Arial" w:cs="Arial"/>
              </w:rPr>
            </w:pPr>
            <w:r>
              <w:rPr>
                <w:rFonts w:ascii="Arial" w:hAnsi="Arial" w:cs="Arial"/>
              </w:rPr>
              <w:t>PL171227</w:t>
            </w:r>
          </w:p>
        </w:tc>
      </w:tr>
    </w:tbl>
    <w:p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rsidTr="00DA1FD7">
        <w:tc>
          <w:tcPr>
            <w:tcW w:w="9606" w:type="dxa"/>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270AAE">
      <w:pPr>
        <w:rPr>
          <w:rFonts w:ascii="Arial" w:hAnsi="Arial" w:cs="Arial"/>
          <w:highlight w:val="yellow"/>
        </w:rPr>
      </w:pPr>
    </w:p>
    <w:p w:rsidR="001D67CE" w:rsidRDefault="001D67CE" w:rsidP="00270AAE">
      <w:pPr>
        <w:rPr>
          <w:rFonts w:ascii="Arial" w:hAnsi="Arial" w:cs="Arial"/>
          <w:highlight w:val="yellow"/>
        </w:rPr>
      </w:pPr>
    </w:p>
    <w:tbl>
      <w:tblPr>
        <w:tblW w:w="10068" w:type="dxa"/>
        <w:tblLook w:val="04A0" w:firstRow="1" w:lastRow="0" w:firstColumn="1" w:lastColumn="0" w:noHBand="0" w:noVBand="1"/>
      </w:tblPr>
      <w:tblGrid>
        <w:gridCol w:w="3468"/>
        <w:gridCol w:w="6600"/>
      </w:tblGrid>
      <w:tr w:rsidR="00DA1FD7" w:rsidRPr="00DA1FD7" w:rsidTr="00DA1FD7">
        <w:trPr>
          <w:cantSplit/>
          <w:trHeight w:val="732"/>
        </w:trPr>
        <w:tc>
          <w:tcPr>
            <w:tcW w:w="10068" w:type="dxa"/>
            <w:gridSpan w:val="2"/>
            <w:hideMark/>
          </w:tcPr>
          <w:p w:rsidR="00DA1FD7" w:rsidRPr="00DA1FD7" w:rsidRDefault="00DA1FD7">
            <w:pPr>
              <w:rPr>
                <w:rFonts w:ascii="Arial" w:hAnsi="Arial" w:cs="Arial"/>
              </w:rPr>
            </w:pPr>
            <w:r w:rsidRPr="00DA1FD7">
              <w:rPr>
                <w:rFonts w:ascii="Arial" w:hAnsi="Arial" w:cs="Arial"/>
                <w:b/>
              </w:rPr>
              <w:t xml:space="preserve">PROCEEDING COMMENCED UNDER </w:t>
            </w:r>
            <w:r w:rsidRPr="00DA1FD7">
              <w:rPr>
                <w:rFonts w:ascii="Arial" w:hAnsi="Arial" w:cs="Arial"/>
              </w:rPr>
              <w:t xml:space="preserve">subsection 34(11) of the </w:t>
            </w:r>
            <w:r w:rsidRPr="00DA1FD7">
              <w:rPr>
                <w:rFonts w:ascii="Arial" w:hAnsi="Arial" w:cs="Arial"/>
                <w:i/>
              </w:rPr>
              <w:t>Planning Act</w:t>
            </w:r>
            <w:r w:rsidRPr="00DA1FD7">
              <w:rPr>
                <w:rFonts w:ascii="Arial" w:hAnsi="Arial" w:cs="Arial"/>
              </w:rPr>
              <w:t>, R.S.O. 1990, c. P.13, as amended</w:t>
            </w:r>
          </w:p>
        </w:tc>
      </w:tr>
      <w:tr w:rsidR="00DA1FD7" w:rsidRPr="00DA1FD7" w:rsidTr="00DA1FD7">
        <w:tc>
          <w:tcPr>
            <w:tcW w:w="3468" w:type="dxa"/>
            <w:hideMark/>
          </w:tcPr>
          <w:p w:rsidR="00DA1FD7" w:rsidRPr="00DA1FD7" w:rsidRDefault="00DA1FD7">
            <w:pPr>
              <w:rPr>
                <w:rFonts w:ascii="Arial" w:hAnsi="Arial" w:cs="Arial"/>
              </w:rPr>
            </w:pPr>
            <w:r w:rsidRPr="00DA1FD7">
              <w:rPr>
                <w:rFonts w:ascii="Arial" w:hAnsi="Arial" w:cs="Arial"/>
              </w:rPr>
              <w:t>Applicant and Appellant:</w:t>
            </w:r>
          </w:p>
        </w:tc>
        <w:tc>
          <w:tcPr>
            <w:tcW w:w="6600" w:type="dxa"/>
            <w:hideMark/>
          </w:tcPr>
          <w:p w:rsidR="00DA1FD7" w:rsidRPr="00DA1FD7" w:rsidRDefault="00DA1FD7" w:rsidP="00DA1FD7">
            <w:pPr>
              <w:ind w:left="927"/>
              <w:rPr>
                <w:rFonts w:ascii="Arial" w:hAnsi="Arial" w:cs="Arial"/>
              </w:rPr>
            </w:pPr>
            <w:proofErr w:type="spellStart"/>
            <w:r w:rsidRPr="00DA1FD7">
              <w:rPr>
                <w:rFonts w:ascii="Arial" w:hAnsi="Arial" w:cs="Arial"/>
              </w:rPr>
              <w:t>Westbank</w:t>
            </w:r>
            <w:proofErr w:type="spellEnd"/>
            <w:r w:rsidRPr="00DA1FD7">
              <w:rPr>
                <w:rFonts w:ascii="Arial" w:hAnsi="Arial" w:cs="Arial"/>
              </w:rPr>
              <w:t xml:space="preserve"> Projects Corp.</w:t>
            </w:r>
          </w:p>
        </w:tc>
      </w:tr>
      <w:tr w:rsidR="00DA1FD7" w:rsidRPr="00DA1FD7" w:rsidTr="00DA1FD7">
        <w:tc>
          <w:tcPr>
            <w:tcW w:w="3468" w:type="dxa"/>
            <w:hideMark/>
          </w:tcPr>
          <w:p w:rsidR="00DA1FD7" w:rsidRPr="00DA1FD7" w:rsidRDefault="00DA1FD7">
            <w:pPr>
              <w:rPr>
                <w:rFonts w:ascii="Arial" w:hAnsi="Arial" w:cs="Arial"/>
              </w:rPr>
            </w:pPr>
            <w:r w:rsidRPr="00DA1FD7">
              <w:rPr>
                <w:rFonts w:ascii="Arial" w:hAnsi="Arial" w:cs="Arial"/>
              </w:rPr>
              <w:t>Subject:</w:t>
            </w:r>
          </w:p>
        </w:tc>
        <w:tc>
          <w:tcPr>
            <w:tcW w:w="6600" w:type="dxa"/>
            <w:hideMark/>
          </w:tcPr>
          <w:p w:rsidR="00DA1FD7" w:rsidRPr="00DA1FD7" w:rsidRDefault="00DA1FD7" w:rsidP="00DA1FD7">
            <w:pPr>
              <w:ind w:left="927"/>
              <w:rPr>
                <w:rFonts w:ascii="Arial" w:hAnsi="Arial" w:cs="Arial"/>
              </w:rPr>
            </w:pPr>
            <w:r w:rsidRPr="00DA1FD7">
              <w:rPr>
                <w:rFonts w:ascii="Arial" w:hAnsi="Arial" w:cs="Arial"/>
              </w:rPr>
              <w:t>Application to amend Zoning By-law No. 438-86 - Neglect of the City of Toronto to make a decision</w:t>
            </w:r>
          </w:p>
        </w:tc>
      </w:tr>
      <w:tr w:rsidR="00DA1FD7" w:rsidRPr="00DA1FD7" w:rsidTr="00DA1FD7">
        <w:tc>
          <w:tcPr>
            <w:tcW w:w="3468" w:type="dxa"/>
            <w:hideMark/>
          </w:tcPr>
          <w:p w:rsidR="00DA1FD7" w:rsidRPr="00DA1FD7" w:rsidRDefault="00DA1FD7">
            <w:pPr>
              <w:rPr>
                <w:rFonts w:ascii="Arial" w:hAnsi="Arial" w:cs="Arial"/>
              </w:rPr>
            </w:pPr>
            <w:r w:rsidRPr="00DA1FD7">
              <w:rPr>
                <w:rFonts w:ascii="Arial" w:hAnsi="Arial" w:cs="Arial"/>
              </w:rPr>
              <w:t>Existing Zoning:</w:t>
            </w:r>
          </w:p>
        </w:tc>
        <w:tc>
          <w:tcPr>
            <w:tcW w:w="6600" w:type="dxa"/>
            <w:hideMark/>
          </w:tcPr>
          <w:p w:rsidR="00DA1FD7" w:rsidRPr="00DA1FD7" w:rsidRDefault="00DA1FD7" w:rsidP="00DA1FD7">
            <w:pPr>
              <w:ind w:left="927"/>
              <w:rPr>
                <w:rFonts w:ascii="Arial" w:hAnsi="Arial" w:cs="Arial"/>
              </w:rPr>
            </w:pPr>
            <w:r w:rsidRPr="00DA1FD7">
              <w:rPr>
                <w:rFonts w:ascii="Arial" w:hAnsi="Arial" w:cs="Arial"/>
              </w:rPr>
              <w:t>Reinvestment Area (RA)</w:t>
            </w:r>
          </w:p>
        </w:tc>
      </w:tr>
      <w:tr w:rsidR="00DA1FD7" w:rsidRPr="00DA1FD7" w:rsidTr="00DA1FD7">
        <w:tc>
          <w:tcPr>
            <w:tcW w:w="3468" w:type="dxa"/>
            <w:hideMark/>
          </w:tcPr>
          <w:p w:rsidR="00DA1FD7" w:rsidRPr="00DA1FD7" w:rsidRDefault="00DA1FD7">
            <w:pPr>
              <w:rPr>
                <w:rFonts w:ascii="Arial" w:hAnsi="Arial" w:cs="Arial"/>
              </w:rPr>
            </w:pPr>
            <w:r w:rsidRPr="00DA1FD7">
              <w:rPr>
                <w:rFonts w:ascii="Arial" w:hAnsi="Arial" w:cs="Arial"/>
              </w:rPr>
              <w:t xml:space="preserve">Proposed Zoning: </w:t>
            </w:r>
          </w:p>
        </w:tc>
        <w:tc>
          <w:tcPr>
            <w:tcW w:w="6600" w:type="dxa"/>
            <w:hideMark/>
          </w:tcPr>
          <w:p w:rsidR="00DA1FD7" w:rsidRPr="00DA1FD7" w:rsidRDefault="00DA1FD7" w:rsidP="00DA1FD7">
            <w:pPr>
              <w:ind w:left="927"/>
              <w:rPr>
                <w:rFonts w:ascii="Arial" w:hAnsi="Arial" w:cs="Arial"/>
              </w:rPr>
            </w:pPr>
            <w:r w:rsidRPr="00DA1FD7">
              <w:rPr>
                <w:rFonts w:ascii="Arial" w:hAnsi="Arial" w:cs="Arial"/>
              </w:rPr>
              <w:t>Site specific to permit proposal</w:t>
            </w:r>
          </w:p>
        </w:tc>
      </w:tr>
      <w:tr w:rsidR="00DA1FD7" w:rsidRPr="00DA1FD7" w:rsidTr="00DA1FD7">
        <w:tc>
          <w:tcPr>
            <w:tcW w:w="3468" w:type="dxa"/>
            <w:hideMark/>
          </w:tcPr>
          <w:p w:rsidR="00DA1FD7" w:rsidRPr="00DA1FD7" w:rsidRDefault="00DA1FD7">
            <w:pPr>
              <w:rPr>
                <w:rFonts w:ascii="Arial" w:hAnsi="Arial" w:cs="Arial"/>
              </w:rPr>
            </w:pPr>
            <w:r w:rsidRPr="00DA1FD7">
              <w:rPr>
                <w:rFonts w:ascii="Arial" w:hAnsi="Arial" w:cs="Arial"/>
              </w:rPr>
              <w:t xml:space="preserve">Purpose: </w:t>
            </w:r>
          </w:p>
        </w:tc>
        <w:tc>
          <w:tcPr>
            <w:tcW w:w="6600" w:type="dxa"/>
            <w:hideMark/>
          </w:tcPr>
          <w:p w:rsidR="00DA1FD7" w:rsidRPr="00DA1FD7" w:rsidRDefault="00DA1FD7" w:rsidP="00DA1FD7">
            <w:pPr>
              <w:ind w:left="927"/>
              <w:rPr>
                <w:rFonts w:ascii="Arial" w:hAnsi="Arial" w:cs="Arial"/>
              </w:rPr>
            </w:pPr>
            <w:r w:rsidRPr="00DA1FD7">
              <w:rPr>
                <w:rFonts w:ascii="Arial" w:hAnsi="Arial" w:cs="Arial"/>
              </w:rPr>
              <w:t>To permit a mixed-use project containing residential, office, and retail/commercial uses</w:t>
            </w:r>
          </w:p>
        </w:tc>
      </w:tr>
      <w:tr w:rsidR="00DA1FD7" w:rsidRPr="00DA1FD7" w:rsidTr="00DA1FD7">
        <w:tc>
          <w:tcPr>
            <w:tcW w:w="3468" w:type="dxa"/>
            <w:hideMark/>
          </w:tcPr>
          <w:p w:rsidR="00DA1FD7" w:rsidRPr="00DA1FD7" w:rsidRDefault="00DA1FD7">
            <w:pPr>
              <w:rPr>
                <w:rFonts w:ascii="Arial" w:hAnsi="Arial" w:cs="Arial"/>
              </w:rPr>
            </w:pPr>
            <w:r w:rsidRPr="00DA1FD7">
              <w:rPr>
                <w:rFonts w:ascii="Arial" w:hAnsi="Arial" w:cs="Arial"/>
              </w:rPr>
              <w:t xml:space="preserve">Property Address/Description: </w:t>
            </w:r>
          </w:p>
        </w:tc>
        <w:tc>
          <w:tcPr>
            <w:tcW w:w="6600" w:type="dxa"/>
            <w:hideMark/>
          </w:tcPr>
          <w:p w:rsidR="00DA1FD7" w:rsidRPr="00DA1FD7" w:rsidRDefault="00DA1FD7" w:rsidP="00DA1FD7">
            <w:pPr>
              <w:ind w:left="927"/>
              <w:rPr>
                <w:rFonts w:ascii="Arial" w:hAnsi="Arial" w:cs="Arial"/>
              </w:rPr>
            </w:pPr>
            <w:r w:rsidRPr="00DA1FD7">
              <w:rPr>
                <w:rFonts w:ascii="Arial" w:hAnsi="Arial" w:cs="Arial"/>
              </w:rPr>
              <w:t>489-539 King St</w:t>
            </w:r>
            <w:r w:rsidR="00590EEA">
              <w:rPr>
                <w:rFonts w:ascii="Arial" w:hAnsi="Arial" w:cs="Arial"/>
              </w:rPr>
              <w:t>reet</w:t>
            </w:r>
            <w:r w:rsidRPr="00DA1FD7">
              <w:rPr>
                <w:rFonts w:ascii="Arial" w:hAnsi="Arial" w:cs="Arial"/>
              </w:rPr>
              <w:t xml:space="preserve"> W</w:t>
            </w:r>
            <w:r w:rsidR="00590EEA">
              <w:rPr>
                <w:rFonts w:ascii="Arial" w:hAnsi="Arial" w:cs="Arial"/>
              </w:rPr>
              <w:t>est</w:t>
            </w:r>
          </w:p>
        </w:tc>
      </w:tr>
      <w:tr w:rsidR="00DA1FD7" w:rsidRPr="00DA1FD7" w:rsidTr="00DA1FD7">
        <w:tc>
          <w:tcPr>
            <w:tcW w:w="3468" w:type="dxa"/>
            <w:hideMark/>
          </w:tcPr>
          <w:p w:rsidR="00DA1FD7" w:rsidRPr="00DA1FD7" w:rsidRDefault="00DA1FD7">
            <w:pPr>
              <w:rPr>
                <w:rFonts w:ascii="Arial" w:hAnsi="Arial" w:cs="Arial"/>
              </w:rPr>
            </w:pPr>
            <w:r w:rsidRPr="00DA1FD7">
              <w:rPr>
                <w:rFonts w:ascii="Arial" w:hAnsi="Arial" w:cs="Arial"/>
              </w:rPr>
              <w:t xml:space="preserve">Municipality: </w:t>
            </w:r>
          </w:p>
        </w:tc>
        <w:tc>
          <w:tcPr>
            <w:tcW w:w="6600" w:type="dxa"/>
            <w:hideMark/>
          </w:tcPr>
          <w:p w:rsidR="00DA1FD7" w:rsidRPr="00DA1FD7" w:rsidRDefault="00DA1FD7" w:rsidP="00DA1FD7">
            <w:pPr>
              <w:ind w:left="927"/>
              <w:rPr>
                <w:rFonts w:ascii="Arial" w:hAnsi="Arial" w:cs="Arial"/>
              </w:rPr>
            </w:pPr>
            <w:r w:rsidRPr="00DA1FD7">
              <w:rPr>
                <w:rFonts w:ascii="Arial" w:hAnsi="Arial" w:cs="Arial"/>
              </w:rPr>
              <w:t>City of Toronto</w:t>
            </w:r>
            <w:bookmarkStart w:id="1" w:name="_GoBack"/>
            <w:bookmarkEnd w:id="1"/>
          </w:p>
        </w:tc>
      </w:tr>
      <w:tr w:rsidR="00DA1FD7" w:rsidRPr="00DA1FD7" w:rsidTr="00DA1FD7">
        <w:tc>
          <w:tcPr>
            <w:tcW w:w="3468" w:type="dxa"/>
            <w:hideMark/>
          </w:tcPr>
          <w:p w:rsidR="00DA1FD7" w:rsidRPr="00DA1FD7" w:rsidRDefault="00DA1FD7">
            <w:pPr>
              <w:rPr>
                <w:rFonts w:ascii="Arial" w:hAnsi="Arial" w:cs="Arial"/>
              </w:rPr>
            </w:pPr>
            <w:r w:rsidRPr="00DA1FD7">
              <w:rPr>
                <w:rFonts w:ascii="Arial" w:hAnsi="Arial" w:cs="Arial"/>
              </w:rPr>
              <w:t xml:space="preserve">Municipality File No.: </w:t>
            </w:r>
          </w:p>
        </w:tc>
        <w:tc>
          <w:tcPr>
            <w:tcW w:w="6600" w:type="dxa"/>
            <w:hideMark/>
          </w:tcPr>
          <w:p w:rsidR="00DA1FD7" w:rsidRPr="00DA1FD7" w:rsidRDefault="00DA1FD7" w:rsidP="00DA1FD7">
            <w:pPr>
              <w:ind w:left="927"/>
              <w:rPr>
                <w:rFonts w:ascii="Arial" w:hAnsi="Arial" w:cs="Arial"/>
              </w:rPr>
            </w:pPr>
            <w:r w:rsidRPr="00DA1FD7">
              <w:rPr>
                <w:rFonts w:ascii="Arial" w:hAnsi="Arial" w:cs="Arial"/>
              </w:rPr>
              <w:t>16 159483 STE 20 OZ</w:t>
            </w:r>
          </w:p>
        </w:tc>
      </w:tr>
      <w:tr w:rsidR="00DA1FD7" w:rsidRPr="00DA1FD7" w:rsidTr="00DA1FD7">
        <w:tc>
          <w:tcPr>
            <w:tcW w:w="3468" w:type="dxa"/>
            <w:hideMark/>
          </w:tcPr>
          <w:p w:rsidR="00DA1FD7" w:rsidRPr="00DA1FD7" w:rsidRDefault="00DA1FD7">
            <w:pPr>
              <w:rPr>
                <w:rFonts w:ascii="Arial" w:hAnsi="Arial" w:cs="Arial"/>
              </w:rPr>
            </w:pPr>
            <w:r w:rsidRPr="00DA1FD7">
              <w:rPr>
                <w:rFonts w:ascii="Arial" w:hAnsi="Arial" w:cs="Arial"/>
              </w:rPr>
              <w:t xml:space="preserve">OMB Case No.: </w:t>
            </w:r>
          </w:p>
        </w:tc>
        <w:tc>
          <w:tcPr>
            <w:tcW w:w="6600" w:type="dxa"/>
            <w:hideMark/>
          </w:tcPr>
          <w:p w:rsidR="00DA1FD7" w:rsidRPr="00DA1FD7" w:rsidRDefault="00DA1FD7" w:rsidP="00DA1FD7">
            <w:pPr>
              <w:ind w:left="927"/>
              <w:rPr>
                <w:rFonts w:ascii="Arial" w:hAnsi="Arial" w:cs="Arial"/>
              </w:rPr>
            </w:pPr>
            <w:r w:rsidRPr="00DA1FD7">
              <w:rPr>
                <w:rFonts w:ascii="Arial" w:hAnsi="Arial" w:cs="Arial"/>
              </w:rPr>
              <w:t>PL171227</w:t>
            </w:r>
          </w:p>
        </w:tc>
      </w:tr>
      <w:tr w:rsidR="00DA1FD7" w:rsidRPr="00DA1FD7" w:rsidTr="00DA1FD7">
        <w:tc>
          <w:tcPr>
            <w:tcW w:w="3468" w:type="dxa"/>
            <w:hideMark/>
          </w:tcPr>
          <w:p w:rsidR="00DA1FD7" w:rsidRPr="00DA1FD7" w:rsidRDefault="00DA1FD7">
            <w:pPr>
              <w:rPr>
                <w:rFonts w:ascii="Arial" w:hAnsi="Arial" w:cs="Arial"/>
              </w:rPr>
            </w:pPr>
            <w:r w:rsidRPr="00DA1FD7">
              <w:rPr>
                <w:rFonts w:ascii="Arial" w:hAnsi="Arial" w:cs="Arial"/>
              </w:rPr>
              <w:t xml:space="preserve">OMB File No.: </w:t>
            </w:r>
          </w:p>
        </w:tc>
        <w:tc>
          <w:tcPr>
            <w:tcW w:w="6600" w:type="dxa"/>
            <w:hideMark/>
          </w:tcPr>
          <w:p w:rsidR="00DA1FD7" w:rsidRPr="00DA1FD7" w:rsidRDefault="00DA1FD7" w:rsidP="00DA1FD7">
            <w:pPr>
              <w:ind w:left="927"/>
              <w:rPr>
                <w:rFonts w:ascii="Arial" w:hAnsi="Arial" w:cs="Arial"/>
              </w:rPr>
            </w:pPr>
            <w:r w:rsidRPr="00DA1FD7">
              <w:rPr>
                <w:rFonts w:ascii="Arial" w:hAnsi="Arial" w:cs="Arial"/>
              </w:rPr>
              <w:t>PL171227</w:t>
            </w:r>
          </w:p>
        </w:tc>
      </w:tr>
      <w:tr w:rsidR="00DA1FD7" w:rsidRPr="00DA1FD7" w:rsidTr="00DA1FD7">
        <w:tc>
          <w:tcPr>
            <w:tcW w:w="3468" w:type="dxa"/>
            <w:hideMark/>
          </w:tcPr>
          <w:p w:rsidR="00DA1FD7" w:rsidRPr="00DA1FD7" w:rsidRDefault="00DA1FD7">
            <w:pPr>
              <w:rPr>
                <w:rFonts w:ascii="Arial" w:hAnsi="Arial" w:cs="Arial"/>
              </w:rPr>
            </w:pPr>
            <w:r w:rsidRPr="00DA1FD7">
              <w:rPr>
                <w:rFonts w:ascii="Arial" w:hAnsi="Arial" w:cs="Arial"/>
              </w:rPr>
              <w:t xml:space="preserve">OMB Case Name: </w:t>
            </w:r>
          </w:p>
        </w:tc>
        <w:tc>
          <w:tcPr>
            <w:tcW w:w="6600" w:type="dxa"/>
            <w:hideMark/>
          </w:tcPr>
          <w:p w:rsidR="00DA1FD7" w:rsidRPr="00DA1FD7" w:rsidRDefault="00DA1FD7" w:rsidP="00DA1FD7">
            <w:pPr>
              <w:ind w:left="927"/>
              <w:rPr>
                <w:rFonts w:ascii="Arial" w:hAnsi="Arial" w:cs="Arial"/>
              </w:rPr>
            </w:pPr>
            <w:proofErr w:type="spellStart"/>
            <w:r w:rsidRPr="00DA1FD7">
              <w:rPr>
                <w:rFonts w:ascii="Arial" w:hAnsi="Arial" w:cs="Arial"/>
              </w:rPr>
              <w:t>Westbank</w:t>
            </w:r>
            <w:proofErr w:type="spellEnd"/>
            <w:r w:rsidRPr="00DA1FD7">
              <w:rPr>
                <w:rFonts w:ascii="Arial" w:hAnsi="Arial" w:cs="Arial"/>
              </w:rPr>
              <w:t xml:space="preserve"> Projects Corp. v. Toronto (City)</w:t>
            </w:r>
          </w:p>
        </w:tc>
      </w:tr>
    </w:tbl>
    <w:p w:rsidR="00F46275" w:rsidRPr="00DA1FD7" w:rsidRDefault="00F46275" w:rsidP="00270AAE">
      <w:pPr>
        <w:rPr>
          <w:rFonts w:ascii="Arial" w:hAnsi="Arial" w:cs="Arial"/>
          <w:lang w:val="en-CA"/>
        </w:rPr>
      </w:pPr>
    </w:p>
    <w:p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DA1FD7">
        <w:tc>
          <w:tcPr>
            <w:tcW w:w="4338" w:type="dxa"/>
          </w:tcPr>
          <w:p w:rsidR="00B268A7" w:rsidRPr="00C940BC" w:rsidRDefault="00B268A7" w:rsidP="00270AAE">
            <w:pPr>
              <w:rPr>
                <w:rFonts w:ascii="Arial" w:hAnsi="Arial" w:cs="Arial"/>
              </w:rPr>
            </w:pPr>
            <w:r w:rsidRPr="001E764F">
              <w:rPr>
                <w:rFonts w:ascii="Arial" w:hAnsi="Arial" w:cs="Arial"/>
                <w:b/>
              </w:rPr>
              <w:t>Heard:</w:t>
            </w:r>
          </w:p>
        </w:tc>
        <w:tc>
          <w:tcPr>
            <w:tcW w:w="5238" w:type="dxa"/>
          </w:tcPr>
          <w:p w:rsidR="00B268A7" w:rsidRPr="001E764F" w:rsidRDefault="00400A7D" w:rsidP="00270AAE">
            <w:pPr>
              <w:rPr>
                <w:rFonts w:ascii="Arial" w:hAnsi="Arial" w:cs="Arial"/>
              </w:rPr>
            </w:pPr>
            <w:r>
              <w:rPr>
                <w:rFonts w:ascii="Arial" w:hAnsi="Arial" w:cs="Arial"/>
              </w:rPr>
              <w:t>August 7, 2018 in Toronto</w:t>
            </w:r>
            <w:r w:rsidR="00DA1FD7">
              <w:rPr>
                <w:rFonts w:ascii="Arial" w:hAnsi="Arial" w:cs="Arial"/>
              </w:rPr>
              <w:t>, Ontario</w:t>
            </w:r>
          </w:p>
        </w:tc>
      </w:tr>
    </w:tbl>
    <w:p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rsidTr="00DA1FD7">
        <w:tc>
          <w:tcPr>
            <w:tcW w:w="4361" w:type="dxa"/>
          </w:tcPr>
          <w:bookmarkEnd w:id="0"/>
          <w:p w:rsidR="0089782A" w:rsidRPr="00C940BC" w:rsidRDefault="0089782A" w:rsidP="00270AAE">
            <w:pPr>
              <w:rPr>
                <w:rFonts w:ascii="Arial" w:hAnsi="Arial" w:cs="Arial"/>
              </w:rPr>
            </w:pPr>
            <w:r w:rsidRPr="001E764F">
              <w:rPr>
                <w:rFonts w:ascii="Arial" w:hAnsi="Arial" w:cs="Arial"/>
                <w:b/>
              </w:rPr>
              <w:t>APPEARANCES:</w:t>
            </w:r>
          </w:p>
        </w:tc>
        <w:tc>
          <w:tcPr>
            <w:tcW w:w="5245" w:type="dxa"/>
          </w:tcPr>
          <w:p w:rsidR="0089782A" w:rsidRPr="001E764F" w:rsidRDefault="0089782A" w:rsidP="00270AAE">
            <w:pPr>
              <w:rPr>
                <w:rFonts w:ascii="Arial" w:hAnsi="Arial" w:cs="Arial"/>
              </w:rPr>
            </w:pPr>
          </w:p>
        </w:tc>
      </w:tr>
      <w:tr w:rsidR="0089782A" w:rsidRPr="001E764F" w:rsidTr="00DA1FD7">
        <w:tc>
          <w:tcPr>
            <w:tcW w:w="4361" w:type="dxa"/>
          </w:tcPr>
          <w:p w:rsidR="0089782A" w:rsidRPr="001E764F" w:rsidRDefault="0089782A" w:rsidP="00270AAE">
            <w:pPr>
              <w:rPr>
                <w:rFonts w:ascii="Arial" w:hAnsi="Arial" w:cs="Arial"/>
              </w:rPr>
            </w:pPr>
          </w:p>
        </w:tc>
        <w:tc>
          <w:tcPr>
            <w:tcW w:w="5245" w:type="dxa"/>
          </w:tcPr>
          <w:p w:rsidR="0089782A" w:rsidRPr="001E764F" w:rsidRDefault="0089782A" w:rsidP="00270AAE">
            <w:pPr>
              <w:rPr>
                <w:rFonts w:ascii="Arial" w:hAnsi="Arial" w:cs="Arial"/>
              </w:rPr>
            </w:pPr>
          </w:p>
        </w:tc>
      </w:tr>
      <w:tr w:rsidR="008046EB" w:rsidRPr="001E764F" w:rsidTr="00DA1FD7">
        <w:tc>
          <w:tcPr>
            <w:tcW w:w="4361" w:type="dxa"/>
          </w:tcPr>
          <w:p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rsidR="008046EB" w:rsidRPr="00C940BC" w:rsidRDefault="008046EB" w:rsidP="00DA1FD7">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CF3F96" w:rsidRPr="001E764F" w:rsidTr="00DA1FD7">
        <w:tc>
          <w:tcPr>
            <w:tcW w:w="4361" w:type="dxa"/>
          </w:tcPr>
          <w:p w:rsidR="00CF3F96" w:rsidRPr="001E764F" w:rsidRDefault="00CF3F96" w:rsidP="00270AAE">
            <w:pPr>
              <w:rPr>
                <w:rFonts w:ascii="Arial" w:hAnsi="Arial" w:cs="Arial"/>
              </w:rPr>
            </w:pPr>
          </w:p>
        </w:tc>
        <w:tc>
          <w:tcPr>
            <w:tcW w:w="5245" w:type="dxa"/>
          </w:tcPr>
          <w:p w:rsidR="00CF3F96" w:rsidRPr="001D67CE" w:rsidRDefault="00CF3F96" w:rsidP="00270AAE">
            <w:pPr>
              <w:rPr>
                <w:rFonts w:ascii="Arial" w:hAnsi="Arial" w:cs="Arial"/>
              </w:rPr>
            </w:pPr>
          </w:p>
        </w:tc>
      </w:tr>
      <w:tr w:rsidR="001D67CE" w:rsidRPr="001E764F" w:rsidTr="00DA1FD7">
        <w:tc>
          <w:tcPr>
            <w:tcW w:w="4361" w:type="dxa"/>
          </w:tcPr>
          <w:p w:rsidR="001D67CE" w:rsidRPr="001E764F" w:rsidRDefault="00400A7D" w:rsidP="00270AAE">
            <w:pPr>
              <w:rPr>
                <w:rFonts w:ascii="Arial" w:hAnsi="Arial" w:cs="Arial"/>
              </w:rPr>
            </w:pPr>
            <w:proofErr w:type="spellStart"/>
            <w:r>
              <w:rPr>
                <w:rFonts w:ascii="Arial" w:hAnsi="Arial" w:cs="Arial"/>
              </w:rPr>
              <w:t>Westbank</w:t>
            </w:r>
            <w:proofErr w:type="spellEnd"/>
            <w:r>
              <w:rPr>
                <w:rFonts w:ascii="Arial" w:hAnsi="Arial" w:cs="Arial"/>
              </w:rPr>
              <w:t xml:space="preserve"> Projects Corp. and Allied Properties REIT</w:t>
            </w:r>
          </w:p>
        </w:tc>
        <w:tc>
          <w:tcPr>
            <w:tcW w:w="5245" w:type="dxa"/>
          </w:tcPr>
          <w:p w:rsidR="001D67CE" w:rsidRPr="001D67CE" w:rsidRDefault="00400A7D" w:rsidP="00DA1FD7">
            <w:pPr>
              <w:rPr>
                <w:rFonts w:ascii="Arial" w:hAnsi="Arial" w:cs="Arial"/>
              </w:rPr>
            </w:pPr>
            <w:r>
              <w:rPr>
                <w:rFonts w:ascii="Arial" w:hAnsi="Arial" w:cs="Arial"/>
              </w:rPr>
              <w:t>E. Costello</w:t>
            </w:r>
          </w:p>
        </w:tc>
      </w:tr>
      <w:tr w:rsidR="001D67CE" w:rsidRPr="001E764F" w:rsidTr="00DA1FD7">
        <w:tc>
          <w:tcPr>
            <w:tcW w:w="4361" w:type="dxa"/>
          </w:tcPr>
          <w:p w:rsidR="001D67CE" w:rsidRPr="001E764F" w:rsidRDefault="001D67CE" w:rsidP="00270AAE">
            <w:pPr>
              <w:rPr>
                <w:rFonts w:ascii="Arial" w:hAnsi="Arial" w:cs="Arial"/>
              </w:rPr>
            </w:pPr>
          </w:p>
        </w:tc>
        <w:tc>
          <w:tcPr>
            <w:tcW w:w="5245" w:type="dxa"/>
          </w:tcPr>
          <w:p w:rsidR="001D67CE" w:rsidRPr="001D67CE" w:rsidRDefault="001D67CE" w:rsidP="00270AAE">
            <w:pPr>
              <w:rPr>
                <w:rFonts w:ascii="Arial" w:hAnsi="Arial" w:cs="Arial"/>
              </w:rPr>
            </w:pPr>
          </w:p>
        </w:tc>
      </w:tr>
      <w:tr w:rsidR="001D67CE" w:rsidRPr="001E764F" w:rsidTr="00DA1FD7">
        <w:tc>
          <w:tcPr>
            <w:tcW w:w="4361" w:type="dxa"/>
          </w:tcPr>
          <w:p w:rsidR="001D67CE" w:rsidRPr="001E764F" w:rsidRDefault="00400A7D" w:rsidP="00270AAE">
            <w:pPr>
              <w:rPr>
                <w:rFonts w:ascii="Arial" w:hAnsi="Arial" w:cs="Arial"/>
              </w:rPr>
            </w:pPr>
            <w:r>
              <w:rPr>
                <w:rFonts w:ascii="Arial" w:hAnsi="Arial" w:cs="Arial"/>
              </w:rPr>
              <w:t>City of Toronto</w:t>
            </w:r>
          </w:p>
        </w:tc>
        <w:tc>
          <w:tcPr>
            <w:tcW w:w="5245" w:type="dxa"/>
          </w:tcPr>
          <w:p w:rsidR="001D67CE" w:rsidRDefault="00400A7D" w:rsidP="00270AAE">
            <w:pPr>
              <w:rPr>
                <w:rFonts w:ascii="Arial" w:hAnsi="Arial" w:cs="Arial"/>
              </w:rPr>
            </w:pPr>
            <w:r>
              <w:rPr>
                <w:rFonts w:ascii="Arial" w:hAnsi="Arial" w:cs="Arial"/>
              </w:rPr>
              <w:t>M. Crawford</w:t>
            </w:r>
          </w:p>
          <w:p w:rsidR="00400A7D" w:rsidRPr="001D67CE" w:rsidRDefault="00400A7D" w:rsidP="00270AAE">
            <w:pPr>
              <w:rPr>
                <w:rFonts w:ascii="Arial" w:hAnsi="Arial" w:cs="Arial"/>
              </w:rPr>
            </w:pPr>
          </w:p>
        </w:tc>
      </w:tr>
      <w:tr w:rsidR="001D67CE" w:rsidRPr="001E764F" w:rsidTr="00DA1FD7">
        <w:tc>
          <w:tcPr>
            <w:tcW w:w="4361" w:type="dxa"/>
          </w:tcPr>
          <w:p w:rsidR="001D67CE" w:rsidRPr="001E764F" w:rsidRDefault="001D67CE" w:rsidP="00270AAE">
            <w:pPr>
              <w:rPr>
                <w:rFonts w:ascii="Arial" w:hAnsi="Arial" w:cs="Arial"/>
              </w:rPr>
            </w:pPr>
          </w:p>
        </w:tc>
        <w:tc>
          <w:tcPr>
            <w:tcW w:w="5245" w:type="dxa"/>
          </w:tcPr>
          <w:p w:rsidR="001D67CE" w:rsidRPr="001D67CE" w:rsidRDefault="001D67CE" w:rsidP="00270AAE">
            <w:pPr>
              <w:rPr>
                <w:rFonts w:ascii="Arial" w:hAnsi="Arial" w:cs="Arial"/>
              </w:rPr>
            </w:pPr>
          </w:p>
        </w:tc>
      </w:tr>
    </w:tbl>
    <w:p w:rsidR="00400A7D" w:rsidRDefault="00400A7D" w:rsidP="00DA1FD7">
      <w:pPr>
        <w:pStyle w:val="DecisionDeliveredby"/>
      </w:pPr>
      <w:r>
        <w:lastRenderedPageBreak/>
        <w:t xml:space="preserve">MEMORANDUM OF ORAL DECISION DELIVERED BY RICHARD JONES ON </w:t>
      </w:r>
      <w:r w:rsidRPr="00DA1FD7">
        <w:rPr>
          <w:u w:val="single"/>
        </w:rPr>
        <w:t>AUGUST 7, 2018</w:t>
      </w:r>
      <w:r w:rsidR="00DA1FD7">
        <w:rPr>
          <w:u w:val="single"/>
        </w:rPr>
        <w:tab/>
      </w:r>
      <w:r w:rsidR="00DA1FD7">
        <w:rPr>
          <w:u w:val="single"/>
        </w:rPr>
        <w:tab/>
      </w:r>
      <w:r w:rsidR="00DA1FD7">
        <w:rPr>
          <w:u w:val="single"/>
        </w:rPr>
        <w:tab/>
      </w:r>
      <w:r w:rsidR="00DA1FD7">
        <w:rPr>
          <w:u w:val="single"/>
        </w:rPr>
        <w:tab/>
      </w:r>
      <w:r w:rsidR="00DA1FD7">
        <w:rPr>
          <w:u w:val="single"/>
        </w:rPr>
        <w:tab/>
      </w:r>
      <w:r w:rsidR="00DA1FD7">
        <w:rPr>
          <w:u w:val="single"/>
        </w:rPr>
        <w:tab/>
      </w:r>
      <w:r w:rsidR="00DA1FD7">
        <w:rPr>
          <w:u w:val="single"/>
        </w:rPr>
        <w:tab/>
      </w:r>
      <w:r w:rsidR="00DA1FD7">
        <w:rPr>
          <w:u w:val="single"/>
        </w:rPr>
        <w:tab/>
      </w:r>
      <w:r w:rsidR="00DA1FD7">
        <w:rPr>
          <w:u w:val="single"/>
        </w:rPr>
        <w:tab/>
      </w:r>
      <w:r w:rsidR="00DA1FD7">
        <w:rPr>
          <w:u w:val="single"/>
        </w:rPr>
        <w:tab/>
      </w:r>
    </w:p>
    <w:p w:rsidR="0063645D" w:rsidRPr="008C1B3D" w:rsidRDefault="00400A7D" w:rsidP="00B061CB">
      <w:pPr>
        <w:pStyle w:val="ListParagraph"/>
        <w:numPr>
          <w:ilvl w:val="0"/>
          <w:numId w:val="33"/>
        </w:numPr>
        <w:ind w:left="0" w:firstLine="0"/>
      </w:pPr>
      <w:r w:rsidRPr="00DA1FD7">
        <w:t>Counsel</w:t>
      </w:r>
      <w:r w:rsidR="00720DC5" w:rsidRPr="00DA1FD7">
        <w:t xml:space="preserve"> for Allied Properties REIT </w:t>
      </w:r>
      <w:r w:rsidR="003861C6" w:rsidRPr="00DA1FD7">
        <w:t xml:space="preserve">and its agent, </w:t>
      </w:r>
      <w:proofErr w:type="spellStart"/>
      <w:r w:rsidR="003861C6" w:rsidRPr="00DA1FD7">
        <w:t>Westbank</w:t>
      </w:r>
      <w:proofErr w:type="spellEnd"/>
      <w:r w:rsidR="003861C6" w:rsidRPr="00DA1FD7">
        <w:t xml:space="preserve"> Projects Corp</w:t>
      </w:r>
      <w:r w:rsidR="00DA1FD7">
        <w:t>.</w:t>
      </w:r>
      <w:r w:rsidR="003861C6" w:rsidRPr="00DA1FD7">
        <w:t>, collectively described as Allied/</w:t>
      </w:r>
      <w:proofErr w:type="spellStart"/>
      <w:r w:rsidR="003861C6" w:rsidRPr="00DA1FD7">
        <w:t>Westbank</w:t>
      </w:r>
      <w:proofErr w:type="spellEnd"/>
      <w:r w:rsidR="00EB236E">
        <w:t>,</w:t>
      </w:r>
      <w:r w:rsidRPr="00DA1FD7">
        <w:t xml:space="preserve"> and the City of Toronto </w:t>
      </w:r>
      <w:r w:rsidR="003861C6" w:rsidRPr="00DA1FD7">
        <w:t>(</w:t>
      </w:r>
      <w:r w:rsidR="00DA1FD7">
        <w:t>“</w:t>
      </w:r>
      <w:r w:rsidR="003861C6" w:rsidRPr="00DA1FD7">
        <w:t>City</w:t>
      </w:r>
      <w:r w:rsidR="00DA1FD7">
        <w:t>”</w:t>
      </w:r>
      <w:r w:rsidR="003861C6" w:rsidRPr="00DA1FD7">
        <w:t xml:space="preserve">) </w:t>
      </w:r>
      <w:r w:rsidRPr="00DA1FD7">
        <w:t xml:space="preserve">informed the Tribunal of </w:t>
      </w:r>
      <w:r w:rsidR="00EB236E">
        <w:t>their</w:t>
      </w:r>
      <w:r w:rsidRPr="00DA1FD7">
        <w:t xml:space="preserve"> settlement</w:t>
      </w:r>
      <w:r w:rsidR="001836F9">
        <w:t xml:space="preserve"> discussions</w:t>
      </w:r>
      <w:r w:rsidRPr="00DA1FD7">
        <w:t xml:space="preserve"> and </w:t>
      </w:r>
      <w:r w:rsidR="00EB236E">
        <w:t>requested</w:t>
      </w:r>
      <w:r w:rsidRPr="00DA1FD7">
        <w:t xml:space="preserve"> that the Pre</w:t>
      </w:r>
      <w:r w:rsidR="00DA1FD7">
        <w:t>-</w:t>
      </w:r>
      <w:r w:rsidRPr="00DA1FD7">
        <w:t xml:space="preserve">Hearing </w:t>
      </w:r>
      <w:r w:rsidR="00337660" w:rsidRPr="00DA1FD7">
        <w:t xml:space="preserve">Conference </w:t>
      </w:r>
      <w:r w:rsidRPr="00DA1FD7">
        <w:t xml:space="preserve">be converted to a Hearing </w:t>
      </w:r>
      <w:r w:rsidR="00337660" w:rsidRPr="00DA1FD7">
        <w:t xml:space="preserve">to </w:t>
      </w:r>
      <w:r w:rsidR="008C1B3D">
        <w:t xml:space="preserve">allow for the provision of </w:t>
      </w:r>
      <w:r w:rsidR="0094444B">
        <w:t xml:space="preserve">planning </w:t>
      </w:r>
      <w:r w:rsidR="00A26E9C">
        <w:t xml:space="preserve">evidence in support of </w:t>
      </w:r>
      <w:r w:rsidRPr="00DA1FD7">
        <w:t>settlement</w:t>
      </w:r>
      <w:r w:rsidR="00D23A8E">
        <w:t xml:space="preserve"> discussions, which although positive, are s</w:t>
      </w:r>
      <w:r w:rsidR="00D67332">
        <w:t>till on going.</w:t>
      </w:r>
      <w:r w:rsidRPr="00DA1FD7">
        <w:t xml:space="preserve"> The Tribunal</w:t>
      </w:r>
      <w:r w:rsidR="00720DC5" w:rsidRPr="00DA1FD7">
        <w:t xml:space="preserve"> </w:t>
      </w:r>
      <w:r w:rsidR="005A2047" w:rsidRPr="00DA1FD7">
        <w:t>a</w:t>
      </w:r>
      <w:r w:rsidR="005A2047">
        <w:t>ssented</w:t>
      </w:r>
      <w:r w:rsidR="0094444B">
        <w:t xml:space="preserve"> to the request.</w:t>
      </w:r>
      <w:r w:rsidR="003861C6" w:rsidRPr="00DA1FD7">
        <w:t xml:space="preserve"> </w:t>
      </w:r>
      <w:r w:rsidR="00693FD8" w:rsidRPr="008C1B3D">
        <w:t>The appeal by Allied/</w:t>
      </w:r>
      <w:proofErr w:type="spellStart"/>
      <w:r w:rsidR="00693FD8" w:rsidRPr="008C1B3D">
        <w:t>Westbank</w:t>
      </w:r>
      <w:proofErr w:type="spellEnd"/>
      <w:r w:rsidR="00693FD8" w:rsidRPr="008C1B3D">
        <w:t xml:space="preserve"> was made pursuant s</w:t>
      </w:r>
      <w:r w:rsidR="00DD0BE4" w:rsidRPr="008C1B3D">
        <w:t>.</w:t>
      </w:r>
      <w:r w:rsidR="00693FD8" w:rsidRPr="008C1B3D">
        <w:t xml:space="preserve"> 34(11) of the </w:t>
      </w:r>
      <w:r w:rsidR="00693FD8" w:rsidRPr="008C1B3D">
        <w:rPr>
          <w:i/>
        </w:rPr>
        <w:t>Planning Act</w:t>
      </w:r>
      <w:r w:rsidR="00693FD8" w:rsidRPr="008C1B3D">
        <w:t xml:space="preserve"> arising from the City’s failure to make a decision on the rezoning application. </w:t>
      </w:r>
    </w:p>
    <w:p w:rsidR="00673FDB" w:rsidRPr="00DA1FD7" w:rsidRDefault="00ED51D9" w:rsidP="00B061CB">
      <w:pPr>
        <w:pStyle w:val="ListParagraph"/>
        <w:numPr>
          <w:ilvl w:val="0"/>
          <w:numId w:val="33"/>
        </w:numPr>
        <w:ind w:left="0" w:firstLine="0"/>
      </w:pPr>
      <w:r w:rsidRPr="00DA1FD7">
        <w:t>The subject property consists of seven buildings, 489, 499, 511, 519-529, a</w:t>
      </w:r>
      <w:r w:rsidR="00986E54" w:rsidRPr="00DA1FD7">
        <w:t>nd 539</w:t>
      </w:r>
      <w:r w:rsidRPr="00DA1FD7">
        <w:t xml:space="preserve"> King Stree</w:t>
      </w:r>
      <w:r w:rsidR="0063645D" w:rsidRPr="00DA1FD7">
        <w:t>t West</w:t>
      </w:r>
      <w:r w:rsidR="0094444B">
        <w:t>.</w:t>
      </w:r>
      <w:r w:rsidR="0063645D" w:rsidRPr="00DA1FD7">
        <w:t xml:space="preserve">  </w:t>
      </w:r>
      <w:r w:rsidR="00986E54" w:rsidRPr="00DA1FD7">
        <w:t>495 King Street West</w:t>
      </w:r>
      <w:r w:rsidRPr="00DA1FD7">
        <w:t xml:space="preserve"> which is located in the rear portion of the subject property</w:t>
      </w:r>
      <w:r w:rsidR="0094444B">
        <w:t xml:space="preserve"> does not have frontage on King Street West</w:t>
      </w:r>
    </w:p>
    <w:p w:rsidR="00673FDB" w:rsidRPr="00DA1FD7" w:rsidRDefault="00673FDB" w:rsidP="00B061CB">
      <w:pPr>
        <w:pStyle w:val="ListParagraph"/>
        <w:numPr>
          <w:ilvl w:val="0"/>
          <w:numId w:val="33"/>
        </w:numPr>
        <w:ind w:left="0" w:firstLine="0"/>
      </w:pPr>
      <w:r w:rsidRPr="00DA1FD7">
        <w:t xml:space="preserve">Counsel </w:t>
      </w:r>
      <w:r w:rsidR="00EB236E">
        <w:t xml:space="preserve">further requested </w:t>
      </w:r>
      <w:r w:rsidRPr="00DA1FD7">
        <w:t>t</w:t>
      </w:r>
      <w:r w:rsidR="00491C3D" w:rsidRPr="00DA1FD7">
        <w:t>he</w:t>
      </w:r>
      <w:r w:rsidRPr="00DA1FD7">
        <w:t xml:space="preserve"> Tribunal to withhold its final order regarding </w:t>
      </w:r>
      <w:r w:rsidR="004B12D9" w:rsidRPr="00DA1FD7">
        <w:t xml:space="preserve">the </w:t>
      </w:r>
      <w:r w:rsidRPr="00DA1FD7">
        <w:t>draft zoning by-law amendments to By</w:t>
      </w:r>
      <w:r w:rsidR="00A1501E">
        <w:t>-</w:t>
      </w:r>
      <w:r w:rsidRPr="00DA1FD7">
        <w:t>law No. 438-86 (Exhibit 6) and By-law No. 569-20</w:t>
      </w:r>
      <w:r w:rsidR="00634BAC">
        <w:t>1</w:t>
      </w:r>
      <w:r w:rsidRPr="00DA1FD7">
        <w:t xml:space="preserve">3 (Exhibit </w:t>
      </w:r>
      <w:r w:rsidR="004B12D9" w:rsidRPr="00DA1FD7">
        <w:t>7)</w:t>
      </w:r>
      <w:r w:rsidRPr="00DA1FD7">
        <w:t xml:space="preserve"> </w:t>
      </w:r>
      <w:r w:rsidR="004B12D9" w:rsidRPr="00DA1FD7">
        <w:t xml:space="preserve">which are </w:t>
      </w:r>
      <w:r w:rsidRPr="00DA1FD7">
        <w:t xml:space="preserve">appended as Attachment 1, </w:t>
      </w:r>
      <w:r w:rsidR="004B12D9" w:rsidRPr="00DA1FD7">
        <w:t>pending completion of items identified by City Council resolution TE34.31 dated July 23, 2018 (Exhibit 5)</w:t>
      </w:r>
      <w:r w:rsidR="00366938" w:rsidRPr="00DA1FD7">
        <w:t xml:space="preserve"> regarding shadow impacts</w:t>
      </w:r>
      <w:r w:rsidR="00337660" w:rsidRPr="00DA1FD7">
        <w:t>, setbacks</w:t>
      </w:r>
      <w:r w:rsidR="00366938" w:rsidRPr="00DA1FD7">
        <w:t>,</w:t>
      </w:r>
      <w:r w:rsidR="004B12D9" w:rsidRPr="00DA1FD7">
        <w:t xml:space="preserve"> </w:t>
      </w:r>
      <w:r w:rsidR="00832876" w:rsidRPr="00DA1FD7">
        <w:t xml:space="preserve">the completion of </w:t>
      </w:r>
      <w:r w:rsidR="00612829" w:rsidRPr="00DA1FD7">
        <w:t xml:space="preserve">various </w:t>
      </w:r>
      <w:r w:rsidR="004B12D9" w:rsidRPr="00DA1FD7">
        <w:t>agreements</w:t>
      </w:r>
      <w:r w:rsidR="00366938" w:rsidRPr="00DA1FD7">
        <w:t>,</w:t>
      </w:r>
      <w:r w:rsidR="004B12D9" w:rsidRPr="00DA1FD7">
        <w:t xml:space="preserve"> parking </w:t>
      </w:r>
      <w:r w:rsidR="00366938" w:rsidRPr="00DA1FD7">
        <w:t>provisions</w:t>
      </w:r>
      <w:r w:rsidR="004B12D9" w:rsidRPr="00DA1FD7">
        <w:t xml:space="preserve"> etc. </w:t>
      </w:r>
      <w:r w:rsidR="00612829" w:rsidRPr="00DA1FD7">
        <w:t>The list of remain</w:t>
      </w:r>
      <w:r w:rsidR="00DD0BE4">
        <w:t xml:space="preserve">ing items is not inconsiderable </w:t>
      </w:r>
      <w:r w:rsidR="00612829" w:rsidRPr="00DA1FD7">
        <w:t xml:space="preserve">and will take additional time </w:t>
      </w:r>
      <w:r w:rsidR="009974A2" w:rsidRPr="00DA1FD7">
        <w:t>to resol</w:t>
      </w:r>
      <w:r w:rsidR="00337660" w:rsidRPr="00DA1FD7">
        <w:t>ve according to C</w:t>
      </w:r>
      <w:r w:rsidR="009974A2" w:rsidRPr="00DA1FD7">
        <w:t xml:space="preserve">ounsel and those </w:t>
      </w:r>
      <w:r w:rsidR="00491C3D" w:rsidRPr="00DA1FD7">
        <w:t>matters, which are still outstanding,</w:t>
      </w:r>
      <w:r w:rsidR="009974A2" w:rsidRPr="00DA1FD7">
        <w:t xml:space="preserve"> are also noted in paragraphs 3 and 4 on pages 265 to 268 inclusive of Tab 10, Exhibit 3a.</w:t>
      </w:r>
      <w:r w:rsidR="00612829" w:rsidRPr="00DA1FD7">
        <w:t xml:space="preserve"> The Tribunal notes </w:t>
      </w:r>
      <w:r w:rsidR="0063645D" w:rsidRPr="00DA1FD7">
        <w:t xml:space="preserve">that </w:t>
      </w:r>
      <w:r w:rsidR="00612829" w:rsidRPr="00DA1FD7">
        <w:t xml:space="preserve">the City’s planning staff is supportive of the </w:t>
      </w:r>
      <w:r w:rsidR="00491C3D" w:rsidRPr="00DA1FD7">
        <w:t>settlement</w:t>
      </w:r>
      <w:r w:rsidR="00D23A8E">
        <w:t xml:space="preserve"> initiative.</w:t>
      </w:r>
      <w:r w:rsidR="004B12D9" w:rsidRPr="00DA1FD7">
        <w:t xml:space="preserve"> </w:t>
      </w:r>
      <w:r w:rsidRPr="00DA1FD7">
        <w:t xml:space="preserve"> </w:t>
      </w:r>
    </w:p>
    <w:p w:rsidR="001A3D92" w:rsidRPr="00883D32" w:rsidRDefault="00693FD8" w:rsidP="00B061CB">
      <w:pPr>
        <w:pStyle w:val="ListParagraph"/>
        <w:numPr>
          <w:ilvl w:val="0"/>
          <w:numId w:val="33"/>
        </w:numPr>
        <w:ind w:left="0" w:firstLine="0"/>
        <w:rPr>
          <w:lang w:val="en-CA"/>
        </w:rPr>
      </w:pPr>
      <w:r w:rsidRPr="00DA1FD7">
        <w:t>The application proposes a large rectangular building that would extend over the subject property</w:t>
      </w:r>
      <w:r w:rsidR="00491C3D" w:rsidRPr="00DA1FD7">
        <w:t xml:space="preserve"> </w:t>
      </w:r>
      <w:r w:rsidR="00337660" w:rsidRPr="00DA1FD7">
        <w:t xml:space="preserve">and </w:t>
      </w:r>
      <w:r w:rsidR="0094444B">
        <w:t xml:space="preserve">which </w:t>
      </w:r>
      <w:r w:rsidRPr="00DA1FD7">
        <w:t>include</w:t>
      </w:r>
      <w:r w:rsidR="00BE11BB" w:rsidRPr="00DA1FD7">
        <w:t>s</w:t>
      </w:r>
      <w:r w:rsidRPr="00DA1FD7">
        <w:t xml:space="preserve"> a</w:t>
      </w:r>
      <w:r w:rsidR="0094444B">
        <w:t>n</w:t>
      </w:r>
      <w:r w:rsidRPr="00DA1FD7">
        <w:t xml:space="preserve"> inte</w:t>
      </w:r>
      <w:r w:rsidR="00491C3D" w:rsidRPr="00DA1FD7">
        <w:t>rior courtyard</w:t>
      </w:r>
      <w:r w:rsidRPr="00DA1FD7">
        <w:t xml:space="preserve">. </w:t>
      </w:r>
      <w:r w:rsidR="00414B5D" w:rsidRPr="00DA1FD7">
        <w:t>The building is proposed to</w:t>
      </w:r>
      <w:r w:rsidR="0063645D" w:rsidRPr="00DA1FD7">
        <w:t xml:space="preserve"> step back from King </w:t>
      </w:r>
      <w:r w:rsidR="00832876" w:rsidRPr="00DA1FD7">
        <w:t>S</w:t>
      </w:r>
      <w:r w:rsidR="0063645D" w:rsidRPr="00DA1FD7">
        <w:t>treet Wes</w:t>
      </w:r>
      <w:r w:rsidR="00BE11BB" w:rsidRPr="00DA1FD7">
        <w:t>t in</w:t>
      </w:r>
      <w:r w:rsidR="00414B5D" w:rsidRPr="00DA1FD7">
        <w:t xml:space="preserve"> </w:t>
      </w:r>
      <w:r w:rsidR="00491C3D" w:rsidRPr="00DA1FD7">
        <w:t>a</w:t>
      </w:r>
      <w:r w:rsidR="00BE11BB" w:rsidRPr="00DA1FD7">
        <w:t xml:space="preserve"> “</w:t>
      </w:r>
      <w:r w:rsidR="0063645D" w:rsidRPr="00DA1FD7">
        <w:t>pixelated</w:t>
      </w:r>
      <w:r w:rsidR="00BE11BB" w:rsidRPr="00DA1FD7">
        <w:t>” architectural fashion</w:t>
      </w:r>
      <w:r w:rsidR="00337660" w:rsidRPr="00DA1FD7">
        <w:t xml:space="preserve"> and features a series of </w:t>
      </w:r>
      <w:r w:rsidR="00414B5D" w:rsidRPr="00DA1FD7">
        <w:t xml:space="preserve">peaks with a maximum height of </w:t>
      </w:r>
      <w:r w:rsidR="00A1501E">
        <w:rPr>
          <w:lang w:val="en-CA"/>
        </w:rPr>
        <w:t>16</w:t>
      </w:r>
      <w:r w:rsidR="00414B5D" w:rsidRPr="00883D32">
        <w:rPr>
          <w:lang w:val="en-CA"/>
        </w:rPr>
        <w:t xml:space="preserve"> sto</w:t>
      </w:r>
      <w:r w:rsidR="00491C3D" w:rsidRPr="00883D32">
        <w:rPr>
          <w:lang w:val="en-CA"/>
        </w:rPr>
        <w:t>r</w:t>
      </w:r>
      <w:r w:rsidR="00414B5D" w:rsidRPr="00883D32">
        <w:rPr>
          <w:lang w:val="en-CA"/>
        </w:rPr>
        <w:t>eys involving two peaks at the southeast and southwest of the s</w:t>
      </w:r>
      <w:r w:rsidR="004B681D" w:rsidRPr="00883D32">
        <w:rPr>
          <w:lang w:val="en-CA"/>
        </w:rPr>
        <w:t>ite.  The middle peak has</w:t>
      </w:r>
      <w:r w:rsidR="00414B5D" w:rsidRPr="00883D32">
        <w:rPr>
          <w:lang w:val="en-CA"/>
        </w:rPr>
        <w:t xml:space="preserve"> a maximum </w:t>
      </w:r>
      <w:r w:rsidR="00BE11BB" w:rsidRPr="00883D32">
        <w:rPr>
          <w:lang w:val="en-CA"/>
        </w:rPr>
        <w:t>height of 15 storeys and the pea</w:t>
      </w:r>
      <w:r w:rsidR="00414B5D" w:rsidRPr="00883D32">
        <w:rPr>
          <w:lang w:val="en-CA"/>
        </w:rPr>
        <w:t xml:space="preserve">k on the northern side </w:t>
      </w:r>
      <w:r w:rsidR="004B681D" w:rsidRPr="00883D32">
        <w:rPr>
          <w:lang w:val="en-CA"/>
        </w:rPr>
        <w:t>of the subject property propo</w:t>
      </w:r>
      <w:r w:rsidR="00DD0BE4" w:rsidRPr="00883D32">
        <w:rPr>
          <w:lang w:val="en-CA"/>
        </w:rPr>
        <w:t>s</w:t>
      </w:r>
      <w:r w:rsidR="004B681D" w:rsidRPr="00883D32">
        <w:rPr>
          <w:lang w:val="en-CA"/>
        </w:rPr>
        <w:t>es</w:t>
      </w:r>
      <w:r w:rsidR="00414B5D" w:rsidRPr="00883D32">
        <w:rPr>
          <w:lang w:val="en-CA"/>
        </w:rPr>
        <w:t xml:space="preserve"> 14 storeys.</w:t>
      </w:r>
    </w:p>
    <w:p w:rsidR="00400A7D" w:rsidRPr="00DA1FD7" w:rsidRDefault="001A3D92" w:rsidP="00B061CB">
      <w:pPr>
        <w:pStyle w:val="ListParagraph"/>
        <w:numPr>
          <w:ilvl w:val="0"/>
          <w:numId w:val="33"/>
        </w:numPr>
        <w:ind w:left="0" w:firstLine="0"/>
      </w:pPr>
      <w:r w:rsidRPr="00DA1FD7">
        <w:lastRenderedPageBreak/>
        <w:t xml:space="preserve">The designated heritage building at 489 King Street West together with the listed heritage building at 495 King Street West will be </w:t>
      </w:r>
      <w:r w:rsidR="00414B5D" w:rsidRPr="00DA1FD7">
        <w:t xml:space="preserve">retained </w:t>
      </w:r>
      <w:r w:rsidRPr="00DA1FD7">
        <w:t>intact</w:t>
      </w:r>
      <w:r w:rsidR="00832876" w:rsidRPr="00DA1FD7">
        <w:t>,</w:t>
      </w:r>
      <w:r w:rsidRPr="00DA1FD7">
        <w:t xml:space="preserve"> </w:t>
      </w:r>
      <w:r w:rsidR="00414B5D" w:rsidRPr="00DA1FD7">
        <w:t>and the front of the designated heritage building at 511 King Street West and the listed heritage buildings at 519-529 King Street West will be integrated into the new building complex.  539 King Street West will be demolished.</w:t>
      </w:r>
    </w:p>
    <w:p w:rsidR="00673FDB" w:rsidRPr="00DA1FD7" w:rsidRDefault="00414B5D" w:rsidP="00B061CB">
      <w:pPr>
        <w:pStyle w:val="ListParagraph"/>
        <w:numPr>
          <w:ilvl w:val="0"/>
          <w:numId w:val="33"/>
        </w:numPr>
        <w:ind w:left="0" w:firstLine="0"/>
      </w:pPr>
      <w:r w:rsidRPr="00DA1FD7">
        <w:t xml:space="preserve">Office uses will occupy the second, </w:t>
      </w:r>
      <w:r w:rsidR="001A3D92" w:rsidRPr="00DA1FD7">
        <w:t xml:space="preserve">mezzanine and third floors with retail activities </w:t>
      </w:r>
      <w:r w:rsidR="0094444B">
        <w:t>proposed for</w:t>
      </w:r>
      <w:r w:rsidR="001A3D92" w:rsidRPr="00DA1FD7">
        <w:t xml:space="preserve"> the first and secon</w:t>
      </w:r>
      <w:r w:rsidR="00491C3D" w:rsidRPr="00DA1FD7">
        <w:t>d floors,</w:t>
      </w:r>
      <w:r w:rsidR="001A3D92" w:rsidRPr="00DA1FD7">
        <w:t xml:space="preserve"> the mezzanine levels a</w:t>
      </w:r>
      <w:r w:rsidR="00673FDB" w:rsidRPr="00DA1FD7">
        <w:t>nd the underground first level.</w:t>
      </w:r>
      <w:r w:rsidR="001A3D92" w:rsidRPr="00DA1FD7">
        <w:t xml:space="preserve"> 496 residential units are pr</w:t>
      </w:r>
      <w:r w:rsidR="00491C3D" w:rsidRPr="00DA1FD7">
        <w:t>oposed in addition to two floors</w:t>
      </w:r>
      <w:r w:rsidR="001A3D92" w:rsidRPr="00DA1FD7">
        <w:t xml:space="preserve"> of underground parking.</w:t>
      </w:r>
    </w:p>
    <w:p w:rsidR="00720DC5" w:rsidRPr="00DA1FD7" w:rsidRDefault="003861C6" w:rsidP="00B061CB">
      <w:pPr>
        <w:pStyle w:val="ListParagraph"/>
        <w:numPr>
          <w:ilvl w:val="0"/>
          <w:numId w:val="33"/>
        </w:numPr>
        <w:ind w:left="0" w:firstLine="0"/>
      </w:pPr>
      <w:r w:rsidRPr="00DA1FD7">
        <w:t>The T</w:t>
      </w:r>
      <w:r w:rsidR="00720DC5" w:rsidRPr="00DA1FD7">
        <w:t>ribunal granted participant status to 462 Wellington Inc. represented by cou</w:t>
      </w:r>
      <w:r w:rsidR="00BE11BB" w:rsidRPr="00DA1FD7">
        <w:t>nsel, Mary Flynn-Guglie</w:t>
      </w:r>
      <w:r w:rsidR="00DD0BE4">
        <w:t>t</w:t>
      </w:r>
      <w:r w:rsidR="00BE11BB" w:rsidRPr="00DA1FD7">
        <w:t xml:space="preserve">ti. Her </w:t>
      </w:r>
      <w:r w:rsidR="00491C3D" w:rsidRPr="00DA1FD7">
        <w:t>client owns</w:t>
      </w:r>
      <w:r w:rsidR="00720DC5" w:rsidRPr="00DA1FD7">
        <w:t xml:space="preserve"> property of that same address </w:t>
      </w:r>
      <w:r w:rsidR="00491C3D" w:rsidRPr="00DA1FD7">
        <w:t>which</w:t>
      </w:r>
      <w:r w:rsidRPr="00DA1FD7">
        <w:t xml:space="preserve"> adj</w:t>
      </w:r>
      <w:r w:rsidR="00491C3D" w:rsidRPr="00DA1FD7">
        <w:t>oins</w:t>
      </w:r>
      <w:r w:rsidR="007474DF" w:rsidRPr="00DA1FD7">
        <w:t xml:space="preserve"> the subject lands.</w:t>
      </w:r>
      <w:r w:rsidR="00693FD8" w:rsidRPr="00DA1FD7">
        <w:t xml:space="preserve"> </w:t>
      </w:r>
      <w:r w:rsidRPr="00DA1FD7">
        <w:t xml:space="preserve"> </w:t>
      </w:r>
      <w:r w:rsidR="00693FD8" w:rsidRPr="00DA1FD7">
        <w:t>Originally</w:t>
      </w:r>
      <w:r w:rsidRPr="00DA1FD7">
        <w:t xml:space="preserve"> </w:t>
      </w:r>
      <w:r w:rsidR="00693FD8" w:rsidRPr="00DA1FD7">
        <w:t xml:space="preserve">462 Wellington Street </w:t>
      </w:r>
      <w:r w:rsidR="00BE11BB" w:rsidRPr="00DA1FD7">
        <w:t xml:space="preserve">Inc. </w:t>
      </w:r>
      <w:r w:rsidR="00693FD8" w:rsidRPr="00DA1FD7">
        <w:t>had inten</w:t>
      </w:r>
      <w:r w:rsidR="00ED51D9" w:rsidRPr="00DA1FD7">
        <w:t>ded to seek party status</w:t>
      </w:r>
      <w:r w:rsidR="00BE11BB" w:rsidRPr="00DA1FD7">
        <w:t>,</w:t>
      </w:r>
      <w:r w:rsidR="00491C3D" w:rsidRPr="00DA1FD7">
        <w:t xml:space="preserve"> but is</w:t>
      </w:r>
      <w:r w:rsidR="00693FD8" w:rsidRPr="00DA1FD7">
        <w:t xml:space="preserve"> now content with participant status given current intentions to settle the appeal.</w:t>
      </w:r>
    </w:p>
    <w:p w:rsidR="00BE11BB" w:rsidRPr="00DA1FD7" w:rsidRDefault="00BE11BB" w:rsidP="00B061CB">
      <w:pPr>
        <w:pStyle w:val="ListParagraph"/>
        <w:numPr>
          <w:ilvl w:val="0"/>
          <w:numId w:val="33"/>
        </w:numPr>
        <w:ind w:left="0" w:firstLine="0"/>
      </w:pPr>
      <w:r w:rsidRPr="00DA1FD7">
        <w:t xml:space="preserve">The Tribunal heard planning evidence from John </w:t>
      </w:r>
      <w:proofErr w:type="spellStart"/>
      <w:r w:rsidRPr="00DA1FD7">
        <w:t>Gladki</w:t>
      </w:r>
      <w:proofErr w:type="spellEnd"/>
      <w:r w:rsidRPr="00DA1FD7">
        <w:t>, a professional planning consultant who was qualified to provide opinion</w:t>
      </w:r>
      <w:r w:rsidR="000058F5" w:rsidRPr="00DA1FD7">
        <w:t xml:space="preserve"> evidence in land use planning matters. </w:t>
      </w:r>
      <w:r w:rsidR="0094444B">
        <w:t>The planner has been associated with the application for quite some time.</w:t>
      </w:r>
    </w:p>
    <w:p w:rsidR="00B061CB" w:rsidRDefault="00A828F3" w:rsidP="00B061CB">
      <w:pPr>
        <w:pStyle w:val="ListParagraph"/>
        <w:numPr>
          <w:ilvl w:val="0"/>
          <w:numId w:val="33"/>
        </w:numPr>
        <w:ind w:left="0" w:firstLine="0"/>
      </w:pPr>
      <w:r w:rsidRPr="00DA1FD7">
        <w:t xml:space="preserve">Mr. </w:t>
      </w:r>
      <w:proofErr w:type="spellStart"/>
      <w:r w:rsidRPr="00DA1FD7">
        <w:t>Gladki</w:t>
      </w:r>
      <w:proofErr w:type="spellEnd"/>
      <w:r w:rsidRPr="00DA1FD7">
        <w:t xml:space="preserve"> opined that the application addressed current p</w:t>
      </w:r>
      <w:r w:rsidR="00832876" w:rsidRPr="00DA1FD7">
        <w:t>lanning policy in accordance with the following matters:</w:t>
      </w:r>
    </w:p>
    <w:p w:rsidR="00B061CB" w:rsidRPr="00DA1FD7" w:rsidRDefault="00B061CB" w:rsidP="00B061CB">
      <w:pPr>
        <w:pStyle w:val="ListParagraph"/>
        <w:ind w:left="1440" w:hanging="720"/>
      </w:pPr>
      <w:r>
        <w:t xml:space="preserve">• </w:t>
      </w:r>
      <w:r>
        <w:tab/>
      </w:r>
      <w:r w:rsidRPr="00DA1FD7">
        <w:t>The application was consistent with the Provincial Policy Statement 2014 because the development was proposed within a settlement area, and proposed a development form that was compact, fully serviced and supportive of public transit while also recognizing the important heritage value of several of the properties.</w:t>
      </w:r>
    </w:p>
    <w:p w:rsidR="00B061CB" w:rsidRPr="00DA1FD7" w:rsidRDefault="00B061CB" w:rsidP="00B061CB">
      <w:pPr>
        <w:pStyle w:val="ListParagraph"/>
        <w:ind w:left="1440" w:hanging="720"/>
      </w:pPr>
      <w:r>
        <w:t xml:space="preserve">• </w:t>
      </w:r>
      <w:r>
        <w:tab/>
      </w:r>
      <w:r w:rsidRPr="00DA1FD7">
        <w:t xml:space="preserve">The application conformed </w:t>
      </w:r>
      <w:proofErr w:type="gramStart"/>
      <w:r w:rsidRPr="00DA1FD7">
        <w:t>with</w:t>
      </w:r>
      <w:proofErr w:type="gramEnd"/>
      <w:r w:rsidRPr="00DA1FD7">
        <w:t xml:space="preserve"> the Growth Plan for the Greater Golden Horseshoe 2017 because it promotes an innovative intensification action </w:t>
      </w:r>
      <w:r w:rsidRPr="00DA1FD7">
        <w:lastRenderedPageBreak/>
        <w:t xml:space="preserve">on an underdeveloped site while providing a mix of </w:t>
      </w:r>
      <w:r>
        <w:t>employment</w:t>
      </w:r>
      <w:r w:rsidRPr="00DA1FD7">
        <w:t xml:space="preserve"> and housing</w:t>
      </w:r>
      <w:r>
        <w:t xml:space="preserve"> uses</w:t>
      </w:r>
      <w:r w:rsidRPr="00DA1FD7">
        <w:t>.</w:t>
      </w:r>
    </w:p>
    <w:p w:rsidR="00B061CB" w:rsidRPr="00DA1FD7" w:rsidRDefault="00B061CB" w:rsidP="00B061CB">
      <w:pPr>
        <w:pStyle w:val="ListParagraph"/>
        <w:ind w:left="1440" w:hanging="720"/>
      </w:pPr>
      <w:r>
        <w:t xml:space="preserve">• </w:t>
      </w:r>
      <w:r>
        <w:tab/>
      </w:r>
      <w:r w:rsidRPr="00DA1FD7">
        <w:t xml:space="preserve">The application conforms </w:t>
      </w:r>
      <w:proofErr w:type="gramStart"/>
      <w:r w:rsidRPr="00DA1FD7">
        <w:t>with</w:t>
      </w:r>
      <w:proofErr w:type="gramEnd"/>
      <w:r w:rsidRPr="00DA1FD7">
        <w:t xml:space="preserve"> the City of Toronto Official Plan (</w:t>
      </w:r>
      <w:r>
        <w:t>“</w:t>
      </w:r>
      <w:r w:rsidRPr="00DA1FD7">
        <w:t>OP</w:t>
      </w:r>
      <w:r>
        <w:t>”</w:t>
      </w:r>
      <w:r w:rsidRPr="00DA1FD7">
        <w:t>) because it promotes growth in the City’s Downtown and Central Waterfront where development is encouraged, while increasing opportunities for walking and cycling, social interaction, economic activity and the reduction of greenhouse gas emissions. Further, as the subject lands occupy one of the acknowledged Regeneration Areas (Map 18 of the OP)</w:t>
      </w:r>
      <w:proofErr w:type="gramStart"/>
      <w:r w:rsidRPr="00DA1FD7">
        <w:t>,</w:t>
      </w:r>
      <w:proofErr w:type="gramEnd"/>
      <w:r w:rsidRPr="00DA1FD7">
        <w:t xml:space="preserve"> the application encourages re-use of buildings and new investment in older areas. Moreover as part of the Downtown, it proposes improvements to the public realm including streets, parks and open spaces. In accordance with Chapter 3 of the OP, the application promotes a high quality built environment by virtue of its architecture, landscaping and urban design. The design ensures that </w:t>
      </w:r>
      <w:r>
        <w:t xml:space="preserve">building facades </w:t>
      </w:r>
      <w:r w:rsidRPr="00DA1FD7">
        <w:t>will be parallel to the street; that building entrances are accessible</w:t>
      </w:r>
      <w:r>
        <w:t>;</w:t>
      </w:r>
      <w:r w:rsidRPr="00DA1FD7">
        <w:t xml:space="preserve"> that ground floor uses </w:t>
      </w:r>
      <w:r>
        <w:t xml:space="preserve">will </w:t>
      </w:r>
      <w:r w:rsidRPr="00DA1FD7">
        <w:t xml:space="preserve">have views on the street and </w:t>
      </w:r>
      <w:r>
        <w:t xml:space="preserve">that </w:t>
      </w:r>
      <w:r w:rsidRPr="00DA1FD7">
        <w:t>vehicular access minimize</w:t>
      </w:r>
      <w:r>
        <w:t>s</w:t>
      </w:r>
      <w:r w:rsidRPr="00DA1FD7">
        <w:t xml:space="preserve"> impacts on adjoining properties. Finally, the </w:t>
      </w:r>
      <w:r>
        <w:t xml:space="preserve">built-form will </w:t>
      </w:r>
      <w:r w:rsidRPr="00DA1FD7">
        <w:t>minimize shadowing and wind impacts</w:t>
      </w:r>
      <w:r>
        <w:t xml:space="preserve">; </w:t>
      </w:r>
      <w:r w:rsidRPr="00DA1FD7">
        <w:t>allow</w:t>
      </w:r>
      <w:r>
        <w:t xml:space="preserve"> </w:t>
      </w:r>
      <w:r w:rsidRPr="00DA1FD7">
        <w:t>future residents</w:t>
      </w:r>
      <w:r>
        <w:t xml:space="preserve"> to</w:t>
      </w:r>
      <w:r w:rsidRPr="00DA1FD7">
        <w:t xml:space="preserve"> have access to private and common amenity</w:t>
      </w:r>
      <w:r>
        <w:t xml:space="preserve"> spaces and further ensure that </w:t>
      </w:r>
      <w:r w:rsidRPr="00DA1FD7">
        <w:t>improvements to sidewalks and pedestrian safety</w:t>
      </w:r>
      <w:r>
        <w:t xml:space="preserve"> are implemented as planned.</w:t>
      </w:r>
      <w:r w:rsidRPr="00DA1FD7">
        <w:t xml:space="preserve"> </w:t>
      </w:r>
    </w:p>
    <w:p w:rsidR="00B061CB" w:rsidRPr="00DA1FD7" w:rsidRDefault="00B061CB" w:rsidP="00B061CB">
      <w:pPr>
        <w:pStyle w:val="ListParagraph"/>
        <w:ind w:left="1440" w:hanging="720"/>
      </w:pPr>
      <w:r>
        <w:t xml:space="preserve">• </w:t>
      </w:r>
      <w:r>
        <w:tab/>
      </w:r>
      <w:r w:rsidRPr="00DA1FD7">
        <w:t>The application conforms to the King</w:t>
      </w:r>
      <w:r>
        <w:t>-</w:t>
      </w:r>
      <w:proofErr w:type="spellStart"/>
      <w:r w:rsidRPr="00DA1FD7">
        <w:t>Spadina</w:t>
      </w:r>
      <w:proofErr w:type="spellEnd"/>
      <w:r w:rsidRPr="00DA1FD7">
        <w:t xml:space="preserve"> Secondary Plan by providing investment in new residential, commercial and retail uses within a building form which is inclusive of new park space and protective of existing built heritage resources. The application also ha</w:t>
      </w:r>
      <w:r>
        <w:t>s</w:t>
      </w:r>
      <w:r w:rsidRPr="00DA1FD7">
        <w:t xml:space="preserve"> regard for the King</w:t>
      </w:r>
      <w:r>
        <w:t>-</w:t>
      </w:r>
      <w:proofErr w:type="spellStart"/>
      <w:r w:rsidRPr="00DA1FD7">
        <w:t>Spadina</w:t>
      </w:r>
      <w:proofErr w:type="spellEnd"/>
      <w:r w:rsidRPr="00DA1FD7">
        <w:t xml:space="preserve"> Urban Design Guidelines (2004) and the City Wide Tall Building Guidelines with respect to massing, setbacks and the orientation of the heritage buildings in a man</w:t>
      </w:r>
      <w:r>
        <w:t>n</w:t>
      </w:r>
      <w:r w:rsidRPr="00DA1FD7">
        <w:t>er which will not unduly impact the nearby mid-rise mixed-use buildings on the King Street West and Wellington Street West road corridors.</w:t>
      </w:r>
    </w:p>
    <w:p w:rsidR="00B061CB" w:rsidRDefault="00B061CB" w:rsidP="00B061CB">
      <w:pPr>
        <w:pStyle w:val="ListParagraph"/>
        <w:ind w:left="1440" w:hanging="720"/>
      </w:pPr>
      <w:r>
        <w:lastRenderedPageBreak/>
        <w:t xml:space="preserve">• </w:t>
      </w:r>
      <w:r>
        <w:tab/>
      </w:r>
      <w:r w:rsidRPr="00DA1FD7">
        <w:t>The draft zoning by-law amendments of Attachment 1, created in consultation with City staff, reflect the highly pixelated nature of the built form, and articulate specific zoning provisions on a floor</w:t>
      </w:r>
      <w:r>
        <w:t>-</w:t>
      </w:r>
      <w:r w:rsidRPr="00DA1FD7">
        <w:t>by</w:t>
      </w:r>
      <w:r>
        <w:t>-</w:t>
      </w:r>
      <w:r w:rsidRPr="00DA1FD7">
        <w:t>floor basis to ensure,</w:t>
      </w:r>
      <w:r>
        <w:t xml:space="preserve"> in addition to </w:t>
      </w:r>
      <w:r w:rsidRPr="00DA1FD7">
        <w:t>other matters, that the highest elements of the development</w:t>
      </w:r>
      <w:r>
        <w:t xml:space="preserve"> are appropriately </w:t>
      </w:r>
      <w:r w:rsidRPr="00DA1FD7">
        <w:t xml:space="preserve">shifted into the interior of the subject property to minimize impact on </w:t>
      </w:r>
      <w:r w:rsidRPr="00883D32">
        <w:rPr>
          <w:lang w:val="en-CA"/>
        </w:rPr>
        <w:t>neighbouring</w:t>
      </w:r>
      <w:r>
        <w:rPr>
          <w:lang w:val="en-CA"/>
        </w:rPr>
        <w:t xml:space="preserve"> </w:t>
      </w:r>
      <w:r w:rsidRPr="00DA1FD7">
        <w:t xml:space="preserve">land uses. </w:t>
      </w:r>
    </w:p>
    <w:p w:rsidR="00B061CB" w:rsidRPr="00B061CB" w:rsidRDefault="00841B13" w:rsidP="00B061CB">
      <w:pPr>
        <w:pStyle w:val="ListParagraph"/>
        <w:rPr>
          <w:b/>
        </w:rPr>
      </w:pPr>
      <w:r w:rsidRPr="00B061CB">
        <w:rPr>
          <w:b/>
        </w:rPr>
        <w:t>FINDINGS</w:t>
      </w:r>
    </w:p>
    <w:p w:rsidR="00B061CB" w:rsidRDefault="008C3A48" w:rsidP="00B061CB">
      <w:pPr>
        <w:pStyle w:val="ListParagraph"/>
        <w:numPr>
          <w:ilvl w:val="0"/>
          <w:numId w:val="33"/>
        </w:numPr>
        <w:ind w:left="0" w:firstLine="0"/>
      </w:pPr>
      <w:r>
        <w:t>The Tribunal found i</w:t>
      </w:r>
      <w:r w:rsidR="00F3187B">
        <w:t>t apparent that settlement discussions to date</w:t>
      </w:r>
      <w:r w:rsidR="00A539D3">
        <w:t>,</w:t>
      </w:r>
      <w:r w:rsidR="00FE6BB5">
        <w:t xml:space="preserve"> pursuant to the uncontested planning evidence</w:t>
      </w:r>
      <w:r w:rsidR="00A539D3">
        <w:t>,</w:t>
      </w:r>
      <w:r w:rsidR="00F3187B">
        <w:t xml:space="preserve"> had collectively achieved a revised development form which promoted the public interest in compliance with the numerous policies and documents which define that interest. The parties were commended for those efforts and the Tribunal is confident that the remaining items</w:t>
      </w:r>
      <w:r w:rsidR="00A539D3">
        <w:t xml:space="preserve"> identified in this Memorandum </w:t>
      </w:r>
      <w:r w:rsidR="00F3187B">
        <w:t>will be resolved over time.</w:t>
      </w:r>
      <w:r>
        <w:t xml:space="preserve"> </w:t>
      </w:r>
    </w:p>
    <w:p w:rsidR="00B061CB" w:rsidRPr="00B061CB" w:rsidRDefault="00B061CB" w:rsidP="00B061CB">
      <w:pPr>
        <w:pStyle w:val="ListParagraph"/>
        <w:rPr>
          <w:b/>
        </w:rPr>
      </w:pPr>
      <w:r w:rsidRPr="00B061CB">
        <w:rPr>
          <w:b/>
        </w:rPr>
        <w:t>INTERIM ORDER</w:t>
      </w:r>
    </w:p>
    <w:p w:rsidR="00B061CB" w:rsidRDefault="008C3A48" w:rsidP="00B061CB">
      <w:pPr>
        <w:pStyle w:val="ListParagraph"/>
        <w:numPr>
          <w:ilvl w:val="0"/>
          <w:numId w:val="33"/>
        </w:numPr>
        <w:ind w:left="0" w:firstLine="0"/>
      </w:pPr>
      <w:r>
        <w:t>The T</w:t>
      </w:r>
      <w:r w:rsidR="00A26E9C">
        <w:t>r</w:t>
      </w:r>
      <w:r>
        <w:t xml:space="preserve">ibunal </w:t>
      </w:r>
      <w:r w:rsidR="00B158C3">
        <w:t>o</w:t>
      </w:r>
      <w:r>
        <w:t>rders</w:t>
      </w:r>
      <w:r w:rsidR="004E794C">
        <w:t xml:space="preserve"> that the draft zoning by-law</w:t>
      </w:r>
      <w:r w:rsidR="00B85F93">
        <w:t xml:space="preserve">s described </w:t>
      </w:r>
      <w:r w:rsidR="004E794C">
        <w:t xml:space="preserve">in Attachment 1 </w:t>
      </w:r>
      <w:r w:rsidR="002D3B32">
        <w:t>are</w:t>
      </w:r>
      <w:r w:rsidR="004E794C">
        <w:t xml:space="preserve"> </w:t>
      </w:r>
      <w:r w:rsidR="002D3B32">
        <w:t xml:space="preserve">approved in principle being </w:t>
      </w:r>
      <w:proofErr w:type="spellStart"/>
      <w:r w:rsidR="004E794C">
        <w:t>represent</w:t>
      </w:r>
      <w:r w:rsidR="002D3B32">
        <w:t>ive</w:t>
      </w:r>
      <w:proofErr w:type="spellEnd"/>
      <w:r w:rsidR="002D3B32">
        <w:t xml:space="preserve"> of sound </w:t>
      </w:r>
      <w:r w:rsidR="004E794C">
        <w:t xml:space="preserve">planning </w:t>
      </w:r>
      <w:r w:rsidR="002D3B32">
        <w:t xml:space="preserve">practice and </w:t>
      </w:r>
      <w:r w:rsidR="004E794C">
        <w:t>in the public interest.</w:t>
      </w:r>
    </w:p>
    <w:p w:rsidR="001260A9" w:rsidRPr="00DA1FD7" w:rsidRDefault="004E794C" w:rsidP="00B061CB">
      <w:pPr>
        <w:pStyle w:val="ListParagraph"/>
        <w:numPr>
          <w:ilvl w:val="0"/>
          <w:numId w:val="33"/>
        </w:numPr>
        <w:ind w:left="0" w:firstLine="0"/>
      </w:pPr>
      <w:r>
        <w:t>H</w:t>
      </w:r>
      <w:r w:rsidR="00F84BEF">
        <w:t xml:space="preserve">owever, </w:t>
      </w:r>
      <w:r w:rsidR="00EC000B">
        <w:t>the</w:t>
      </w:r>
      <w:r w:rsidR="001260A9" w:rsidRPr="00DA1FD7">
        <w:t xml:space="preserve"> fina</w:t>
      </w:r>
      <w:r w:rsidR="00B65265" w:rsidRPr="00DA1FD7">
        <w:t xml:space="preserve">l </w:t>
      </w:r>
      <w:r>
        <w:t>O</w:t>
      </w:r>
      <w:r w:rsidR="00B65265" w:rsidRPr="00DA1FD7">
        <w:t>rder</w:t>
      </w:r>
      <w:r w:rsidR="00EC000B">
        <w:t xml:space="preserve"> is withheld </w:t>
      </w:r>
      <w:r w:rsidR="001260A9" w:rsidRPr="00DA1FD7">
        <w:t>pending notification</w:t>
      </w:r>
      <w:r w:rsidR="00FA5F71">
        <w:t xml:space="preserve"> by the City</w:t>
      </w:r>
      <w:r w:rsidR="001260A9" w:rsidRPr="00DA1FD7">
        <w:t xml:space="preserve"> </w:t>
      </w:r>
      <w:r w:rsidR="00FA2406" w:rsidRPr="00DA1FD7">
        <w:t xml:space="preserve">to </w:t>
      </w:r>
      <w:r w:rsidR="002C285D" w:rsidRPr="00DA1FD7">
        <w:t>the Tribunal</w:t>
      </w:r>
      <w:r w:rsidR="00883D32">
        <w:t xml:space="preserve"> </w:t>
      </w:r>
      <w:r w:rsidR="001260A9" w:rsidRPr="00DA1FD7">
        <w:t>that all outstand</w:t>
      </w:r>
      <w:r w:rsidR="00B65265" w:rsidRPr="00DA1FD7">
        <w:t xml:space="preserve">ing matters </w:t>
      </w:r>
      <w:r w:rsidRPr="00DA1FD7">
        <w:t xml:space="preserve">identified by City Council </w:t>
      </w:r>
      <w:r w:rsidR="00A539D3">
        <w:t>R</w:t>
      </w:r>
      <w:r w:rsidRPr="00DA1FD7">
        <w:t xml:space="preserve">esolution TE34.31 dated July 23, 2018 (Exhibit 5) </w:t>
      </w:r>
      <w:r>
        <w:t>and</w:t>
      </w:r>
      <w:r w:rsidRPr="00DA1FD7">
        <w:t xml:space="preserve"> in paragraphs 3 and 4 on pages 265 to 268 inclusive of Tab 10, Exhibit 3a</w:t>
      </w:r>
      <w:r w:rsidR="001260A9" w:rsidRPr="00DA1FD7">
        <w:t xml:space="preserve"> </w:t>
      </w:r>
      <w:r w:rsidR="00B65265" w:rsidRPr="00DA1FD7">
        <w:t xml:space="preserve">have been </w:t>
      </w:r>
      <w:r>
        <w:t>completed</w:t>
      </w:r>
      <w:r w:rsidR="00B65265" w:rsidRPr="00DA1FD7">
        <w:t>.</w:t>
      </w:r>
      <w:r w:rsidR="00971247">
        <w:t xml:space="preserve"> This Member remains seized.</w:t>
      </w:r>
    </w:p>
    <w:p w:rsidR="00F3712E" w:rsidRDefault="00F3712E" w:rsidP="00A539D3">
      <w:pPr>
        <w:pStyle w:val="ListParagraph"/>
      </w:pPr>
    </w:p>
    <w:p w:rsidR="00935095" w:rsidRPr="00AC548D" w:rsidRDefault="00DA1FD7" w:rsidP="00AC548D">
      <w:pPr>
        <w:pStyle w:val="MemberSignature"/>
      </w:pPr>
      <w:r w:rsidRPr="00AC548D">
        <w:t xml:space="preserve"> </w:t>
      </w:r>
      <w:r w:rsidR="00883D32">
        <w:t>“Richard Jones</w:t>
      </w:r>
      <w:r w:rsidR="00935095" w:rsidRPr="00AC548D">
        <w:t>”</w:t>
      </w:r>
    </w:p>
    <w:p w:rsidR="00935095" w:rsidRPr="004E31D7" w:rsidRDefault="00935095" w:rsidP="004E31D7">
      <w:pPr>
        <w:pStyle w:val="MemberSignature"/>
        <w:ind w:left="0"/>
        <w:jc w:val="both"/>
        <w:rPr>
          <w:i w:val="0"/>
        </w:rPr>
      </w:pPr>
    </w:p>
    <w:p w:rsidR="00935095" w:rsidRPr="00AC548D" w:rsidRDefault="00883D32" w:rsidP="00AC548D">
      <w:pPr>
        <w:pStyle w:val="MemberSignatureNameandTitle"/>
      </w:pPr>
      <w:r>
        <w:t>RICHARD JONES</w:t>
      </w:r>
    </w:p>
    <w:p w:rsidR="00935095" w:rsidRPr="00AC548D" w:rsidRDefault="00883D32" w:rsidP="00AC548D">
      <w:pPr>
        <w:pStyle w:val="MemberSignatureNameandTitle"/>
      </w:pPr>
      <w:r>
        <w:t>MEMBER</w:t>
      </w: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B158C3" w:rsidRDefault="00B158C3" w:rsidP="004850D0">
      <w:pPr>
        <w:pStyle w:val="AttachmentTextaboveFooter"/>
      </w:pPr>
    </w:p>
    <w:p w:rsidR="0092760B" w:rsidRPr="00AC548D" w:rsidRDefault="0092760B" w:rsidP="004850D0">
      <w:pPr>
        <w:pStyle w:val="AttachmentTextaboveFooter"/>
      </w:pPr>
      <w:r w:rsidRPr="00AC548D">
        <w:t>If there is an attachment referred to in this document,</w:t>
      </w:r>
    </w:p>
    <w:p w:rsidR="0092760B" w:rsidRPr="00AC548D" w:rsidRDefault="0092760B" w:rsidP="004850D0">
      <w:pPr>
        <w:pStyle w:val="AttachmentTextaboveFooter"/>
      </w:pPr>
      <w:proofErr w:type="gramStart"/>
      <w:r w:rsidRPr="00AC548D">
        <w:t>please</w:t>
      </w:r>
      <w:proofErr w:type="gramEnd"/>
      <w:r w:rsidRPr="00AC548D">
        <w:t xml:space="preserve"> visit www.elto.gov.on.ca to view the attachment in PDF format.</w:t>
      </w: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A constituent tribunal of Environment and Land Tribunals Ontario</w:t>
      </w:r>
    </w:p>
    <w:p w:rsidR="005A6B29" w:rsidRPr="00AC548D" w:rsidRDefault="005A6B29" w:rsidP="00AC548D">
      <w:pPr>
        <w:pStyle w:val="Footer"/>
      </w:pPr>
      <w:r w:rsidRPr="00AC548D">
        <w:t xml:space="preserve">Website: </w:t>
      </w:r>
      <w:proofErr w:type="gramStart"/>
      <w:r w:rsidRPr="00AC548D">
        <w:t>www.elto.gov.on.ca  Telephone</w:t>
      </w:r>
      <w:proofErr w:type="gramEnd"/>
      <w:r w:rsidRPr="00AC548D">
        <w:t>: 416-212-6349  Toll Free: 1-866-448-2248</w:t>
      </w:r>
    </w:p>
    <w:sectPr w:rsidR="005A6B29" w:rsidRPr="00AC548D"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EA" w:rsidRDefault="00594AEA">
      <w:r>
        <w:separator/>
      </w:r>
    </w:p>
  </w:endnote>
  <w:endnote w:type="continuationSeparator" w:id="0">
    <w:p w:rsidR="00594AEA" w:rsidRDefault="0059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EA" w:rsidRDefault="00594AEA">
      <w:r>
        <w:separator/>
      </w:r>
    </w:p>
  </w:footnote>
  <w:footnote w:type="continuationSeparator" w:id="0">
    <w:p w:rsidR="00594AEA" w:rsidRDefault="00594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B32" w:rsidRDefault="002D3B32" w:rsidP="00DA1FD7">
    <w:pPr>
      <w:pStyle w:val="Header"/>
      <w:tabs>
        <w:tab w:val="clear" w:pos="8640"/>
        <w:tab w:val="center" w:pos="4680"/>
        <w:tab w:val="left" w:pos="6804"/>
        <w:tab w:val="right" w:pos="9360"/>
      </w:tabs>
      <w:jc w:val="right"/>
      <w:rPr>
        <w:rFonts w:ascii="Arial" w:hAnsi="Arial" w:cs="Arial"/>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590EEA">
      <w:rPr>
        <w:rFonts w:ascii="Arial" w:hAnsi="Arial" w:cs="Arial"/>
        <w:noProof/>
      </w:rPr>
      <w:t>2</w:t>
    </w:r>
    <w:r w:rsidRPr="005E51AF">
      <w:rPr>
        <w:rFonts w:ascii="Arial" w:hAnsi="Arial" w:cs="Arial"/>
        <w:noProof/>
      </w:rPr>
      <w:fldChar w:fldCharType="end"/>
    </w:r>
    <w:r>
      <w:rPr>
        <w:rFonts w:ascii="Arial" w:hAnsi="Arial" w:cs="Arial"/>
        <w:noProof/>
      </w:rPr>
      <w:tab/>
    </w:r>
    <w:r w:rsidRPr="00285AD7">
      <w:rPr>
        <w:rFonts w:ascii="Arial" w:hAnsi="Arial" w:cs="Arial"/>
      </w:rPr>
      <w:t xml:space="preserve"> </w:t>
    </w:r>
    <w:r>
      <w:rPr>
        <w:rFonts w:ascii="Arial" w:hAnsi="Arial" w:cs="Arial"/>
        <w:noProof/>
      </w:rPr>
      <w:tab/>
    </w:r>
    <w:r>
      <w:rPr>
        <w:rFonts w:ascii="Arial" w:hAnsi="Arial" w:cs="Arial"/>
      </w:rPr>
      <w:t>PL171227</w:t>
    </w:r>
  </w:p>
  <w:p w:rsidR="002D3B32" w:rsidRPr="005E51AF" w:rsidRDefault="002D3B32" w:rsidP="00B158C3">
    <w:pPr>
      <w:pStyle w:val="Header"/>
      <w:tabs>
        <w:tab w:val="clear" w:pos="8640"/>
        <w:tab w:val="center" w:pos="4680"/>
        <w:tab w:val="left" w:pos="6804"/>
        <w:tab w:val="right" w:pos="9360"/>
      </w:tabs>
      <w:rPr>
        <w:rFonts w:ascii="Arial" w:hAnsi="Arial" w:cs="Arial"/>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A114C6"/>
    <w:multiLevelType w:val="hybridMultilevel"/>
    <w:tmpl w:val="33AE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0462E90"/>
    <w:multiLevelType w:val="hybridMultilevel"/>
    <w:tmpl w:val="170CA978"/>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29"/>
  </w:num>
  <w:num w:numId="4">
    <w:abstractNumId w:val="9"/>
  </w:num>
  <w:num w:numId="5">
    <w:abstractNumId w:val="32"/>
  </w:num>
  <w:num w:numId="6">
    <w:abstractNumId w:val="5"/>
  </w:num>
  <w:num w:numId="7">
    <w:abstractNumId w:val="1"/>
  </w:num>
  <w:num w:numId="8">
    <w:abstractNumId w:val="27"/>
  </w:num>
  <w:num w:numId="9">
    <w:abstractNumId w:val="16"/>
  </w:num>
  <w:num w:numId="10">
    <w:abstractNumId w:val="14"/>
  </w:num>
  <w:num w:numId="11">
    <w:abstractNumId w:val="21"/>
  </w:num>
  <w:num w:numId="12">
    <w:abstractNumId w:val="30"/>
  </w:num>
  <w:num w:numId="13">
    <w:abstractNumId w:val="4"/>
  </w:num>
  <w:num w:numId="14">
    <w:abstractNumId w:val="17"/>
  </w:num>
  <w:num w:numId="15">
    <w:abstractNumId w:val="25"/>
  </w:num>
  <w:num w:numId="16">
    <w:abstractNumId w:val="20"/>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6"/>
  </w:num>
  <w:num w:numId="25">
    <w:abstractNumId w:val="12"/>
  </w:num>
  <w:num w:numId="26">
    <w:abstractNumId w:val="28"/>
  </w:num>
  <w:num w:numId="27">
    <w:abstractNumId w:val="11"/>
  </w:num>
  <w:num w:numId="28">
    <w:abstractNumId w:val="22"/>
  </w:num>
  <w:num w:numId="29">
    <w:abstractNumId w:val="15"/>
  </w:num>
  <w:num w:numId="30">
    <w:abstractNumId w:val="23"/>
  </w:num>
  <w:num w:numId="31">
    <w:abstractNumId w:val="31"/>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058F5"/>
    <w:rsid w:val="0001398A"/>
    <w:rsid w:val="000170F3"/>
    <w:rsid w:val="00017DFC"/>
    <w:rsid w:val="00022EAD"/>
    <w:rsid w:val="00031C6E"/>
    <w:rsid w:val="0003655C"/>
    <w:rsid w:val="0003783B"/>
    <w:rsid w:val="000424A6"/>
    <w:rsid w:val="00054A9F"/>
    <w:rsid w:val="00056F73"/>
    <w:rsid w:val="0006526A"/>
    <w:rsid w:val="00075342"/>
    <w:rsid w:val="00076196"/>
    <w:rsid w:val="0008105B"/>
    <w:rsid w:val="00081B93"/>
    <w:rsid w:val="00094E62"/>
    <w:rsid w:val="000A5BAE"/>
    <w:rsid w:val="000B4BFB"/>
    <w:rsid w:val="000C21BB"/>
    <w:rsid w:val="000C25F1"/>
    <w:rsid w:val="000C480C"/>
    <w:rsid w:val="000C7608"/>
    <w:rsid w:val="000C768E"/>
    <w:rsid w:val="000D09B3"/>
    <w:rsid w:val="000D6F9D"/>
    <w:rsid w:val="000D7BBD"/>
    <w:rsid w:val="000F6357"/>
    <w:rsid w:val="00100AF6"/>
    <w:rsid w:val="0010191A"/>
    <w:rsid w:val="00104001"/>
    <w:rsid w:val="00120406"/>
    <w:rsid w:val="001220E4"/>
    <w:rsid w:val="001260A9"/>
    <w:rsid w:val="0013161B"/>
    <w:rsid w:val="00137797"/>
    <w:rsid w:val="001551CC"/>
    <w:rsid w:val="001562BE"/>
    <w:rsid w:val="00157513"/>
    <w:rsid w:val="001634FB"/>
    <w:rsid w:val="001656BC"/>
    <w:rsid w:val="001702F3"/>
    <w:rsid w:val="00172CE7"/>
    <w:rsid w:val="001765FB"/>
    <w:rsid w:val="001808B6"/>
    <w:rsid w:val="00182765"/>
    <w:rsid w:val="00182B0E"/>
    <w:rsid w:val="001836F9"/>
    <w:rsid w:val="00185E46"/>
    <w:rsid w:val="00190DF3"/>
    <w:rsid w:val="001A3C06"/>
    <w:rsid w:val="001A3D92"/>
    <w:rsid w:val="001A55BC"/>
    <w:rsid w:val="001B5CE4"/>
    <w:rsid w:val="001D67CE"/>
    <w:rsid w:val="001D6DA4"/>
    <w:rsid w:val="001D6F93"/>
    <w:rsid w:val="001E645A"/>
    <w:rsid w:val="001E764F"/>
    <w:rsid w:val="001F179F"/>
    <w:rsid w:val="0020298E"/>
    <w:rsid w:val="00205167"/>
    <w:rsid w:val="002159B4"/>
    <w:rsid w:val="0021608D"/>
    <w:rsid w:val="00220639"/>
    <w:rsid w:val="0022133C"/>
    <w:rsid w:val="00225203"/>
    <w:rsid w:val="0022579A"/>
    <w:rsid w:val="00226115"/>
    <w:rsid w:val="00230E1B"/>
    <w:rsid w:val="002315A3"/>
    <w:rsid w:val="002346B3"/>
    <w:rsid w:val="00235236"/>
    <w:rsid w:val="002419BB"/>
    <w:rsid w:val="002433A2"/>
    <w:rsid w:val="002446DE"/>
    <w:rsid w:val="00246A65"/>
    <w:rsid w:val="00250221"/>
    <w:rsid w:val="00257414"/>
    <w:rsid w:val="0026320F"/>
    <w:rsid w:val="00263C28"/>
    <w:rsid w:val="00270AAE"/>
    <w:rsid w:val="00277F40"/>
    <w:rsid w:val="00280925"/>
    <w:rsid w:val="00283370"/>
    <w:rsid w:val="00285AD7"/>
    <w:rsid w:val="00290FEC"/>
    <w:rsid w:val="00293E85"/>
    <w:rsid w:val="002959D2"/>
    <w:rsid w:val="002A393B"/>
    <w:rsid w:val="002B47E9"/>
    <w:rsid w:val="002C00E1"/>
    <w:rsid w:val="002C285D"/>
    <w:rsid w:val="002C5756"/>
    <w:rsid w:val="002C7CBA"/>
    <w:rsid w:val="002D2254"/>
    <w:rsid w:val="002D23D0"/>
    <w:rsid w:val="002D38E7"/>
    <w:rsid w:val="002D3B32"/>
    <w:rsid w:val="002E7C9F"/>
    <w:rsid w:val="002F37EF"/>
    <w:rsid w:val="002F4E11"/>
    <w:rsid w:val="002F73E5"/>
    <w:rsid w:val="003051EA"/>
    <w:rsid w:val="00305ED2"/>
    <w:rsid w:val="00307DEE"/>
    <w:rsid w:val="00316394"/>
    <w:rsid w:val="00323369"/>
    <w:rsid w:val="00324440"/>
    <w:rsid w:val="00337660"/>
    <w:rsid w:val="00340879"/>
    <w:rsid w:val="00345480"/>
    <w:rsid w:val="003506EA"/>
    <w:rsid w:val="00350E1B"/>
    <w:rsid w:val="00354C2E"/>
    <w:rsid w:val="003620BF"/>
    <w:rsid w:val="00366938"/>
    <w:rsid w:val="00367CB0"/>
    <w:rsid w:val="00373AD3"/>
    <w:rsid w:val="00375F31"/>
    <w:rsid w:val="0038484F"/>
    <w:rsid w:val="00385FC9"/>
    <w:rsid w:val="003861C6"/>
    <w:rsid w:val="00390CC5"/>
    <w:rsid w:val="00391DD7"/>
    <w:rsid w:val="003B236D"/>
    <w:rsid w:val="003B298B"/>
    <w:rsid w:val="003B7CE2"/>
    <w:rsid w:val="003D1234"/>
    <w:rsid w:val="003F266C"/>
    <w:rsid w:val="00400A7D"/>
    <w:rsid w:val="00401F7B"/>
    <w:rsid w:val="00403715"/>
    <w:rsid w:val="00414B5D"/>
    <w:rsid w:val="00420FFD"/>
    <w:rsid w:val="004233D2"/>
    <w:rsid w:val="00441A9B"/>
    <w:rsid w:val="004507E6"/>
    <w:rsid w:val="00452228"/>
    <w:rsid w:val="004539BB"/>
    <w:rsid w:val="004568CC"/>
    <w:rsid w:val="00460B87"/>
    <w:rsid w:val="004662FE"/>
    <w:rsid w:val="00472A41"/>
    <w:rsid w:val="004850D0"/>
    <w:rsid w:val="00491C3D"/>
    <w:rsid w:val="004A4461"/>
    <w:rsid w:val="004A587D"/>
    <w:rsid w:val="004A6575"/>
    <w:rsid w:val="004B12D9"/>
    <w:rsid w:val="004B3247"/>
    <w:rsid w:val="004B6547"/>
    <w:rsid w:val="004B681D"/>
    <w:rsid w:val="004B7E92"/>
    <w:rsid w:val="004C06AB"/>
    <w:rsid w:val="004C3B19"/>
    <w:rsid w:val="004C5ADC"/>
    <w:rsid w:val="004E03A4"/>
    <w:rsid w:val="004E1368"/>
    <w:rsid w:val="004E31D7"/>
    <w:rsid w:val="004E4C91"/>
    <w:rsid w:val="004E4CD6"/>
    <w:rsid w:val="004E794C"/>
    <w:rsid w:val="004F13B0"/>
    <w:rsid w:val="004F1B46"/>
    <w:rsid w:val="004F5B49"/>
    <w:rsid w:val="00505DF1"/>
    <w:rsid w:val="005064E9"/>
    <w:rsid w:val="00513CCD"/>
    <w:rsid w:val="005176E6"/>
    <w:rsid w:val="00530917"/>
    <w:rsid w:val="0053773B"/>
    <w:rsid w:val="0055024F"/>
    <w:rsid w:val="005554F9"/>
    <w:rsid w:val="00575802"/>
    <w:rsid w:val="00581834"/>
    <w:rsid w:val="00581FFB"/>
    <w:rsid w:val="005826C8"/>
    <w:rsid w:val="005832B8"/>
    <w:rsid w:val="00585632"/>
    <w:rsid w:val="0058684A"/>
    <w:rsid w:val="00590EEA"/>
    <w:rsid w:val="00594AEA"/>
    <w:rsid w:val="005A2047"/>
    <w:rsid w:val="005A6B29"/>
    <w:rsid w:val="005A767F"/>
    <w:rsid w:val="005B0EFC"/>
    <w:rsid w:val="005B2223"/>
    <w:rsid w:val="005C46AA"/>
    <w:rsid w:val="005C7251"/>
    <w:rsid w:val="005C7AA9"/>
    <w:rsid w:val="005D1ED7"/>
    <w:rsid w:val="005E51AF"/>
    <w:rsid w:val="005F182A"/>
    <w:rsid w:val="005F7A16"/>
    <w:rsid w:val="006002DC"/>
    <w:rsid w:val="0060505C"/>
    <w:rsid w:val="00611B55"/>
    <w:rsid w:val="00612829"/>
    <w:rsid w:val="00614648"/>
    <w:rsid w:val="00616822"/>
    <w:rsid w:val="00627521"/>
    <w:rsid w:val="006306A8"/>
    <w:rsid w:val="00634BAC"/>
    <w:rsid w:val="0063575A"/>
    <w:rsid w:val="0063645D"/>
    <w:rsid w:val="00640174"/>
    <w:rsid w:val="006419E7"/>
    <w:rsid w:val="00641AD3"/>
    <w:rsid w:val="00646BFB"/>
    <w:rsid w:val="00647B4B"/>
    <w:rsid w:val="00647ECC"/>
    <w:rsid w:val="006510E9"/>
    <w:rsid w:val="00653B50"/>
    <w:rsid w:val="00655F95"/>
    <w:rsid w:val="00656CC7"/>
    <w:rsid w:val="00657E0B"/>
    <w:rsid w:val="00663C56"/>
    <w:rsid w:val="00664392"/>
    <w:rsid w:val="00665DAE"/>
    <w:rsid w:val="006664C3"/>
    <w:rsid w:val="00670E9E"/>
    <w:rsid w:val="00673FDB"/>
    <w:rsid w:val="00677294"/>
    <w:rsid w:val="00693FD8"/>
    <w:rsid w:val="006A119C"/>
    <w:rsid w:val="006A19B7"/>
    <w:rsid w:val="006A2B5B"/>
    <w:rsid w:val="006C6D4C"/>
    <w:rsid w:val="006D09B4"/>
    <w:rsid w:val="006D1DFD"/>
    <w:rsid w:val="006E6454"/>
    <w:rsid w:val="006F214C"/>
    <w:rsid w:val="006F2DF2"/>
    <w:rsid w:val="006F3415"/>
    <w:rsid w:val="006F6F82"/>
    <w:rsid w:val="007057F0"/>
    <w:rsid w:val="00706196"/>
    <w:rsid w:val="00707B3B"/>
    <w:rsid w:val="00715DD1"/>
    <w:rsid w:val="00716030"/>
    <w:rsid w:val="00720DC5"/>
    <w:rsid w:val="007342E5"/>
    <w:rsid w:val="007353C0"/>
    <w:rsid w:val="00735538"/>
    <w:rsid w:val="007474DF"/>
    <w:rsid w:val="00753180"/>
    <w:rsid w:val="0076119A"/>
    <w:rsid w:val="00765C2D"/>
    <w:rsid w:val="007A1709"/>
    <w:rsid w:val="007A28EA"/>
    <w:rsid w:val="007A2C3D"/>
    <w:rsid w:val="007C08BD"/>
    <w:rsid w:val="007C2FB6"/>
    <w:rsid w:val="007E0C30"/>
    <w:rsid w:val="007F7583"/>
    <w:rsid w:val="00802055"/>
    <w:rsid w:val="008046EB"/>
    <w:rsid w:val="0080724D"/>
    <w:rsid w:val="008173CF"/>
    <w:rsid w:val="00823753"/>
    <w:rsid w:val="008316DB"/>
    <w:rsid w:val="0083211C"/>
    <w:rsid w:val="00832876"/>
    <w:rsid w:val="00835A80"/>
    <w:rsid w:val="00837AE6"/>
    <w:rsid w:val="00841B13"/>
    <w:rsid w:val="00865727"/>
    <w:rsid w:val="00866681"/>
    <w:rsid w:val="00874CD9"/>
    <w:rsid w:val="00883D32"/>
    <w:rsid w:val="00890E5D"/>
    <w:rsid w:val="0089782A"/>
    <w:rsid w:val="008A1A0C"/>
    <w:rsid w:val="008A3586"/>
    <w:rsid w:val="008B3EB4"/>
    <w:rsid w:val="008B667D"/>
    <w:rsid w:val="008C09C4"/>
    <w:rsid w:val="008C1B3D"/>
    <w:rsid w:val="008C3A48"/>
    <w:rsid w:val="008C7470"/>
    <w:rsid w:val="008D3B01"/>
    <w:rsid w:val="008E147D"/>
    <w:rsid w:val="008E5B11"/>
    <w:rsid w:val="00900C5B"/>
    <w:rsid w:val="00902134"/>
    <w:rsid w:val="00907DA4"/>
    <w:rsid w:val="009148E3"/>
    <w:rsid w:val="00920430"/>
    <w:rsid w:val="0092760B"/>
    <w:rsid w:val="00930FD3"/>
    <w:rsid w:val="009333AA"/>
    <w:rsid w:val="00935095"/>
    <w:rsid w:val="00935ABA"/>
    <w:rsid w:val="009360FC"/>
    <w:rsid w:val="0094444B"/>
    <w:rsid w:val="00951EE2"/>
    <w:rsid w:val="0095571C"/>
    <w:rsid w:val="0096422B"/>
    <w:rsid w:val="009650D8"/>
    <w:rsid w:val="00971247"/>
    <w:rsid w:val="009748FB"/>
    <w:rsid w:val="00976AA8"/>
    <w:rsid w:val="009773EC"/>
    <w:rsid w:val="00981E7A"/>
    <w:rsid w:val="00986E54"/>
    <w:rsid w:val="00990F55"/>
    <w:rsid w:val="009974A2"/>
    <w:rsid w:val="009A1884"/>
    <w:rsid w:val="009A31C9"/>
    <w:rsid w:val="009A34A1"/>
    <w:rsid w:val="009A6D63"/>
    <w:rsid w:val="009A73F6"/>
    <w:rsid w:val="009C20B2"/>
    <w:rsid w:val="009C4D62"/>
    <w:rsid w:val="009D0B82"/>
    <w:rsid w:val="009D5078"/>
    <w:rsid w:val="009E0DF7"/>
    <w:rsid w:val="009E1C08"/>
    <w:rsid w:val="009E202F"/>
    <w:rsid w:val="009E40F3"/>
    <w:rsid w:val="009E6983"/>
    <w:rsid w:val="009F040C"/>
    <w:rsid w:val="009F3047"/>
    <w:rsid w:val="00A07D8A"/>
    <w:rsid w:val="00A11CE2"/>
    <w:rsid w:val="00A1501E"/>
    <w:rsid w:val="00A20E8C"/>
    <w:rsid w:val="00A26E9C"/>
    <w:rsid w:val="00A45D63"/>
    <w:rsid w:val="00A47406"/>
    <w:rsid w:val="00A539D3"/>
    <w:rsid w:val="00A550FC"/>
    <w:rsid w:val="00A7018C"/>
    <w:rsid w:val="00A70B89"/>
    <w:rsid w:val="00A70E2F"/>
    <w:rsid w:val="00A76E5B"/>
    <w:rsid w:val="00A77999"/>
    <w:rsid w:val="00A81716"/>
    <w:rsid w:val="00A81DB3"/>
    <w:rsid w:val="00A828F3"/>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B061CB"/>
    <w:rsid w:val="00B12A97"/>
    <w:rsid w:val="00B13C3D"/>
    <w:rsid w:val="00B157E1"/>
    <w:rsid w:val="00B158C3"/>
    <w:rsid w:val="00B16A05"/>
    <w:rsid w:val="00B17BED"/>
    <w:rsid w:val="00B225A1"/>
    <w:rsid w:val="00B25ACB"/>
    <w:rsid w:val="00B25ECF"/>
    <w:rsid w:val="00B268A7"/>
    <w:rsid w:val="00B35686"/>
    <w:rsid w:val="00B51EB2"/>
    <w:rsid w:val="00B51EBA"/>
    <w:rsid w:val="00B5261C"/>
    <w:rsid w:val="00B5585B"/>
    <w:rsid w:val="00B5628D"/>
    <w:rsid w:val="00B62606"/>
    <w:rsid w:val="00B6431E"/>
    <w:rsid w:val="00B65265"/>
    <w:rsid w:val="00B67AB9"/>
    <w:rsid w:val="00B70285"/>
    <w:rsid w:val="00B702CE"/>
    <w:rsid w:val="00B721A7"/>
    <w:rsid w:val="00B73739"/>
    <w:rsid w:val="00B77B07"/>
    <w:rsid w:val="00B818DE"/>
    <w:rsid w:val="00B85F93"/>
    <w:rsid w:val="00B92BA3"/>
    <w:rsid w:val="00BA28A5"/>
    <w:rsid w:val="00BA5F87"/>
    <w:rsid w:val="00BA79F7"/>
    <w:rsid w:val="00BB1683"/>
    <w:rsid w:val="00BB6613"/>
    <w:rsid w:val="00BB66A5"/>
    <w:rsid w:val="00BC66D9"/>
    <w:rsid w:val="00BE0FA0"/>
    <w:rsid w:val="00BE11BB"/>
    <w:rsid w:val="00BF113B"/>
    <w:rsid w:val="00BF23CB"/>
    <w:rsid w:val="00BF3612"/>
    <w:rsid w:val="00BF497A"/>
    <w:rsid w:val="00BF7426"/>
    <w:rsid w:val="00C02B28"/>
    <w:rsid w:val="00C1171C"/>
    <w:rsid w:val="00C2513B"/>
    <w:rsid w:val="00C300F2"/>
    <w:rsid w:val="00C5671C"/>
    <w:rsid w:val="00C66A61"/>
    <w:rsid w:val="00C801A0"/>
    <w:rsid w:val="00C838B9"/>
    <w:rsid w:val="00C92977"/>
    <w:rsid w:val="00C940BC"/>
    <w:rsid w:val="00CC269B"/>
    <w:rsid w:val="00CC29F3"/>
    <w:rsid w:val="00CC5C59"/>
    <w:rsid w:val="00CD235D"/>
    <w:rsid w:val="00CD5591"/>
    <w:rsid w:val="00CE10CC"/>
    <w:rsid w:val="00CF2AB8"/>
    <w:rsid w:val="00CF3F96"/>
    <w:rsid w:val="00CF4C37"/>
    <w:rsid w:val="00CF55CF"/>
    <w:rsid w:val="00D008AB"/>
    <w:rsid w:val="00D01696"/>
    <w:rsid w:val="00D16FED"/>
    <w:rsid w:val="00D23A8E"/>
    <w:rsid w:val="00D265BD"/>
    <w:rsid w:val="00D269A2"/>
    <w:rsid w:val="00D30F49"/>
    <w:rsid w:val="00D32294"/>
    <w:rsid w:val="00D35322"/>
    <w:rsid w:val="00D35B18"/>
    <w:rsid w:val="00D36525"/>
    <w:rsid w:val="00D42D9F"/>
    <w:rsid w:val="00D50C1C"/>
    <w:rsid w:val="00D533E6"/>
    <w:rsid w:val="00D53BDA"/>
    <w:rsid w:val="00D66856"/>
    <w:rsid w:val="00D67332"/>
    <w:rsid w:val="00D76186"/>
    <w:rsid w:val="00D76968"/>
    <w:rsid w:val="00D83C03"/>
    <w:rsid w:val="00D84899"/>
    <w:rsid w:val="00D8571F"/>
    <w:rsid w:val="00D91064"/>
    <w:rsid w:val="00D9357D"/>
    <w:rsid w:val="00DA1FD7"/>
    <w:rsid w:val="00DA3393"/>
    <w:rsid w:val="00DB023D"/>
    <w:rsid w:val="00DB16DE"/>
    <w:rsid w:val="00DB45DF"/>
    <w:rsid w:val="00DB49FE"/>
    <w:rsid w:val="00DD0BE4"/>
    <w:rsid w:val="00DD35F5"/>
    <w:rsid w:val="00DD6665"/>
    <w:rsid w:val="00DE62BC"/>
    <w:rsid w:val="00DF75FB"/>
    <w:rsid w:val="00E11D71"/>
    <w:rsid w:val="00E12DE7"/>
    <w:rsid w:val="00E15446"/>
    <w:rsid w:val="00E20B6D"/>
    <w:rsid w:val="00E40778"/>
    <w:rsid w:val="00E4342D"/>
    <w:rsid w:val="00E45C87"/>
    <w:rsid w:val="00E5336E"/>
    <w:rsid w:val="00E65759"/>
    <w:rsid w:val="00E73226"/>
    <w:rsid w:val="00E743D2"/>
    <w:rsid w:val="00E77E48"/>
    <w:rsid w:val="00E8779D"/>
    <w:rsid w:val="00E87A9B"/>
    <w:rsid w:val="00E97D24"/>
    <w:rsid w:val="00E97F04"/>
    <w:rsid w:val="00EA0C75"/>
    <w:rsid w:val="00EA73B7"/>
    <w:rsid w:val="00EB236E"/>
    <w:rsid w:val="00EB3E73"/>
    <w:rsid w:val="00EC000B"/>
    <w:rsid w:val="00EC181A"/>
    <w:rsid w:val="00EC2949"/>
    <w:rsid w:val="00ED51D9"/>
    <w:rsid w:val="00EE4BA3"/>
    <w:rsid w:val="00EE62E6"/>
    <w:rsid w:val="00EF4375"/>
    <w:rsid w:val="00EF4FA7"/>
    <w:rsid w:val="00EF6354"/>
    <w:rsid w:val="00F13970"/>
    <w:rsid w:val="00F206C1"/>
    <w:rsid w:val="00F20B8D"/>
    <w:rsid w:val="00F3187B"/>
    <w:rsid w:val="00F3712E"/>
    <w:rsid w:val="00F376E5"/>
    <w:rsid w:val="00F404B1"/>
    <w:rsid w:val="00F408C2"/>
    <w:rsid w:val="00F46275"/>
    <w:rsid w:val="00F47541"/>
    <w:rsid w:val="00F548C9"/>
    <w:rsid w:val="00F62C56"/>
    <w:rsid w:val="00F71AB8"/>
    <w:rsid w:val="00F76E36"/>
    <w:rsid w:val="00F801FB"/>
    <w:rsid w:val="00F82F6D"/>
    <w:rsid w:val="00F84BEF"/>
    <w:rsid w:val="00F90029"/>
    <w:rsid w:val="00F9597B"/>
    <w:rsid w:val="00FA016B"/>
    <w:rsid w:val="00FA2406"/>
    <w:rsid w:val="00FA5F71"/>
    <w:rsid w:val="00FA6295"/>
    <w:rsid w:val="00FD10D9"/>
    <w:rsid w:val="00FD395A"/>
    <w:rsid w:val="00FD4182"/>
    <w:rsid w:val="00FE1AB5"/>
    <w:rsid w:val="00FE3524"/>
    <w:rsid w:val="00FE478E"/>
    <w:rsid w:val="00FE4D6A"/>
    <w:rsid w:val="00FE5F63"/>
    <w:rsid w:val="00FE6BB5"/>
    <w:rsid w:val="00FF36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4E794C"/>
    <w:pPr>
      <w:spacing w:beforeLines="150" w:before="360" w:afterLines="150" w:after="360" w:line="360" w:lineRule="auto"/>
      <w:ind w:left="0" w:firstLine="0"/>
      <w:contextualSpacing w:val="0"/>
    </w:pPr>
    <w:rPr>
      <w:rFonts w:ascii="Arial" w:hAnsi="Arial" w:cs="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4E794C"/>
    <w:pPr>
      <w:spacing w:beforeLines="150" w:before="360" w:afterLines="150" w:after="360" w:line="360" w:lineRule="auto"/>
      <w:ind w:left="0" w:firstLine="0"/>
      <w:contextualSpacing w:val="0"/>
    </w:pPr>
    <w:rPr>
      <w:rFonts w:ascii="Arial" w:hAnsi="Arial" w:cs="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795178363">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5129-C673-48FC-BCC5-0DDAC87C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1362</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2018-09-11T13:00:00Z</cp:lastPrinted>
  <dcterms:created xsi:type="dcterms:W3CDTF">2018-09-11T13:00:00Z</dcterms:created>
  <dcterms:modified xsi:type="dcterms:W3CDTF">2018-09-11T13:40:00Z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Kelly.Pilon@ontario.ca</vt:lpwstr>
  </property>
  <property fmtid="{D5CDD505-2E9C-101B-9397-08002B2CF9AE}" pid="5" name="MSIP_Label_034a106e-6316-442c-ad35-738afd673d2b_SetDate">
    <vt:lpwstr>2018-08-29T11:24:05.9433603Z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