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9B275C" w14:paraId="10FADD41" w14:textId="77777777" w:rsidTr="005F047A">
        <w:trPr>
          <w:trHeight w:val="281"/>
        </w:trPr>
        <w:tc>
          <w:tcPr>
            <w:tcW w:w="5778" w:type="dxa"/>
          </w:tcPr>
          <w:p w14:paraId="5A745B28" w14:textId="77777777" w:rsidR="006D09B4" w:rsidRPr="009B275C" w:rsidRDefault="006D09B4" w:rsidP="00753561">
            <w:pPr>
              <w:spacing w:line="240" w:lineRule="auto"/>
              <w:rPr>
                <w:rFonts w:cs="Arial"/>
                <w:b/>
                <w:sz w:val="16"/>
                <w:szCs w:val="16"/>
                <w:lang w:val="en-CA"/>
              </w:rPr>
            </w:pPr>
          </w:p>
        </w:tc>
        <w:tc>
          <w:tcPr>
            <w:tcW w:w="3828" w:type="dxa"/>
            <w:vMerge w:val="restart"/>
          </w:tcPr>
          <w:p w14:paraId="3CD9F78E" w14:textId="7FBFACC4" w:rsidR="006D09B4" w:rsidRPr="009B275C" w:rsidRDefault="00481821" w:rsidP="00753561">
            <w:pPr>
              <w:spacing w:line="240" w:lineRule="auto"/>
              <w:rPr>
                <w:rFonts w:cs="Arial"/>
                <w:b/>
                <w:noProof/>
                <w:sz w:val="32"/>
                <w:szCs w:val="32"/>
                <w:lang w:val="en-CA" w:eastAsia="en-CA"/>
              </w:rPr>
            </w:pPr>
            <w:r w:rsidRPr="009B275C">
              <w:rPr>
                <w:rFonts w:cs="Arial"/>
                <w:noProof/>
                <w:lang w:val="en-CA"/>
              </w:rPr>
              <w:drawing>
                <wp:anchor distT="0" distB="0" distL="114300" distR="114300" simplePos="0" relativeHeight="251657728" behindDoc="0" locked="0" layoutInCell="1" allowOverlap="1" wp14:anchorId="7AADF909" wp14:editId="603581C1">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9B275C" w14:paraId="156723F7" w14:textId="77777777" w:rsidTr="005F047A">
        <w:tc>
          <w:tcPr>
            <w:tcW w:w="5778" w:type="dxa"/>
          </w:tcPr>
          <w:p w14:paraId="0306B1DA" w14:textId="77777777" w:rsidR="006D09B4" w:rsidRPr="009B275C" w:rsidRDefault="009B3F63" w:rsidP="00753561">
            <w:pPr>
              <w:spacing w:line="240" w:lineRule="auto"/>
              <w:rPr>
                <w:rFonts w:cs="Arial"/>
                <w:b/>
                <w:sz w:val="32"/>
                <w:szCs w:val="32"/>
                <w:lang w:val="en-CA"/>
              </w:rPr>
            </w:pPr>
            <w:r w:rsidRPr="009B275C">
              <w:rPr>
                <w:rFonts w:cs="Arial"/>
                <w:b/>
                <w:sz w:val="32"/>
                <w:szCs w:val="32"/>
                <w:lang w:val="en-CA"/>
              </w:rPr>
              <w:t>Ontario Land Tribunal</w:t>
            </w:r>
          </w:p>
        </w:tc>
        <w:tc>
          <w:tcPr>
            <w:tcW w:w="3828" w:type="dxa"/>
            <w:vMerge/>
          </w:tcPr>
          <w:p w14:paraId="32E1A441" w14:textId="77777777" w:rsidR="006D09B4" w:rsidRPr="009B275C" w:rsidRDefault="006D09B4" w:rsidP="00753561">
            <w:pPr>
              <w:spacing w:line="240" w:lineRule="auto"/>
              <w:rPr>
                <w:rFonts w:cs="Arial"/>
                <w:b/>
                <w:sz w:val="32"/>
                <w:szCs w:val="32"/>
                <w:lang w:val="en-CA"/>
              </w:rPr>
            </w:pPr>
          </w:p>
        </w:tc>
      </w:tr>
      <w:tr w:rsidR="006D09B4" w:rsidRPr="009B275C" w14:paraId="46461D4C" w14:textId="77777777" w:rsidTr="005F047A">
        <w:tc>
          <w:tcPr>
            <w:tcW w:w="5778" w:type="dxa"/>
          </w:tcPr>
          <w:p w14:paraId="30DB76C0" w14:textId="77777777" w:rsidR="009B3F63" w:rsidRPr="009B275C" w:rsidRDefault="009B3F63" w:rsidP="009B3F63">
            <w:pPr>
              <w:spacing w:line="240" w:lineRule="auto"/>
              <w:rPr>
                <w:rFonts w:cs="Arial"/>
                <w:sz w:val="32"/>
                <w:szCs w:val="32"/>
                <w:lang w:val="en-CA"/>
              </w:rPr>
            </w:pPr>
            <w:r w:rsidRPr="009B275C">
              <w:rPr>
                <w:rFonts w:cs="Arial"/>
                <w:sz w:val="32"/>
                <w:szCs w:val="32"/>
                <w:lang w:val="en-CA"/>
              </w:rPr>
              <w:t xml:space="preserve">Tribunal </w:t>
            </w:r>
            <w:proofErr w:type="spellStart"/>
            <w:r w:rsidRPr="009B275C">
              <w:rPr>
                <w:rFonts w:cs="Arial"/>
                <w:sz w:val="32"/>
                <w:szCs w:val="32"/>
                <w:lang w:val="en-CA"/>
              </w:rPr>
              <w:t>ontarien</w:t>
            </w:r>
            <w:proofErr w:type="spellEnd"/>
            <w:r w:rsidRPr="009B275C">
              <w:rPr>
                <w:rFonts w:cs="Arial"/>
                <w:sz w:val="32"/>
                <w:szCs w:val="32"/>
                <w:lang w:val="en-CA"/>
              </w:rPr>
              <w:t xml:space="preserve"> de </w:t>
            </w:r>
            <w:proofErr w:type="spellStart"/>
            <w:r w:rsidRPr="009B275C">
              <w:rPr>
                <w:rFonts w:cs="Arial"/>
                <w:sz w:val="32"/>
                <w:szCs w:val="32"/>
                <w:lang w:val="en-CA"/>
              </w:rPr>
              <w:t>l’aménagement</w:t>
            </w:r>
            <w:proofErr w:type="spellEnd"/>
            <w:r w:rsidRPr="009B275C">
              <w:rPr>
                <w:rFonts w:cs="Arial"/>
                <w:sz w:val="32"/>
                <w:szCs w:val="32"/>
                <w:lang w:val="en-CA"/>
              </w:rPr>
              <w:t xml:space="preserve"> </w:t>
            </w:r>
          </w:p>
          <w:p w14:paraId="6E676A2E" w14:textId="77777777" w:rsidR="006D09B4" w:rsidRPr="009B275C" w:rsidRDefault="009B3F63" w:rsidP="009B3F63">
            <w:pPr>
              <w:spacing w:line="240" w:lineRule="auto"/>
              <w:rPr>
                <w:rFonts w:cs="Arial"/>
                <w:sz w:val="32"/>
                <w:szCs w:val="32"/>
                <w:lang w:val="en-CA"/>
              </w:rPr>
            </w:pPr>
            <w:r w:rsidRPr="009B275C">
              <w:rPr>
                <w:rFonts w:cs="Arial"/>
                <w:sz w:val="32"/>
                <w:szCs w:val="32"/>
                <w:lang w:val="en-CA"/>
              </w:rPr>
              <w:t xml:space="preserve">du </w:t>
            </w:r>
            <w:proofErr w:type="spellStart"/>
            <w:r w:rsidRPr="009B275C">
              <w:rPr>
                <w:rFonts w:cs="Arial"/>
                <w:sz w:val="32"/>
                <w:szCs w:val="32"/>
                <w:lang w:val="en-CA"/>
              </w:rPr>
              <w:t>territoire</w:t>
            </w:r>
            <w:proofErr w:type="spellEnd"/>
          </w:p>
          <w:p w14:paraId="10615D07" w14:textId="77777777" w:rsidR="006D09B4" w:rsidRPr="009B275C" w:rsidRDefault="006D09B4" w:rsidP="00753561">
            <w:pPr>
              <w:spacing w:line="240" w:lineRule="auto"/>
              <w:rPr>
                <w:rFonts w:cs="Arial"/>
                <w:sz w:val="32"/>
                <w:szCs w:val="32"/>
                <w:lang w:val="en-CA"/>
              </w:rPr>
            </w:pPr>
          </w:p>
          <w:p w14:paraId="023A81D4" w14:textId="77777777" w:rsidR="006D09B4" w:rsidRPr="009B275C" w:rsidRDefault="006D09B4" w:rsidP="00753561">
            <w:pPr>
              <w:spacing w:line="240" w:lineRule="auto"/>
              <w:rPr>
                <w:rFonts w:cs="Arial"/>
                <w:sz w:val="32"/>
                <w:szCs w:val="32"/>
                <w:lang w:val="en-CA"/>
              </w:rPr>
            </w:pPr>
          </w:p>
        </w:tc>
        <w:tc>
          <w:tcPr>
            <w:tcW w:w="3828" w:type="dxa"/>
            <w:vMerge/>
          </w:tcPr>
          <w:p w14:paraId="199362E8" w14:textId="77777777" w:rsidR="006D09B4" w:rsidRPr="009B275C" w:rsidRDefault="006D09B4" w:rsidP="00753561">
            <w:pPr>
              <w:spacing w:line="240" w:lineRule="auto"/>
              <w:rPr>
                <w:rFonts w:cs="Arial"/>
                <w:sz w:val="32"/>
                <w:szCs w:val="32"/>
                <w:lang w:val="en-CA"/>
              </w:rPr>
            </w:pPr>
          </w:p>
        </w:tc>
      </w:tr>
    </w:tbl>
    <w:p w14:paraId="0ADED43D" w14:textId="77777777" w:rsidR="008B7742" w:rsidRPr="009B275C"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72"/>
        <w:gridCol w:w="1956"/>
      </w:tblGrid>
      <w:tr w:rsidR="00EA73B7" w:rsidRPr="009B275C" w14:paraId="26003855" w14:textId="77777777" w:rsidTr="00664B0C">
        <w:tc>
          <w:tcPr>
            <w:tcW w:w="1818" w:type="dxa"/>
            <w:shd w:val="clear" w:color="auto" w:fill="auto"/>
            <w:vAlign w:val="center"/>
          </w:tcPr>
          <w:p w14:paraId="2180E3A8" w14:textId="77777777" w:rsidR="00EA73B7" w:rsidRPr="009B275C" w:rsidRDefault="00EA73B7" w:rsidP="00753561">
            <w:pPr>
              <w:spacing w:line="240" w:lineRule="auto"/>
              <w:rPr>
                <w:rFonts w:cs="Arial"/>
                <w:b/>
                <w:lang w:val="en-CA"/>
              </w:rPr>
            </w:pPr>
            <w:r w:rsidRPr="009B275C">
              <w:rPr>
                <w:rFonts w:cs="Arial"/>
                <w:b/>
                <w:lang w:val="en-CA"/>
              </w:rPr>
              <w:t>ISSUE DATE:</w:t>
            </w:r>
          </w:p>
        </w:tc>
        <w:tc>
          <w:tcPr>
            <w:tcW w:w="3960" w:type="dxa"/>
            <w:shd w:val="clear" w:color="auto" w:fill="auto"/>
            <w:vAlign w:val="center"/>
          </w:tcPr>
          <w:p w14:paraId="68AA600C" w14:textId="1623D26B" w:rsidR="00EA73B7" w:rsidRPr="009B275C" w:rsidRDefault="00666C77" w:rsidP="00610353">
            <w:pPr>
              <w:spacing w:line="240" w:lineRule="auto"/>
              <w:rPr>
                <w:rFonts w:cs="Arial"/>
                <w:lang w:val="en-CA"/>
              </w:rPr>
            </w:pPr>
            <w:r>
              <w:rPr>
                <w:rFonts w:cs="Arial"/>
                <w:lang w:val="en-CA"/>
              </w:rPr>
              <w:t>January 20, 2022</w:t>
            </w:r>
          </w:p>
        </w:tc>
        <w:tc>
          <w:tcPr>
            <w:tcW w:w="1872" w:type="dxa"/>
            <w:shd w:val="clear" w:color="auto" w:fill="auto"/>
            <w:vAlign w:val="center"/>
          </w:tcPr>
          <w:p w14:paraId="6B339927" w14:textId="5FB5BF30" w:rsidR="00EA73B7" w:rsidRPr="009B275C" w:rsidRDefault="00EA73B7" w:rsidP="00753561">
            <w:pPr>
              <w:spacing w:line="240" w:lineRule="auto"/>
              <w:rPr>
                <w:rFonts w:cs="Arial"/>
                <w:b/>
                <w:lang w:val="en-CA"/>
              </w:rPr>
            </w:pPr>
            <w:r w:rsidRPr="009B275C">
              <w:rPr>
                <w:rFonts w:cs="Arial"/>
                <w:b/>
                <w:lang w:val="en-CA"/>
              </w:rPr>
              <w:fldChar w:fldCharType="begin"/>
            </w:r>
            <w:r w:rsidRPr="009B275C">
              <w:rPr>
                <w:rFonts w:cs="Arial"/>
                <w:b/>
                <w:lang w:val="en-CA"/>
              </w:rPr>
              <w:instrText xml:space="preserve"> SEQ CHAPTER \h \r 1</w:instrText>
            </w:r>
            <w:r w:rsidRPr="009B275C">
              <w:rPr>
                <w:rFonts w:cs="Arial"/>
                <w:b/>
                <w:lang w:val="en-CA"/>
              </w:rPr>
              <w:fldChar w:fldCharType="end"/>
            </w:r>
            <w:r w:rsidRPr="009B275C">
              <w:rPr>
                <w:rFonts w:cs="Arial"/>
                <w:b/>
                <w:lang w:val="en-CA"/>
              </w:rPr>
              <w:t>CASE NO(S).:</w:t>
            </w:r>
          </w:p>
        </w:tc>
        <w:tc>
          <w:tcPr>
            <w:tcW w:w="1956" w:type="dxa"/>
            <w:shd w:val="clear" w:color="auto" w:fill="auto"/>
            <w:vAlign w:val="center"/>
          </w:tcPr>
          <w:p w14:paraId="3587637B" w14:textId="159FD03F" w:rsidR="00EA73B7" w:rsidRPr="009B275C" w:rsidRDefault="00F33467" w:rsidP="008B255D">
            <w:pPr>
              <w:spacing w:line="240" w:lineRule="auto"/>
              <w:jc w:val="right"/>
              <w:rPr>
                <w:rFonts w:cs="Arial"/>
                <w:lang w:val="en-CA"/>
              </w:rPr>
            </w:pPr>
            <w:r w:rsidRPr="009B275C">
              <w:rPr>
                <w:rFonts w:cs="Arial"/>
                <w:lang w:val="en-CA"/>
              </w:rPr>
              <w:t>PL171389</w:t>
            </w:r>
          </w:p>
        </w:tc>
      </w:tr>
    </w:tbl>
    <w:p w14:paraId="717DD5C4" w14:textId="77777777" w:rsidR="00A842EC" w:rsidRPr="009B275C" w:rsidRDefault="00A842EC" w:rsidP="00753561">
      <w:pPr>
        <w:spacing w:line="240" w:lineRule="auto"/>
        <w:rPr>
          <w:rFonts w:cs="Arial"/>
          <w:lang w:val="en-CA"/>
        </w:rPr>
      </w:pPr>
    </w:p>
    <w:p w14:paraId="037EA596" w14:textId="77777777" w:rsidR="00061E90" w:rsidRPr="009B275C" w:rsidRDefault="00061E90"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AF1A6E" w:rsidRPr="009B275C" w14:paraId="0E726AA9" w14:textId="77777777" w:rsidTr="00403AAD">
        <w:trPr>
          <w:trHeight w:val="734"/>
        </w:trPr>
        <w:tc>
          <w:tcPr>
            <w:tcW w:w="9606" w:type="dxa"/>
            <w:gridSpan w:val="2"/>
          </w:tcPr>
          <w:p w14:paraId="5FB06DD5" w14:textId="17E9BED3" w:rsidR="00AF1A6E" w:rsidRPr="009B275C" w:rsidRDefault="00CF076C" w:rsidP="00403AAD">
            <w:pPr>
              <w:spacing w:line="240" w:lineRule="auto"/>
              <w:rPr>
                <w:rFonts w:cs="Arial"/>
                <w:lang w:val="en-CA"/>
              </w:rPr>
            </w:pPr>
            <w:r w:rsidRPr="009B275C">
              <w:rPr>
                <w:rFonts w:cs="Arial"/>
                <w:b/>
                <w:lang w:val="en-CA"/>
              </w:rPr>
              <w:t xml:space="preserve">PROCEEDING COMMENCED UNDER </w:t>
            </w:r>
            <w:r w:rsidRPr="009B275C">
              <w:rPr>
                <w:rFonts w:cs="Arial"/>
                <w:lang w:val="en-CA"/>
              </w:rPr>
              <w:t xml:space="preserve">subsection 34(11) of the </w:t>
            </w:r>
            <w:r w:rsidRPr="009B275C">
              <w:rPr>
                <w:rFonts w:cs="Arial"/>
                <w:i/>
                <w:lang w:val="en-CA"/>
              </w:rPr>
              <w:t>Planning Act</w:t>
            </w:r>
            <w:r w:rsidRPr="009B275C">
              <w:rPr>
                <w:rFonts w:cs="Arial"/>
                <w:lang w:val="en-CA"/>
              </w:rPr>
              <w:t>, R.S.O. 1990, c. P.13, as amended</w:t>
            </w:r>
          </w:p>
        </w:tc>
      </w:tr>
      <w:tr w:rsidR="00AF1A6E" w:rsidRPr="009B275C" w14:paraId="63A8D45A" w14:textId="77777777" w:rsidTr="00403AAD">
        <w:trPr>
          <w:trHeight w:val="230"/>
        </w:trPr>
        <w:tc>
          <w:tcPr>
            <w:tcW w:w="4428" w:type="dxa"/>
          </w:tcPr>
          <w:p w14:paraId="5672868C" w14:textId="71F1201B" w:rsidR="00AF1A6E" w:rsidRPr="009B275C" w:rsidRDefault="001B52B4" w:rsidP="00403AAD">
            <w:pPr>
              <w:spacing w:line="240" w:lineRule="auto"/>
              <w:rPr>
                <w:rFonts w:cs="Arial"/>
                <w:lang w:val="en-CA"/>
              </w:rPr>
            </w:pPr>
            <w:r w:rsidRPr="009B275C">
              <w:rPr>
                <w:rFonts w:cs="Arial"/>
                <w:lang w:val="en-CA"/>
              </w:rPr>
              <w:t xml:space="preserve">Applicant and </w:t>
            </w:r>
            <w:r w:rsidR="00AF1A6E" w:rsidRPr="009B275C">
              <w:rPr>
                <w:rFonts w:cs="Arial"/>
                <w:lang w:val="en-CA"/>
              </w:rPr>
              <w:t>Appellant:</w:t>
            </w:r>
          </w:p>
        </w:tc>
        <w:tc>
          <w:tcPr>
            <w:tcW w:w="5178" w:type="dxa"/>
          </w:tcPr>
          <w:p w14:paraId="02A088B2" w14:textId="64658478" w:rsidR="00AF1A6E" w:rsidRPr="009B275C" w:rsidRDefault="00CF076C" w:rsidP="00403AAD">
            <w:pPr>
              <w:spacing w:line="240" w:lineRule="auto"/>
              <w:rPr>
                <w:rFonts w:cs="Arial"/>
                <w:lang w:val="en-CA"/>
              </w:rPr>
            </w:pPr>
            <w:r w:rsidRPr="009B275C">
              <w:rPr>
                <w:rFonts w:cs="Arial"/>
                <w:lang w:val="en-CA"/>
              </w:rPr>
              <w:t>Medallion Developments</w:t>
            </w:r>
          </w:p>
        </w:tc>
      </w:tr>
      <w:tr w:rsidR="00B440DB" w:rsidRPr="009B275C" w14:paraId="4B18643E" w14:textId="77777777" w:rsidTr="00403AAD">
        <w:trPr>
          <w:trHeight w:val="230"/>
        </w:trPr>
        <w:tc>
          <w:tcPr>
            <w:tcW w:w="4428" w:type="dxa"/>
          </w:tcPr>
          <w:p w14:paraId="13B5B6F7" w14:textId="01E168FC" w:rsidR="00B440DB" w:rsidRPr="009B275C" w:rsidRDefault="00986E86" w:rsidP="00403AAD">
            <w:pPr>
              <w:spacing w:line="240" w:lineRule="auto"/>
              <w:rPr>
                <w:rFonts w:cs="Arial"/>
                <w:lang w:val="en-CA"/>
              </w:rPr>
            </w:pPr>
            <w:r w:rsidRPr="009B275C">
              <w:rPr>
                <w:rFonts w:cs="Arial"/>
                <w:lang w:val="en-CA"/>
              </w:rPr>
              <w:t>Subject:</w:t>
            </w:r>
          </w:p>
        </w:tc>
        <w:tc>
          <w:tcPr>
            <w:tcW w:w="5178" w:type="dxa"/>
          </w:tcPr>
          <w:p w14:paraId="3D38E790" w14:textId="7FC1443D" w:rsidR="00B440DB" w:rsidRPr="009B275C" w:rsidRDefault="00CF076C" w:rsidP="00403AAD">
            <w:pPr>
              <w:spacing w:line="240" w:lineRule="auto"/>
              <w:rPr>
                <w:rFonts w:cs="Arial"/>
                <w:lang w:val="en-CA"/>
              </w:rPr>
            </w:pPr>
            <w:r w:rsidRPr="009B275C">
              <w:rPr>
                <w:rFonts w:cs="Arial"/>
                <w:lang w:val="en-CA"/>
              </w:rPr>
              <w:t xml:space="preserve">Application to amend Zoning By-law No. 6593 - Refusal or neglect of the City of Hamilton to </w:t>
            </w:r>
            <w:proofErr w:type="gramStart"/>
            <w:r w:rsidRPr="009B275C">
              <w:rPr>
                <w:rFonts w:cs="Arial"/>
                <w:lang w:val="en-CA"/>
              </w:rPr>
              <w:t>make a decision</w:t>
            </w:r>
            <w:proofErr w:type="gramEnd"/>
          </w:p>
        </w:tc>
      </w:tr>
      <w:tr w:rsidR="00CF076C" w:rsidRPr="009B275C" w14:paraId="7DE0E346" w14:textId="77777777" w:rsidTr="00403AAD">
        <w:trPr>
          <w:trHeight w:val="230"/>
        </w:trPr>
        <w:tc>
          <w:tcPr>
            <w:tcW w:w="4428" w:type="dxa"/>
          </w:tcPr>
          <w:p w14:paraId="18D5514E" w14:textId="06B81D77" w:rsidR="00CF076C" w:rsidRPr="009B275C" w:rsidRDefault="00CF076C" w:rsidP="00403AAD">
            <w:pPr>
              <w:spacing w:line="240" w:lineRule="auto"/>
              <w:rPr>
                <w:rFonts w:cs="Arial"/>
                <w:lang w:val="en-CA"/>
              </w:rPr>
            </w:pPr>
            <w:r w:rsidRPr="009B275C">
              <w:rPr>
                <w:rFonts w:cs="Arial"/>
                <w:lang w:val="en-CA"/>
              </w:rPr>
              <w:t>Existing Zoning:</w:t>
            </w:r>
          </w:p>
        </w:tc>
        <w:tc>
          <w:tcPr>
            <w:tcW w:w="5178" w:type="dxa"/>
          </w:tcPr>
          <w:p w14:paraId="4A9CD695" w14:textId="4DA30E59" w:rsidR="00CF076C" w:rsidRPr="009B275C" w:rsidRDefault="00CF076C" w:rsidP="00403AAD">
            <w:pPr>
              <w:spacing w:line="240" w:lineRule="auto"/>
              <w:rPr>
                <w:rFonts w:cs="Arial"/>
                <w:lang w:val="en-CA"/>
              </w:rPr>
            </w:pPr>
            <w:r w:rsidRPr="009B275C">
              <w:rPr>
                <w:rFonts w:cs="Arial"/>
                <w:lang w:val="en-CA"/>
              </w:rPr>
              <w:t>E District (Multiple Dwellings, Lodges, Clubs, Etc.)</w:t>
            </w:r>
          </w:p>
        </w:tc>
      </w:tr>
      <w:tr w:rsidR="00CF076C" w:rsidRPr="009B275C" w14:paraId="26B2D8DC" w14:textId="77777777" w:rsidTr="00403AAD">
        <w:trPr>
          <w:trHeight w:val="230"/>
        </w:trPr>
        <w:tc>
          <w:tcPr>
            <w:tcW w:w="4428" w:type="dxa"/>
          </w:tcPr>
          <w:p w14:paraId="22C4FFAB" w14:textId="0DFC4A6D" w:rsidR="00CF076C" w:rsidRPr="009B275C" w:rsidRDefault="00CF076C" w:rsidP="00403AAD">
            <w:pPr>
              <w:spacing w:line="240" w:lineRule="auto"/>
              <w:rPr>
                <w:rFonts w:cs="Arial"/>
                <w:lang w:val="en-CA"/>
              </w:rPr>
            </w:pPr>
            <w:r w:rsidRPr="009B275C">
              <w:rPr>
                <w:rFonts w:cs="Arial"/>
                <w:lang w:val="en-CA"/>
              </w:rPr>
              <w:t>Proposed Zoning:</w:t>
            </w:r>
          </w:p>
        </w:tc>
        <w:tc>
          <w:tcPr>
            <w:tcW w:w="5178" w:type="dxa"/>
          </w:tcPr>
          <w:p w14:paraId="7A90F924" w14:textId="7E1DB282" w:rsidR="00CF076C" w:rsidRPr="009B275C" w:rsidRDefault="00CF076C" w:rsidP="00403AAD">
            <w:pPr>
              <w:spacing w:line="240" w:lineRule="auto"/>
              <w:rPr>
                <w:rFonts w:cs="Arial"/>
                <w:lang w:val="en-CA"/>
              </w:rPr>
            </w:pPr>
            <w:r w:rsidRPr="009B275C">
              <w:rPr>
                <w:rFonts w:cs="Arial"/>
                <w:lang w:val="en-CA"/>
              </w:rPr>
              <w:t>E-3 District, Modified (High Density Dwellings)</w:t>
            </w:r>
          </w:p>
        </w:tc>
      </w:tr>
      <w:tr w:rsidR="00CF076C" w:rsidRPr="009B275C" w14:paraId="4E95F270" w14:textId="77777777" w:rsidTr="00403AAD">
        <w:trPr>
          <w:trHeight w:val="230"/>
        </w:trPr>
        <w:tc>
          <w:tcPr>
            <w:tcW w:w="4428" w:type="dxa"/>
          </w:tcPr>
          <w:p w14:paraId="5CE1CB27" w14:textId="2AB486AA" w:rsidR="00CF076C" w:rsidRPr="009B275C" w:rsidRDefault="00CF076C" w:rsidP="00403AAD">
            <w:pPr>
              <w:spacing w:line="240" w:lineRule="auto"/>
              <w:rPr>
                <w:rFonts w:cs="Arial"/>
                <w:lang w:val="en-CA"/>
              </w:rPr>
            </w:pPr>
            <w:r w:rsidRPr="009B275C">
              <w:rPr>
                <w:rFonts w:cs="Arial"/>
                <w:lang w:val="en-CA"/>
              </w:rPr>
              <w:t>Purpose:</w:t>
            </w:r>
          </w:p>
        </w:tc>
        <w:tc>
          <w:tcPr>
            <w:tcW w:w="5178" w:type="dxa"/>
          </w:tcPr>
          <w:p w14:paraId="5D3B7F77" w14:textId="3A32245A" w:rsidR="00CF076C" w:rsidRPr="009B275C" w:rsidRDefault="00CF076C" w:rsidP="00403AAD">
            <w:pPr>
              <w:spacing w:line="240" w:lineRule="auto"/>
              <w:rPr>
                <w:rFonts w:cs="Arial"/>
                <w:lang w:val="en-CA"/>
              </w:rPr>
            </w:pPr>
            <w:r w:rsidRPr="009B275C">
              <w:rPr>
                <w:rFonts w:cs="Arial"/>
                <w:lang w:val="en-CA"/>
              </w:rPr>
              <w:t>To permit</w:t>
            </w:r>
            <w:r w:rsidR="00D327D2" w:rsidRPr="009B275C">
              <w:rPr>
                <w:rFonts w:cs="Arial"/>
                <w:lang w:val="en-CA"/>
              </w:rPr>
              <w:t xml:space="preserve"> the development of 20-storey rental apartment residential apartment addition</w:t>
            </w:r>
          </w:p>
        </w:tc>
      </w:tr>
      <w:tr w:rsidR="00814CDE" w:rsidRPr="009B275C" w14:paraId="46196411" w14:textId="77777777" w:rsidTr="00403AAD">
        <w:trPr>
          <w:trHeight w:val="230"/>
        </w:trPr>
        <w:tc>
          <w:tcPr>
            <w:tcW w:w="4428" w:type="dxa"/>
          </w:tcPr>
          <w:p w14:paraId="3747E6C2" w14:textId="44C6EBD0" w:rsidR="00814CDE" w:rsidRPr="009B275C" w:rsidRDefault="00814CDE" w:rsidP="00403AAD">
            <w:pPr>
              <w:spacing w:line="240" w:lineRule="auto"/>
              <w:rPr>
                <w:rFonts w:cs="Arial"/>
                <w:lang w:val="en-CA"/>
              </w:rPr>
            </w:pPr>
            <w:r w:rsidRPr="009B275C">
              <w:rPr>
                <w:rFonts w:cs="Arial"/>
                <w:lang w:val="en-CA"/>
              </w:rPr>
              <w:t>Property Address/Description:</w:t>
            </w:r>
          </w:p>
        </w:tc>
        <w:tc>
          <w:tcPr>
            <w:tcW w:w="5178" w:type="dxa"/>
          </w:tcPr>
          <w:p w14:paraId="5C6C6988" w14:textId="5C076205" w:rsidR="00814CDE" w:rsidRPr="009B275C" w:rsidRDefault="00CF076C" w:rsidP="00403AAD">
            <w:pPr>
              <w:spacing w:line="240" w:lineRule="auto"/>
              <w:rPr>
                <w:rFonts w:cs="Arial"/>
                <w:lang w:val="en-CA"/>
              </w:rPr>
            </w:pPr>
            <w:r w:rsidRPr="009B275C">
              <w:rPr>
                <w:rFonts w:cs="Arial"/>
                <w:lang w:val="en-CA"/>
              </w:rPr>
              <w:t>195 Wellington Street South</w:t>
            </w:r>
          </w:p>
        </w:tc>
      </w:tr>
      <w:tr w:rsidR="00AF1A6E" w:rsidRPr="009B275C" w14:paraId="1DC2F95E" w14:textId="77777777" w:rsidTr="00403AAD">
        <w:trPr>
          <w:trHeight w:val="230"/>
        </w:trPr>
        <w:tc>
          <w:tcPr>
            <w:tcW w:w="4428" w:type="dxa"/>
          </w:tcPr>
          <w:p w14:paraId="2E0243B2" w14:textId="77777777" w:rsidR="00AF1A6E" w:rsidRPr="009B275C" w:rsidRDefault="00AF1A6E" w:rsidP="00403AAD">
            <w:pPr>
              <w:spacing w:line="240" w:lineRule="auto"/>
              <w:rPr>
                <w:rFonts w:cs="Arial"/>
                <w:lang w:val="en-CA"/>
              </w:rPr>
            </w:pPr>
            <w:r w:rsidRPr="009B275C">
              <w:rPr>
                <w:rFonts w:cs="Arial"/>
                <w:lang w:val="en-CA"/>
              </w:rPr>
              <w:t>Municipality:</w:t>
            </w:r>
          </w:p>
        </w:tc>
        <w:tc>
          <w:tcPr>
            <w:tcW w:w="5178" w:type="dxa"/>
          </w:tcPr>
          <w:p w14:paraId="27EBD7CF" w14:textId="647A9C86" w:rsidR="00AF1A6E" w:rsidRPr="009B275C" w:rsidRDefault="00CF076C" w:rsidP="00403AAD">
            <w:pPr>
              <w:spacing w:line="240" w:lineRule="auto"/>
              <w:rPr>
                <w:rFonts w:cs="Arial"/>
                <w:lang w:val="en-CA"/>
              </w:rPr>
            </w:pPr>
            <w:r w:rsidRPr="009B275C">
              <w:rPr>
                <w:rFonts w:cs="Arial"/>
                <w:lang w:val="en-CA"/>
              </w:rPr>
              <w:t>City of Hamilton</w:t>
            </w:r>
          </w:p>
        </w:tc>
      </w:tr>
      <w:tr w:rsidR="00814CDE" w:rsidRPr="009B275C" w14:paraId="3BB9A7B5" w14:textId="77777777" w:rsidTr="00403AAD">
        <w:trPr>
          <w:trHeight w:val="230"/>
        </w:trPr>
        <w:tc>
          <w:tcPr>
            <w:tcW w:w="4428" w:type="dxa"/>
          </w:tcPr>
          <w:p w14:paraId="77FE4F2B" w14:textId="684B73EE" w:rsidR="00814CDE" w:rsidRPr="009B275C" w:rsidRDefault="004840ED" w:rsidP="00403AAD">
            <w:pPr>
              <w:spacing w:line="240" w:lineRule="auto"/>
              <w:rPr>
                <w:rFonts w:cs="Arial"/>
                <w:lang w:val="en-CA"/>
              </w:rPr>
            </w:pPr>
            <w:r w:rsidRPr="009B275C">
              <w:rPr>
                <w:rFonts w:cs="Arial"/>
                <w:lang w:val="en-CA"/>
              </w:rPr>
              <w:t>Municipal</w:t>
            </w:r>
            <w:r w:rsidR="00CF076C" w:rsidRPr="009B275C">
              <w:rPr>
                <w:rFonts w:cs="Arial"/>
                <w:lang w:val="en-CA"/>
              </w:rPr>
              <w:t>ity</w:t>
            </w:r>
            <w:r w:rsidR="00814CDE" w:rsidRPr="009B275C">
              <w:rPr>
                <w:rFonts w:cs="Arial"/>
                <w:lang w:val="en-CA"/>
              </w:rPr>
              <w:t xml:space="preserve"> File No.:</w:t>
            </w:r>
          </w:p>
        </w:tc>
        <w:tc>
          <w:tcPr>
            <w:tcW w:w="5178" w:type="dxa"/>
          </w:tcPr>
          <w:p w14:paraId="723022F3" w14:textId="0B4F10B5" w:rsidR="00814CDE" w:rsidRPr="009B275C" w:rsidRDefault="00CF076C" w:rsidP="00403AAD">
            <w:pPr>
              <w:spacing w:line="240" w:lineRule="auto"/>
              <w:rPr>
                <w:rFonts w:cs="Arial"/>
                <w:lang w:val="en-CA"/>
              </w:rPr>
            </w:pPr>
            <w:r w:rsidRPr="009B275C">
              <w:rPr>
                <w:rFonts w:cs="Arial"/>
                <w:lang w:val="en-CA"/>
              </w:rPr>
              <w:t>ZAC-14-003</w:t>
            </w:r>
          </w:p>
        </w:tc>
      </w:tr>
      <w:tr w:rsidR="00AF1A6E" w:rsidRPr="009B275C" w14:paraId="0A7CD1D6" w14:textId="77777777" w:rsidTr="00403AAD">
        <w:trPr>
          <w:trHeight w:val="230"/>
        </w:trPr>
        <w:tc>
          <w:tcPr>
            <w:tcW w:w="4428" w:type="dxa"/>
          </w:tcPr>
          <w:p w14:paraId="59B4E48A" w14:textId="24A45ADC" w:rsidR="00AF1A6E" w:rsidRPr="009B275C" w:rsidRDefault="00796C2A" w:rsidP="00403AAD">
            <w:pPr>
              <w:spacing w:line="240" w:lineRule="auto"/>
              <w:rPr>
                <w:rFonts w:cs="Arial"/>
                <w:lang w:val="en-CA"/>
              </w:rPr>
            </w:pPr>
            <w:r w:rsidRPr="009B275C">
              <w:rPr>
                <w:rFonts w:cs="Arial"/>
                <w:lang w:val="en-CA"/>
              </w:rPr>
              <w:t>OL</w:t>
            </w:r>
            <w:r w:rsidR="00AF1A6E" w:rsidRPr="009B275C">
              <w:rPr>
                <w:rFonts w:cs="Arial"/>
                <w:lang w:val="en-CA"/>
              </w:rPr>
              <w:t>T Case No.:</w:t>
            </w:r>
          </w:p>
        </w:tc>
        <w:tc>
          <w:tcPr>
            <w:tcW w:w="5178" w:type="dxa"/>
          </w:tcPr>
          <w:p w14:paraId="0BB06E1C" w14:textId="63CC8F11" w:rsidR="00AF1A6E" w:rsidRPr="009B275C" w:rsidRDefault="00CF076C" w:rsidP="00403AAD">
            <w:pPr>
              <w:spacing w:line="240" w:lineRule="auto"/>
              <w:rPr>
                <w:rFonts w:cs="Arial"/>
                <w:lang w:val="en-CA"/>
              </w:rPr>
            </w:pPr>
            <w:r w:rsidRPr="009B275C">
              <w:rPr>
                <w:rFonts w:cs="Arial"/>
                <w:lang w:val="en-CA"/>
              </w:rPr>
              <w:t>PL171389</w:t>
            </w:r>
          </w:p>
        </w:tc>
      </w:tr>
      <w:tr w:rsidR="00AF1A6E" w:rsidRPr="009B275C" w14:paraId="37FC2B6E" w14:textId="77777777" w:rsidTr="00403AAD">
        <w:trPr>
          <w:trHeight w:val="230"/>
        </w:trPr>
        <w:tc>
          <w:tcPr>
            <w:tcW w:w="4428" w:type="dxa"/>
          </w:tcPr>
          <w:p w14:paraId="718AB1EA" w14:textId="6AEEF3B1" w:rsidR="00AF1A6E" w:rsidRPr="009B275C" w:rsidRDefault="00796C2A" w:rsidP="00403AAD">
            <w:pPr>
              <w:spacing w:line="240" w:lineRule="auto"/>
              <w:rPr>
                <w:rFonts w:cs="Arial"/>
                <w:lang w:val="en-CA"/>
              </w:rPr>
            </w:pPr>
            <w:r w:rsidRPr="009B275C">
              <w:rPr>
                <w:rFonts w:cs="Arial"/>
                <w:lang w:val="en-CA"/>
              </w:rPr>
              <w:t>OL</w:t>
            </w:r>
            <w:r w:rsidR="00AF1A6E" w:rsidRPr="009B275C">
              <w:rPr>
                <w:rFonts w:cs="Arial"/>
                <w:lang w:val="en-CA"/>
              </w:rPr>
              <w:t xml:space="preserve">T </w:t>
            </w:r>
            <w:r w:rsidR="00CF076C" w:rsidRPr="009B275C">
              <w:rPr>
                <w:rFonts w:cs="Arial"/>
                <w:lang w:val="en-CA"/>
              </w:rPr>
              <w:t>File</w:t>
            </w:r>
            <w:r w:rsidR="00AF1A6E" w:rsidRPr="009B275C">
              <w:rPr>
                <w:rFonts w:cs="Arial"/>
                <w:lang w:val="en-CA"/>
              </w:rPr>
              <w:t xml:space="preserve"> No.:</w:t>
            </w:r>
          </w:p>
        </w:tc>
        <w:tc>
          <w:tcPr>
            <w:tcW w:w="5178" w:type="dxa"/>
          </w:tcPr>
          <w:p w14:paraId="70D86088" w14:textId="532E67D1" w:rsidR="00AF1A6E" w:rsidRPr="009B275C" w:rsidRDefault="00CF076C" w:rsidP="00403AAD">
            <w:pPr>
              <w:spacing w:line="240" w:lineRule="auto"/>
              <w:rPr>
                <w:rFonts w:cs="Arial"/>
                <w:lang w:val="en-CA"/>
              </w:rPr>
            </w:pPr>
            <w:r w:rsidRPr="009B275C">
              <w:rPr>
                <w:rFonts w:cs="Arial"/>
                <w:lang w:val="en-CA"/>
              </w:rPr>
              <w:t>PL171389</w:t>
            </w:r>
          </w:p>
        </w:tc>
      </w:tr>
      <w:tr w:rsidR="0064116F" w:rsidRPr="009B275C" w14:paraId="1417C84F" w14:textId="77777777" w:rsidTr="00403AAD">
        <w:trPr>
          <w:trHeight w:val="230"/>
        </w:trPr>
        <w:tc>
          <w:tcPr>
            <w:tcW w:w="4428" w:type="dxa"/>
          </w:tcPr>
          <w:p w14:paraId="14AD59A2" w14:textId="2CE9898D" w:rsidR="0064116F" w:rsidRPr="009B275C" w:rsidRDefault="00796C2A" w:rsidP="00403AAD">
            <w:pPr>
              <w:spacing w:line="240" w:lineRule="auto"/>
              <w:rPr>
                <w:rFonts w:cs="Arial"/>
                <w:lang w:val="en-CA"/>
              </w:rPr>
            </w:pPr>
            <w:r w:rsidRPr="009B275C">
              <w:rPr>
                <w:rFonts w:cs="Arial"/>
                <w:lang w:val="en-CA"/>
              </w:rPr>
              <w:t>OL</w:t>
            </w:r>
            <w:r w:rsidR="0064116F" w:rsidRPr="009B275C">
              <w:rPr>
                <w:rFonts w:cs="Arial"/>
                <w:lang w:val="en-CA"/>
              </w:rPr>
              <w:t>T Case Name:</w:t>
            </w:r>
          </w:p>
        </w:tc>
        <w:tc>
          <w:tcPr>
            <w:tcW w:w="5178" w:type="dxa"/>
          </w:tcPr>
          <w:p w14:paraId="59545A44" w14:textId="1699B4EC" w:rsidR="0064116F" w:rsidRPr="009B275C" w:rsidRDefault="00CF076C" w:rsidP="00403AAD">
            <w:pPr>
              <w:spacing w:line="240" w:lineRule="auto"/>
              <w:rPr>
                <w:rFonts w:cs="Arial"/>
                <w:lang w:val="en-CA"/>
              </w:rPr>
            </w:pPr>
            <w:r w:rsidRPr="009B275C">
              <w:rPr>
                <w:rFonts w:cs="Arial"/>
                <w:lang w:val="en-CA"/>
              </w:rPr>
              <w:t>Medallion Developments v. Hamilton (City)</w:t>
            </w:r>
          </w:p>
        </w:tc>
      </w:tr>
      <w:tr w:rsidR="00C74FC0" w:rsidRPr="009B275C" w14:paraId="5C7B93B1" w14:textId="77777777" w:rsidTr="005D4716">
        <w:trPr>
          <w:trHeight w:val="230"/>
        </w:trPr>
        <w:tc>
          <w:tcPr>
            <w:tcW w:w="4428" w:type="dxa"/>
          </w:tcPr>
          <w:p w14:paraId="522C0D0C" w14:textId="77777777" w:rsidR="00C74FC0" w:rsidRPr="009B275C" w:rsidRDefault="00C74FC0" w:rsidP="00C74FC0">
            <w:pPr>
              <w:spacing w:line="240" w:lineRule="auto"/>
              <w:rPr>
                <w:rFonts w:cs="Arial"/>
                <w:lang w:val="en-CA"/>
              </w:rPr>
            </w:pPr>
          </w:p>
        </w:tc>
        <w:tc>
          <w:tcPr>
            <w:tcW w:w="5178" w:type="dxa"/>
          </w:tcPr>
          <w:p w14:paraId="7EFD74ED" w14:textId="77777777" w:rsidR="00C74FC0" w:rsidRPr="009B275C" w:rsidRDefault="00C74FC0" w:rsidP="00C74FC0">
            <w:pPr>
              <w:spacing w:line="240" w:lineRule="auto"/>
              <w:rPr>
                <w:rFonts w:cs="Arial"/>
                <w:lang w:val="en-CA"/>
              </w:rPr>
            </w:pPr>
          </w:p>
        </w:tc>
      </w:tr>
      <w:tr w:rsidR="00C74FC0" w:rsidRPr="009B275C" w14:paraId="7BD3F430" w14:textId="77777777" w:rsidTr="005D4716">
        <w:trPr>
          <w:trHeight w:val="230"/>
        </w:trPr>
        <w:tc>
          <w:tcPr>
            <w:tcW w:w="4428" w:type="dxa"/>
          </w:tcPr>
          <w:p w14:paraId="22CC5D46" w14:textId="77777777" w:rsidR="00C74FC0" w:rsidRPr="009B275C" w:rsidRDefault="00C74FC0" w:rsidP="00C74FC0">
            <w:pPr>
              <w:spacing w:line="240" w:lineRule="auto"/>
              <w:rPr>
                <w:rFonts w:cs="Arial"/>
                <w:lang w:val="en-CA"/>
              </w:rPr>
            </w:pPr>
          </w:p>
        </w:tc>
        <w:tc>
          <w:tcPr>
            <w:tcW w:w="5178" w:type="dxa"/>
          </w:tcPr>
          <w:p w14:paraId="15230719" w14:textId="77777777" w:rsidR="00C74FC0" w:rsidRPr="009B275C" w:rsidRDefault="00C74FC0" w:rsidP="00C74FC0">
            <w:pPr>
              <w:spacing w:line="240" w:lineRule="auto"/>
              <w:rPr>
                <w:rFonts w:cs="Arial"/>
                <w:lang w:val="en-CA"/>
              </w:rPr>
            </w:pPr>
          </w:p>
        </w:tc>
      </w:tr>
      <w:tr w:rsidR="00C74FC0" w:rsidRPr="009B275C" w14:paraId="12F8EEF0" w14:textId="77777777" w:rsidTr="005D4716">
        <w:trPr>
          <w:trHeight w:val="249"/>
        </w:trPr>
        <w:tc>
          <w:tcPr>
            <w:tcW w:w="4428" w:type="dxa"/>
          </w:tcPr>
          <w:p w14:paraId="4847FA7E" w14:textId="77777777" w:rsidR="00C74FC0" w:rsidRPr="009B275C" w:rsidRDefault="00C74FC0" w:rsidP="00C74FC0">
            <w:pPr>
              <w:spacing w:line="240" w:lineRule="auto"/>
              <w:rPr>
                <w:rFonts w:cs="Arial"/>
                <w:b/>
                <w:lang w:val="en-CA"/>
              </w:rPr>
            </w:pPr>
            <w:r w:rsidRPr="009B275C">
              <w:rPr>
                <w:rFonts w:cs="Arial"/>
                <w:b/>
                <w:lang w:val="en-CA"/>
              </w:rPr>
              <w:t>Heard:</w:t>
            </w:r>
          </w:p>
        </w:tc>
        <w:tc>
          <w:tcPr>
            <w:tcW w:w="5178" w:type="dxa"/>
          </w:tcPr>
          <w:p w14:paraId="0C617CAF" w14:textId="11F18AD9" w:rsidR="00C74FC0" w:rsidRPr="009B275C" w:rsidRDefault="00D327D2" w:rsidP="00C74FC0">
            <w:pPr>
              <w:spacing w:line="240" w:lineRule="auto"/>
              <w:rPr>
                <w:rFonts w:cs="Arial"/>
                <w:lang w:val="en-CA"/>
              </w:rPr>
            </w:pPr>
            <w:r w:rsidRPr="009B275C">
              <w:rPr>
                <w:rFonts w:cs="Arial"/>
                <w:lang w:val="en-CA"/>
              </w:rPr>
              <w:t>December 8</w:t>
            </w:r>
            <w:r w:rsidR="00C74FC0" w:rsidRPr="009B275C">
              <w:rPr>
                <w:rFonts w:cs="Arial"/>
                <w:lang w:val="en-CA"/>
              </w:rPr>
              <w:t>, 2021 by video hearing</w:t>
            </w:r>
          </w:p>
        </w:tc>
      </w:tr>
    </w:tbl>
    <w:p w14:paraId="6163FCA7" w14:textId="77777777" w:rsidR="00290839" w:rsidRPr="009B275C" w:rsidRDefault="00290839" w:rsidP="00753561">
      <w:pPr>
        <w:spacing w:line="240" w:lineRule="auto"/>
        <w:rPr>
          <w:rFonts w:cs="Arial"/>
          <w:lang w:val="en-CA"/>
        </w:rPr>
      </w:pPr>
    </w:p>
    <w:p w14:paraId="5C14F5A1" w14:textId="77777777" w:rsidR="00AB70D6" w:rsidRPr="009B275C" w:rsidRDefault="00AB70D6" w:rsidP="00753561">
      <w:pPr>
        <w:spacing w:line="240" w:lineRule="auto"/>
        <w:rPr>
          <w:rFonts w:cs="Arial"/>
          <w:lang w:val="en-CA"/>
        </w:rPr>
      </w:pPr>
    </w:p>
    <w:tbl>
      <w:tblPr>
        <w:tblW w:w="9606" w:type="dxa"/>
        <w:tblLook w:val="0000" w:firstRow="0" w:lastRow="0" w:firstColumn="0" w:lastColumn="0" w:noHBand="0" w:noVBand="0"/>
      </w:tblPr>
      <w:tblGrid>
        <w:gridCol w:w="4428"/>
        <w:gridCol w:w="5178"/>
      </w:tblGrid>
      <w:tr w:rsidR="0089782A" w:rsidRPr="009B275C" w14:paraId="1D2C9FF6" w14:textId="77777777" w:rsidTr="005D4716">
        <w:tc>
          <w:tcPr>
            <w:tcW w:w="4428" w:type="dxa"/>
          </w:tcPr>
          <w:bookmarkEnd w:id="0"/>
          <w:p w14:paraId="2B200A51" w14:textId="77777777" w:rsidR="0089782A" w:rsidRPr="009B275C" w:rsidRDefault="0089782A" w:rsidP="00753561">
            <w:pPr>
              <w:spacing w:line="240" w:lineRule="auto"/>
              <w:rPr>
                <w:rFonts w:cs="Arial"/>
                <w:b/>
                <w:lang w:val="en-CA"/>
              </w:rPr>
            </w:pPr>
            <w:r w:rsidRPr="009B275C">
              <w:rPr>
                <w:rFonts w:cs="Arial"/>
                <w:b/>
                <w:lang w:val="en-CA"/>
              </w:rPr>
              <w:t>APPEARANCES:</w:t>
            </w:r>
          </w:p>
        </w:tc>
        <w:tc>
          <w:tcPr>
            <w:tcW w:w="5178" w:type="dxa"/>
          </w:tcPr>
          <w:p w14:paraId="07387D53" w14:textId="77777777" w:rsidR="0089782A" w:rsidRPr="009B275C" w:rsidRDefault="0089782A" w:rsidP="00753561">
            <w:pPr>
              <w:spacing w:line="240" w:lineRule="auto"/>
              <w:rPr>
                <w:rFonts w:cs="Arial"/>
                <w:lang w:val="en-CA"/>
              </w:rPr>
            </w:pPr>
          </w:p>
        </w:tc>
      </w:tr>
      <w:tr w:rsidR="0089782A" w:rsidRPr="009B275C" w14:paraId="7D85970E" w14:textId="77777777" w:rsidTr="005D4716">
        <w:tc>
          <w:tcPr>
            <w:tcW w:w="4428" w:type="dxa"/>
          </w:tcPr>
          <w:p w14:paraId="54016CCB" w14:textId="77777777" w:rsidR="0089782A" w:rsidRPr="009B275C" w:rsidRDefault="0089782A" w:rsidP="00753561">
            <w:pPr>
              <w:spacing w:line="240" w:lineRule="auto"/>
              <w:rPr>
                <w:rFonts w:cs="Arial"/>
                <w:lang w:val="en-CA"/>
              </w:rPr>
            </w:pPr>
          </w:p>
        </w:tc>
        <w:tc>
          <w:tcPr>
            <w:tcW w:w="5178" w:type="dxa"/>
          </w:tcPr>
          <w:p w14:paraId="55B78C13" w14:textId="77777777" w:rsidR="0089782A" w:rsidRPr="009B275C" w:rsidRDefault="0089782A" w:rsidP="00753561">
            <w:pPr>
              <w:spacing w:line="240" w:lineRule="auto"/>
              <w:rPr>
                <w:rFonts w:cs="Arial"/>
                <w:lang w:val="en-CA"/>
              </w:rPr>
            </w:pPr>
          </w:p>
        </w:tc>
      </w:tr>
      <w:tr w:rsidR="008046EB" w:rsidRPr="009B275C" w14:paraId="1E011BB1" w14:textId="77777777" w:rsidTr="005D4716">
        <w:tc>
          <w:tcPr>
            <w:tcW w:w="4428" w:type="dxa"/>
          </w:tcPr>
          <w:p w14:paraId="0900F258" w14:textId="77777777" w:rsidR="004C55AF" w:rsidRPr="009B275C" w:rsidRDefault="008046EB" w:rsidP="00753561">
            <w:pPr>
              <w:spacing w:line="240" w:lineRule="auto"/>
              <w:rPr>
                <w:rFonts w:cs="Arial"/>
                <w:b/>
                <w:u w:val="single"/>
                <w:lang w:val="en-CA"/>
              </w:rPr>
            </w:pPr>
            <w:bookmarkStart w:id="1" w:name="Parties"/>
            <w:r w:rsidRPr="009B275C">
              <w:rPr>
                <w:rFonts w:cs="Arial"/>
                <w:b/>
                <w:u w:val="single"/>
                <w:lang w:val="en-CA"/>
              </w:rPr>
              <w:t>Parties</w:t>
            </w:r>
            <w:bookmarkEnd w:id="1"/>
          </w:p>
        </w:tc>
        <w:tc>
          <w:tcPr>
            <w:tcW w:w="5178" w:type="dxa"/>
          </w:tcPr>
          <w:p w14:paraId="045DCFFF" w14:textId="6B116F3A" w:rsidR="004C55AF" w:rsidRPr="009B275C" w:rsidRDefault="00C21B2B" w:rsidP="00831751">
            <w:pPr>
              <w:spacing w:line="240" w:lineRule="auto"/>
              <w:rPr>
                <w:rFonts w:cs="Arial"/>
                <w:b/>
                <w:u w:val="single"/>
                <w:lang w:val="en-CA"/>
              </w:rPr>
            </w:pPr>
            <w:r w:rsidRPr="009B275C">
              <w:rPr>
                <w:rFonts w:cs="Arial"/>
                <w:b/>
                <w:u w:val="single"/>
                <w:lang w:val="en-CA"/>
              </w:rPr>
              <w:t>Counsel</w:t>
            </w:r>
          </w:p>
        </w:tc>
      </w:tr>
      <w:tr w:rsidR="00F615BD" w:rsidRPr="009B275C" w14:paraId="672E8150" w14:textId="77777777" w:rsidTr="005D4716">
        <w:tc>
          <w:tcPr>
            <w:tcW w:w="4428" w:type="dxa"/>
          </w:tcPr>
          <w:p w14:paraId="2B9015AA" w14:textId="77777777" w:rsidR="00F615BD" w:rsidRPr="009B275C" w:rsidRDefault="00F615BD" w:rsidP="00753561">
            <w:pPr>
              <w:spacing w:line="240" w:lineRule="auto"/>
              <w:rPr>
                <w:rFonts w:cs="Arial"/>
                <w:bCs/>
                <w:lang w:val="en-CA"/>
              </w:rPr>
            </w:pPr>
          </w:p>
        </w:tc>
        <w:tc>
          <w:tcPr>
            <w:tcW w:w="5178" w:type="dxa"/>
          </w:tcPr>
          <w:p w14:paraId="519BF5B8" w14:textId="77777777" w:rsidR="00F615BD" w:rsidRPr="009B275C" w:rsidRDefault="00F615BD" w:rsidP="00753561">
            <w:pPr>
              <w:spacing w:line="240" w:lineRule="auto"/>
              <w:rPr>
                <w:rFonts w:cs="Arial"/>
                <w:bCs/>
                <w:lang w:val="en-CA"/>
              </w:rPr>
            </w:pPr>
          </w:p>
        </w:tc>
      </w:tr>
      <w:tr w:rsidR="00F615BD" w:rsidRPr="009B275C" w14:paraId="1B1D2D38" w14:textId="77777777" w:rsidTr="005D4716">
        <w:tc>
          <w:tcPr>
            <w:tcW w:w="4428" w:type="dxa"/>
          </w:tcPr>
          <w:p w14:paraId="7E23C25C" w14:textId="0D8B21FD" w:rsidR="00F615BD" w:rsidRPr="009B275C" w:rsidRDefault="006A6FA2" w:rsidP="00753561">
            <w:pPr>
              <w:spacing w:line="240" w:lineRule="auto"/>
              <w:rPr>
                <w:rFonts w:cs="Arial"/>
                <w:lang w:val="en-CA"/>
              </w:rPr>
            </w:pPr>
            <w:r w:rsidRPr="009B275C">
              <w:rPr>
                <w:rFonts w:cs="Arial"/>
                <w:lang w:val="en-CA"/>
              </w:rPr>
              <w:t>Medallion Developments</w:t>
            </w:r>
          </w:p>
        </w:tc>
        <w:tc>
          <w:tcPr>
            <w:tcW w:w="5178" w:type="dxa"/>
          </w:tcPr>
          <w:p w14:paraId="3CE43DA1" w14:textId="2C5DFF0D" w:rsidR="00F615BD" w:rsidRPr="009B275C" w:rsidRDefault="006A6FA2" w:rsidP="00753561">
            <w:pPr>
              <w:spacing w:line="240" w:lineRule="auto"/>
              <w:rPr>
                <w:rFonts w:cs="Arial"/>
                <w:lang w:val="en-CA"/>
              </w:rPr>
            </w:pPr>
            <w:r w:rsidRPr="009B275C">
              <w:rPr>
                <w:rFonts w:cs="Arial"/>
                <w:lang w:val="en-CA"/>
              </w:rPr>
              <w:t xml:space="preserve">Quinto </w:t>
            </w:r>
            <w:proofErr w:type="spellStart"/>
            <w:r w:rsidRPr="009B275C">
              <w:rPr>
                <w:rFonts w:cs="Arial"/>
                <w:lang w:val="en-CA"/>
              </w:rPr>
              <w:t>Annibale</w:t>
            </w:r>
            <w:proofErr w:type="spellEnd"/>
          </w:p>
        </w:tc>
      </w:tr>
      <w:tr w:rsidR="00B531F0" w:rsidRPr="009B275C" w14:paraId="0232759E" w14:textId="77777777" w:rsidTr="005D4716">
        <w:tc>
          <w:tcPr>
            <w:tcW w:w="4428" w:type="dxa"/>
          </w:tcPr>
          <w:p w14:paraId="754EE199" w14:textId="2FE93AB3" w:rsidR="00B531F0" w:rsidRPr="009B275C" w:rsidRDefault="006A6FA2" w:rsidP="00753561">
            <w:pPr>
              <w:spacing w:line="240" w:lineRule="auto"/>
              <w:rPr>
                <w:rFonts w:cs="Arial"/>
                <w:lang w:val="en-CA"/>
              </w:rPr>
            </w:pPr>
            <w:r w:rsidRPr="009B275C">
              <w:rPr>
                <w:rFonts w:cs="Arial"/>
                <w:lang w:val="en-CA"/>
              </w:rPr>
              <w:t>(“Appellant”)</w:t>
            </w:r>
          </w:p>
        </w:tc>
        <w:tc>
          <w:tcPr>
            <w:tcW w:w="5178" w:type="dxa"/>
          </w:tcPr>
          <w:p w14:paraId="6E31A922" w14:textId="47FBD1DC" w:rsidR="00B531F0" w:rsidRPr="009B275C" w:rsidRDefault="006A6FA2" w:rsidP="00753561">
            <w:pPr>
              <w:spacing w:line="240" w:lineRule="auto"/>
              <w:rPr>
                <w:rFonts w:cs="Arial"/>
                <w:lang w:val="en-CA"/>
              </w:rPr>
            </w:pPr>
            <w:r w:rsidRPr="009B275C">
              <w:rPr>
                <w:rFonts w:cs="Arial"/>
                <w:lang w:val="en-CA"/>
              </w:rPr>
              <w:t>Brendan Ruddick</w:t>
            </w:r>
          </w:p>
        </w:tc>
      </w:tr>
      <w:tr w:rsidR="00B531F0" w:rsidRPr="009B275C" w14:paraId="298C9930" w14:textId="77777777" w:rsidTr="005D4716">
        <w:tc>
          <w:tcPr>
            <w:tcW w:w="4428" w:type="dxa"/>
          </w:tcPr>
          <w:p w14:paraId="07F7EAC7" w14:textId="53441121" w:rsidR="00B531F0" w:rsidRPr="009B275C" w:rsidRDefault="00B531F0" w:rsidP="00753561">
            <w:pPr>
              <w:spacing w:line="240" w:lineRule="auto"/>
              <w:rPr>
                <w:rFonts w:cs="Arial"/>
                <w:lang w:val="en-CA"/>
              </w:rPr>
            </w:pPr>
          </w:p>
        </w:tc>
        <w:tc>
          <w:tcPr>
            <w:tcW w:w="5178" w:type="dxa"/>
          </w:tcPr>
          <w:p w14:paraId="4CF68D03" w14:textId="6A4424C9" w:rsidR="00B531F0" w:rsidRPr="009B275C" w:rsidRDefault="00B531F0" w:rsidP="00753561">
            <w:pPr>
              <w:spacing w:line="240" w:lineRule="auto"/>
              <w:rPr>
                <w:rFonts w:cs="Arial"/>
                <w:lang w:val="en-CA"/>
              </w:rPr>
            </w:pPr>
          </w:p>
        </w:tc>
      </w:tr>
      <w:tr w:rsidR="004B2CB3" w:rsidRPr="009B275C" w14:paraId="1D53C2E0" w14:textId="77777777" w:rsidTr="005D4716">
        <w:tc>
          <w:tcPr>
            <w:tcW w:w="4428" w:type="dxa"/>
          </w:tcPr>
          <w:p w14:paraId="5B4C6594" w14:textId="5E88E593" w:rsidR="004B2CB3" w:rsidRPr="009B275C" w:rsidRDefault="006A6FA2" w:rsidP="00753561">
            <w:pPr>
              <w:spacing w:line="240" w:lineRule="auto"/>
              <w:rPr>
                <w:rFonts w:cs="Arial"/>
                <w:lang w:val="en-CA"/>
              </w:rPr>
            </w:pPr>
            <w:r w:rsidRPr="009B275C">
              <w:rPr>
                <w:rFonts w:cs="Arial"/>
                <w:lang w:val="en-CA"/>
              </w:rPr>
              <w:t>City of Hamilton (“City”)</w:t>
            </w:r>
          </w:p>
        </w:tc>
        <w:tc>
          <w:tcPr>
            <w:tcW w:w="5178" w:type="dxa"/>
          </w:tcPr>
          <w:p w14:paraId="1CE1CBCA" w14:textId="126C4A9E" w:rsidR="004B2CB3" w:rsidRPr="009B275C" w:rsidRDefault="006A6FA2" w:rsidP="00753561">
            <w:pPr>
              <w:spacing w:line="240" w:lineRule="auto"/>
              <w:rPr>
                <w:rFonts w:cs="Arial"/>
                <w:lang w:val="en-CA"/>
              </w:rPr>
            </w:pPr>
            <w:r w:rsidRPr="009B275C">
              <w:rPr>
                <w:rFonts w:cs="Arial"/>
                <w:lang w:val="en-CA"/>
              </w:rPr>
              <w:t>John R. Hart</w:t>
            </w:r>
          </w:p>
        </w:tc>
      </w:tr>
      <w:tr w:rsidR="003D187E" w:rsidRPr="009B275C" w14:paraId="4608D959" w14:textId="77777777" w:rsidTr="005D4716">
        <w:tc>
          <w:tcPr>
            <w:tcW w:w="4428" w:type="dxa"/>
          </w:tcPr>
          <w:p w14:paraId="4AD67919" w14:textId="243932DD" w:rsidR="003D187E" w:rsidRPr="009B275C" w:rsidRDefault="003D187E" w:rsidP="00753561">
            <w:pPr>
              <w:spacing w:line="240" w:lineRule="auto"/>
              <w:rPr>
                <w:rFonts w:cs="Arial"/>
                <w:lang w:val="en-CA"/>
              </w:rPr>
            </w:pPr>
          </w:p>
        </w:tc>
        <w:tc>
          <w:tcPr>
            <w:tcW w:w="5178" w:type="dxa"/>
          </w:tcPr>
          <w:p w14:paraId="20F0841C" w14:textId="77777777" w:rsidR="003D187E" w:rsidRPr="009B275C" w:rsidRDefault="003D187E" w:rsidP="00753561">
            <w:pPr>
              <w:spacing w:line="240" w:lineRule="auto"/>
              <w:rPr>
                <w:rFonts w:cs="Arial"/>
                <w:lang w:val="en-CA"/>
              </w:rPr>
            </w:pPr>
          </w:p>
        </w:tc>
      </w:tr>
      <w:tr w:rsidR="003D187E" w:rsidRPr="009B275C" w14:paraId="7369F05D" w14:textId="77777777" w:rsidTr="005D4716">
        <w:tc>
          <w:tcPr>
            <w:tcW w:w="4428" w:type="dxa"/>
          </w:tcPr>
          <w:p w14:paraId="4C3CA7EF" w14:textId="22B31BBA" w:rsidR="003D187E" w:rsidRPr="009B275C" w:rsidRDefault="006A6FA2" w:rsidP="00753561">
            <w:pPr>
              <w:spacing w:line="240" w:lineRule="auto"/>
              <w:rPr>
                <w:rFonts w:cs="Arial"/>
                <w:lang w:val="en-CA"/>
              </w:rPr>
            </w:pPr>
            <w:r w:rsidRPr="009B275C">
              <w:rPr>
                <w:rFonts w:cs="Arial"/>
                <w:lang w:val="en-CA"/>
              </w:rPr>
              <w:t>Niagara Escarpment Commission</w:t>
            </w:r>
          </w:p>
        </w:tc>
        <w:tc>
          <w:tcPr>
            <w:tcW w:w="5178" w:type="dxa"/>
          </w:tcPr>
          <w:p w14:paraId="4E0365EC" w14:textId="505F5852" w:rsidR="003D187E" w:rsidRPr="009B275C" w:rsidRDefault="006A6FA2" w:rsidP="00753561">
            <w:pPr>
              <w:spacing w:line="240" w:lineRule="auto"/>
              <w:rPr>
                <w:rFonts w:cs="Arial"/>
                <w:lang w:val="en-CA"/>
              </w:rPr>
            </w:pPr>
            <w:r w:rsidRPr="009B275C">
              <w:rPr>
                <w:rFonts w:cs="Arial"/>
                <w:lang w:val="en-CA"/>
              </w:rPr>
              <w:t>Ken Hare</w:t>
            </w:r>
          </w:p>
        </w:tc>
      </w:tr>
      <w:tr w:rsidR="006A6FA2" w:rsidRPr="009B275C" w14:paraId="5D7C1323" w14:textId="77777777" w:rsidTr="005D4716">
        <w:tc>
          <w:tcPr>
            <w:tcW w:w="4428" w:type="dxa"/>
          </w:tcPr>
          <w:p w14:paraId="7C0885F9" w14:textId="321F13D8" w:rsidR="006A6FA2" w:rsidRPr="009B275C" w:rsidRDefault="006A6FA2" w:rsidP="00753561">
            <w:pPr>
              <w:spacing w:line="240" w:lineRule="auto"/>
              <w:rPr>
                <w:rFonts w:cs="Arial"/>
                <w:lang w:val="en-CA"/>
              </w:rPr>
            </w:pPr>
            <w:r w:rsidRPr="009B275C">
              <w:rPr>
                <w:rFonts w:cs="Arial"/>
                <w:lang w:val="en-CA"/>
              </w:rPr>
              <w:t>(“NEC”)</w:t>
            </w:r>
          </w:p>
        </w:tc>
        <w:tc>
          <w:tcPr>
            <w:tcW w:w="5178" w:type="dxa"/>
          </w:tcPr>
          <w:p w14:paraId="6E08AA59" w14:textId="77777777" w:rsidR="006A6FA2" w:rsidRPr="009B275C" w:rsidRDefault="006A6FA2" w:rsidP="00753561">
            <w:pPr>
              <w:spacing w:line="240" w:lineRule="auto"/>
              <w:rPr>
                <w:rFonts w:cs="Arial"/>
                <w:lang w:val="en-CA"/>
              </w:rPr>
            </w:pPr>
          </w:p>
        </w:tc>
      </w:tr>
    </w:tbl>
    <w:p w14:paraId="60796919" w14:textId="74CC2D02" w:rsidR="00916C84" w:rsidRPr="009B275C" w:rsidRDefault="00916C84" w:rsidP="00753561">
      <w:pPr>
        <w:spacing w:line="240" w:lineRule="auto"/>
        <w:rPr>
          <w:rFonts w:cs="Arial"/>
          <w:lang w:val="en-CA"/>
        </w:rPr>
      </w:pPr>
    </w:p>
    <w:p w14:paraId="57E7A328" w14:textId="77777777" w:rsidR="006A6FA2" w:rsidRPr="009B275C" w:rsidRDefault="006A6FA2" w:rsidP="00753561">
      <w:pPr>
        <w:spacing w:line="240" w:lineRule="auto"/>
        <w:rPr>
          <w:rFonts w:cs="Arial"/>
          <w:lang w:val="en-CA"/>
        </w:rPr>
      </w:pPr>
    </w:p>
    <w:p w14:paraId="2CC1D872" w14:textId="181D3980" w:rsidR="00C02B28" w:rsidRPr="009B275C" w:rsidRDefault="003D187E" w:rsidP="00753561">
      <w:pPr>
        <w:pBdr>
          <w:bottom w:val="single" w:sz="4" w:space="1" w:color="auto"/>
        </w:pBdr>
        <w:spacing w:line="240" w:lineRule="auto"/>
        <w:rPr>
          <w:rFonts w:ascii="Arial Bold" w:hAnsi="Arial Bold" w:cs="Arial"/>
          <w:b/>
          <w:bCs/>
          <w:caps/>
          <w:lang w:val="en-CA"/>
        </w:rPr>
      </w:pPr>
      <w:bookmarkStart w:id="2" w:name="DecisionDeliveredBy"/>
      <w:r w:rsidRPr="009B275C">
        <w:rPr>
          <w:rFonts w:ascii="Arial Bold" w:hAnsi="Arial Bold" w:cs="Arial"/>
          <w:b/>
          <w:bCs/>
          <w:caps/>
          <w:lang w:val="en-CA"/>
        </w:rPr>
        <w:t xml:space="preserve">Memorandum of oral </w:t>
      </w:r>
      <w:r w:rsidR="0060461E" w:rsidRPr="009B275C">
        <w:rPr>
          <w:rFonts w:ascii="Arial Bold" w:hAnsi="Arial Bold" w:cs="Arial"/>
          <w:b/>
          <w:bCs/>
          <w:caps/>
          <w:lang w:val="en-CA"/>
        </w:rPr>
        <w:t xml:space="preserve">DECISION DELIVERED BY </w:t>
      </w:r>
      <w:r w:rsidRPr="009B275C">
        <w:rPr>
          <w:rFonts w:ascii="Arial Bold" w:hAnsi="Arial Bold" w:cs="Arial"/>
          <w:b/>
          <w:bCs/>
          <w:caps/>
          <w:lang w:val="en-CA"/>
        </w:rPr>
        <w:t>m. russo</w:t>
      </w:r>
      <w:r w:rsidR="0060461E" w:rsidRPr="009B275C">
        <w:rPr>
          <w:rFonts w:ascii="Arial Bold" w:hAnsi="Arial Bold" w:cs="Arial"/>
          <w:b/>
          <w:bCs/>
          <w:caps/>
          <w:lang w:val="en-CA"/>
        </w:rPr>
        <w:t xml:space="preserve"> </w:t>
      </w:r>
      <w:r w:rsidRPr="009B275C">
        <w:rPr>
          <w:rFonts w:ascii="Arial Bold" w:hAnsi="Arial Bold" w:cs="Arial"/>
          <w:b/>
          <w:bCs/>
          <w:caps/>
          <w:lang w:val="en-CA"/>
        </w:rPr>
        <w:t>on</w:t>
      </w:r>
      <w:r w:rsidR="00032E54" w:rsidRPr="009B275C">
        <w:rPr>
          <w:rFonts w:ascii="Arial Bold" w:hAnsi="Arial Bold" w:cs="Arial"/>
          <w:b/>
          <w:bCs/>
          <w:caps/>
          <w:lang w:val="en-CA"/>
        </w:rPr>
        <w:t xml:space="preserve"> Dedember</w:t>
      </w:r>
      <w:r w:rsidRPr="009B275C">
        <w:rPr>
          <w:rFonts w:ascii="Arial Bold" w:hAnsi="Arial Bold" w:cs="Arial"/>
          <w:b/>
          <w:bCs/>
          <w:caps/>
          <w:lang w:val="en-CA"/>
        </w:rPr>
        <w:t> </w:t>
      </w:r>
      <w:r w:rsidR="00032E54" w:rsidRPr="009B275C">
        <w:rPr>
          <w:rFonts w:ascii="Arial Bold" w:hAnsi="Arial Bold" w:cs="Arial"/>
          <w:b/>
          <w:bCs/>
          <w:caps/>
          <w:lang w:val="en-CA"/>
        </w:rPr>
        <w:t>8</w:t>
      </w:r>
      <w:r w:rsidRPr="009B275C">
        <w:rPr>
          <w:rFonts w:ascii="Arial Bold" w:hAnsi="Arial Bold" w:cs="Arial"/>
          <w:b/>
          <w:bCs/>
          <w:caps/>
          <w:lang w:val="en-CA"/>
        </w:rPr>
        <w:t xml:space="preserve">, 2021 </w:t>
      </w:r>
      <w:r w:rsidR="0060461E" w:rsidRPr="009B275C">
        <w:rPr>
          <w:rFonts w:ascii="Arial Bold" w:hAnsi="Arial Bold" w:cs="Arial"/>
          <w:b/>
          <w:bCs/>
          <w:caps/>
          <w:lang w:val="en-CA"/>
        </w:rPr>
        <w:t>AND ORDER OF THE TRIBUNAL</w:t>
      </w:r>
    </w:p>
    <w:p w14:paraId="23DD13B5" w14:textId="77777777" w:rsidR="000E76CC" w:rsidRPr="009B275C" w:rsidRDefault="000E76CC" w:rsidP="00ED13C8">
      <w:pPr>
        <w:rPr>
          <w:rFonts w:cs="Arial"/>
          <w:lang w:val="en-CA"/>
        </w:rPr>
      </w:pPr>
    </w:p>
    <w:p w14:paraId="574AA34C" w14:textId="21E1910A" w:rsidR="00B0590F" w:rsidRPr="009B275C" w:rsidRDefault="00B0590F" w:rsidP="00B0590F">
      <w:pPr>
        <w:rPr>
          <w:rFonts w:cs="Arial"/>
          <w:b/>
          <w:bCs/>
          <w:lang w:val="en-CA"/>
        </w:rPr>
      </w:pPr>
      <w:r w:rsidRPr="009B275C">
        <w:rPr>
          <w:rFonts w:cs="Arial"/>
          <w:b/>
          <w:bCs/>
          <w:lang w:val="en-CA"/>
        </w:rPr>
        <w:t>INTRODUCTION</w:t>
      </w:r>
    </w:p>
    <w:p w14:paraId="4C081BAA" w14:textId="77777777" w:rsidR="00B0590F" w:rsidRPr="009B275C" w:rsidRDefault="00B0590F" w:rsidP="00B0590F">
      <w:pPr>
        <w:rPr>
          <w:rFonts w:cs="Arial"/>
          <w:lang w:val="en-CA"/>
        </w:rPr>
      </w:pPr>
    </w:p>
    <w:p w14:paraId="4F9C5477" w14:textId="32E7C311" w:rsidR="006F30FE" w:rsidRPr="009B275C" w:rsidRDefault="00530CF1" w:rsidP="008E2A61">
      <w:pPr>
        <w:numPr>
          <w:ilvl w:val="0"/>
          <w:numId w:val="1"/>
        </w:numPr>
        <w:ind w:left="0" w:firstLine="0"/>
        <w:rPr>
          <w:rFonts w:cs="Arial"/>
          <w:lang w:val="en-CA"/>
        </w:rPr>
      </w:pPr>
      <w:r w:rsidRPr="009B275C">
        <w:rPr>
          <w:lang w:val="en-CA"/>
        </w:rPr>
        <w:t>The matter before the Ontario Land Tribunal (the “Tribunal”) is with respect to the</w:t>
      </w:r>
      <w:r w:rsidRPr="009B275C">
        <w:rPr>
          <w:spacing w:val="-64"/>
          <w:lang w:val="en-CA"/>
        </w:rPr>
        <w:t xml:space="preserve"> </w:t>
      </w:r>
      <w:r w:rsidRPr="009B275C">
        <w:rPr>
          <w:lang w:val="en-CA"/>
        </w:rPr>
        <w:t xml:space="preserve">appeals filed under s. 34(11) of the </w:t>
      </w:r>
      <w:r w:rsidRPr="009B275C">
        <w:rPr>
          <w:i/>
          <w:lang w:val="en-CA"/>
        </w:rPr>
        <w:t xml:space="preserve">Planning Act </w:t>
      </w:r>
      <w:r w:rsidRPr="009B275C">
        <w:rPr>
          <w:iCs/>
          <w:lang w:val="en-CA"/>
        </w:rPr>
        <w:t xml:space="preserve">(the “Act”) </w:t>
      </w:r>
      <w:r w:rsidRPr="009B275C">
        <w:rPr>
          <w:lang w:val="en-CA"/>
        </w:rPr>
        <w:t>as a result of the</w:t>
      </w:r>
      <w:r w:rsidRPr="009B275C">
        <w:rPr>
          <w:spacing w:val="1"/>
          <w:lang w:val="en-CA"/>
        </w:rPr>
        <w:t xml:space="preserve"> </w:t>
      </w:r>
      <w:r w:rsidRPr="009B275C">
        <w:rPr>
          <w:lang w:val="en-CA"/>
        </w:rPr>
        <w:t>City of Hamilton (“City”) and their Council’s failure to make a decision on an application within the statutory timeframe specified by the Act.  The lands subject to the appeal are municipally known as 195 Wellington Street South (the “Subject Site”).</w:t>
      </w:r>
    </w:p>
    <w:p w14:paraId="3B6138FD" w14:textId="77777777" w:rsidR="006B6FFB" w:rsidRPr="009B275C" w:rsidRDefault="006B6FFB" w:rsidP="00BD1463">
      <w:pPr>
        <w:rPr>
          <w:rFonts w:cs="Arial"/>
          <w:lang w:val="en-CA"/>
        </w:rPr>
      </w:pPr>
    </w:p>
    <w:p w14:paraId="1BD420FF" w14:textId="074DF96C" w:rsidR="00B412AE" w:rsidRPr="009B275C" w:rsidRDefault="00530CF1" w:rsidP="008E2A61">
      <w:pPr>
        <w:numPr>
          <w:ilvl w:val="0"/>
          <w:numId w:val="1"/>
        </w:numPr>
        <w:ind w:left="0" w:firstLine="0"/>
        <w:rPr>
          <w:rFonts w:cs="Arial"/>
          <w:lang w:val="en-CA"/>
        </w:rPr>
      </w:pPr>
      <w:r w:rsidRPr="009B275C">
        <w:rPr>
          <w:lang w:val="en-CA"/>
        </w:rPr>
        <w:t>The Parties have settled and worked through previously contested issues and thus a settlement hearing has been scheduled before the Tribunal.</w:t>
      </w:r>
    </w:p>
    <w:p w14:paraId="3D2E2891" w14:textId="043C25D8" w:rsidR="00C6528F" w:rsidRPr="009B275C" w:rsidRDefault="00C6528F" w:rsidP="00C6528F">
      <w:pPr>
        <w:pStyle w:val="ListParagraph"/>
        <w:rPr>
          <w:rFonts w:cs="Arial"/>
          <w:lang w:val="en-CA"/>
        </w:rPr>
      </w:pPr>
    </w:p>
    <w:p w14:paraId="1284766F" w14:textId="66861573" w:rsidR="00530CF1" w:rsidRPr="009B275C" w:rsidRDefault="00530CF1" w:rsidP="00C6528F">
      <w:pPr>
        <w:pStyle w:val="ListParagraph"/>
        <w:rPr>
          <w:rFonts w:cs="Arial"/>
          <w:lang w:val="en-CA"/>
        </w:rPr>
      </w:pPr>
      <w:r w:rsidRPr="009B275C">
        <w:rPr>
          <w:rFonts w:cstheme="minorHAnsi"/>
          <w:b/>
          <w:bCs/>
          <w:lang w:val="en-CA"/>
        </w:rPr>
        <w:t>Description of Subject Site and Surrounding Context</w:t>
      </w:r>
    </w:p>
    <w:p w14:paraId="312AF324" w14:textId="77777777" w:rsidR="00530CF1" w:rsidRPr="009B275C" w:rsidRDefault="00530CF1" w:rsidP="00C6528F">
      <w:pPr>
        <w:pStyle w:val="ListParagraph"/>
        <w:rPr>
          <w:rFonts w:cs="Arial"/>
          <w:lang w:val="en-CA"/>
        </w:rPr>
      </w:pPr>
    </w:p>
    <w:p w14:paraId="53E617DC" w14:textId="5CE53880" w:rsidR="00C6528F" w:rsidRPr="009B275C" w:rsidRDefault="00530CF1" w:rsidP="008E2A61">
      <w:pPr>
        <w:numPr>
          <w:ilvl w:val="0"/>
          <w:numId w:val="1"/>
        </w:numPr>
        <w:ind w:left="0" w:firstLine="0"/>
        <w:rPr>
          <w:rFonts w:cs="Arial"/>
          <w:lang w:val="en-CA"/>
        </w:rPr>
      </w:pPr>
      <w:r w:rsidRPr="009B275C">
        <w:rPr>
          <w:lang w:val="en-CA"/>
        </w:rPr>
        <w:t xml:space="preserve">The Subject Site is located at the northeast corner of Wellington Street South and Charlton Avenue East and falls within an area in the City referred to as the Stinson Neighbourhood. </w:t>
      </w:r>
      <w:r w:rsidR="003B5C22">
        <w:rPr>
          <w:lang w:val="en-CA"/>
        </w:rPr>
        <w:t xml:space="preserve"> </w:t>
      </w:r>
      <w:r w:rsidRPr="009B275C">
        <w:rPr>
          <w:lang w:val="en-CA"/>
        </w:rPr>
        <w:t>The Subject Site has a total area of approximately 0.82 hectares (8</w:t>
      </w:r>
      <w:r w:rsidR="003B5C22">
        <w:rPr>
          <w:lang w:val="en-CA"/>
        </w:rPr>
        <w:t>,</w:t>
      </w:r>
      <w:r w:rsidRPr="009B275C">
        <w:rPr>
          <w:lang w:val="en-CA"/>
        </w:rPr>
        <w:t>232</w:t>
      </w:r>
      <w:r w:rsidR="003B5C22">
        <w:rPr>
          <w:lang w:val="en-CA"/>
        </w:rPr>
        <w:t> </w:t>
      </w:r>
      <w:r w:rsidRPr="009B275C">
        <w:rPr>
          <w:lang w:val="en-CA"/>
        </w:rPr>
        <w:t>square metres (“m</w:t>
      </w:r>
      <w:r w:rsidRPr="00224949">
        <w:rPr>
          <w:vertAlign w:val="superscript"/>
          <w:lang w:val="en-CA"/>
        </w:rPr>
        <w:t>2</w:t>
      </w:r>
      <w:r w:rsidRPr="009B275C">
        <w:rPr>
          <w:lang w:val="en-CA"/>
        </w:rPr>
        <w:t>”)) and frontages of 70 metres (“m”) on Wellington Street South, and 78 m on Charlton Avenue East.</w:t>
      </w:r>
    </w:p>
    <w:p w14:paraId="6617E04C" w14:textId="62FC3AAE" w:rsidR="0076764B" w:rsidRPr="009B275C" w:rsidRDefault="0076764B" w:rsidP="0037486E">
      <w:pPr>
        <w:rPr>
          <w:lang w:val="en-CA"/>
        </w:rPr>
      </w:pPr>
    </w:p>
    <w:p w14:paraId="57A41A47" w14:textId="4826450C" w:rsidR="00353C0E" w:rsidRPr="009B275C" w:rsidRDefault="00530CF1" w:rsidP="008E2A61">
      <w:pPr>
        <w:numPr>
          <w:ilvl w:val="0"/>
          <w:numId w:val="1"/>
        </w:numPr>
        <w:ind w:left="0" w:firstLine="0"/>
        <w:rPr>
          <w:rFonts w:cs="Arial"/>
          <w:lang w:val="en-CA"/>
        </w:rPr>
      </w:pPr>
      <w:r w:rsidRPr="009B275C">
        <w:rPr>
          <w:lang w:val="en-CA"/>
        </w:rPr>
        <w:t xml:space="preserve">The Subject Site is currently occupied by a 3-storey U-shaped rental apartment building (the “Existing Building”), with a large surface parking lot located within a central courtyard extending to the north property line, and accessed by a driveway located at the northwest corner of the Subject Site. </w:t>
      </w:r>
      <w:r w:rsidR="007C6B7F">
        <w:rPr>
          <w:lang w:val="en-CA"/>
        </w:rPr>
        <w:t xml:space="preserve"> </w:t>
      </w:r>
      <w:r w:rsidRPr="009B275C">
        <w:rPr>
          <w:lang w:val="en-CA"/>
        </w:rPr>
        <w:t>The Existing Building, which was built in 1939, currently contains 142 residential rental units (31 bachelor units, 73 one-bedroom units and 38 two-bedroom units).</w:t>
      </w:r>
    </w:p>
    <w:p w14:paraId="4E41EFAA" w14:textId="6DCA9320" w:rsidR="003D187E" w:rsidRDefault="003D187E" w:rsidP="00814CDE">
      <w:pPr>
        <w:rPr>
          <w:rFonts w:cs="Arial"/>
          <w:lang w:val="en-CA"/>
        </w:rPr>
      </w:pPr>
    </w:p>
    <w:p w14:paraId="0F7B2831" w14:textId="77777777" w:rsidR="00570362" w:rsidRPr="009B275C" w:rsidRDefault="00570362" w:rsidP="00814CDE">
      <w:pPr>
        <w:rPr>
          <w:rFonts w:cs="Arial"/>
          <w:lang w:val="en-CA"/>
        </w:rPr>
      </w:pPr>
    </w:p>
    <w:p w14:paraId="5FE3C72E" w14:textId="447C405F" w:rsidR="00814CDE" w:rsidRPr="009B275C" w:rsidRDefault="00530CF1" w:rsidP="00530CF1">
      <w:pPr>
        <w:numPr>
          <w:ilvl w:val="0"/>
          <w:numId w:val="1"/>
        </w:numPr>
        <w:autoSpaceDE w:val="0"/>
        <w:autoSpaceDN w:val="0"/>
        <w:adjustRightInd w:val="0"/>
        <w:ind w:left="0" w:firstLine="0"/>
        <w:rPr>
          <w:rFonts w:cs="Arial"/>
          <w:lang w:val="en-CA"/>
        </w:rPr>
      </w:pPr>
      <w:r w:rsidRPr="009B275C">
        <w:rPr>
          <w:lang w:val="en-CA"/>
        </w:rPr>
        <w:lastRenderedPageBreak/>
        <w:t xml:space="preserve">Directly north of the Subject Site is the Escarpment Rail Trail, which extends from Ferguson Avenue South, through Corktown Park, and east throughout the Niagara Escarpment to Albion Falls. </w:t>
      </w:r>
      <w:r w:rsidR="00224949">
        <w:rPr>
          <w:lang w:val="en-CA"/>
        </w:rPr>
        <w:t xml:space="preserve"> </w:t>
      </w:r>
      <w:r w:rsidRPr="009B275C">
        <w:rPr>
          <w:lang w:val="en-CA"/>
        </w:rPr>
        <w:t>To the immediate north of the Escarpment Rail Trail is the CNR rail tracks.</w:t>
      </w:r>
    </w:p>
    <w:p w14:paraId="53347044" w14:textId="26F7A972" w:rsidR="00AA4FCB" w:rsidRPr="009B275C" w:rsidRDefault="00AA4FCB" w:rsidP="008A2570">
      <w:pPr>
        <w:pStyle w:val="ListParagraph"/>
        <w:rPr>
          <w:rFonts w:cs="Arial"/>
          <w:lang w:val="en-CA"/>
        </w:rPr>
      </w:pPr>
    </w:p>
    <w:p w14:paraId="062C5036" w14:textId="1027FE20" w:rsidR="00530CF1" w:rsidRPr="009B275C" w:rsidRDefault="00530CF1" w:rsidP="008A2570">
      <w:pPr>
        <w:pStyle w:val="ListParagraph"/>
        <w:rPr>
          <w:rFonts w:cs="Arial"/>
          <w:lang w:val="en-CA"/>
        </w:rPr>
      </w:pPr>
      <w:r w:rsidRPr="009B275C">
        <w:rPr>
          <w:rFonts w:cs="Arial"/>
          <w:b/>
          <w:bCs/>
          <w:lang w:val="en-CA"/>
        </w:rPr>
        <w:t>Proposal Background</w:t>
      </w:r>
    </w:p>
    <w:p w14:paraId="477B5AD0" w14:textId="77777777" w:rsidR="00530CF1" w:rsidRPr="009B275C" w:rsidRDefault="00530CF1" w:rsidP="008A2570">
      <w:pPr>
        <w:pStyle w:val="ListParagraph"/>
        <w:rPr>
          <w:rFonts w:cs="Arial"/>
          <w:lang w:val="en-CA"/>
        </w:rPr>
      </w:pPr>
    </w:p>
    <w:p w14:paraId="4C8248CF" w14:textId="0B887EB4" w:rsidR="00314775" w:rsidRPr="009B275C" w:rsidRDefault="00530CF1" w:rsidP="00A37280">
      <w:pPr>
        <w:numPr>
          <w:ilvl w:val="0"/>
          <w:numId w:val="1"/>
        </w:numPr>
        <w:ind w:left="0" w:firstLine="0"/>
        <w:rPr>
          <w:rFonts w:cs="Arial"/>
          <w:lang w:val="en-CA"/>
        </w:rPr>
      </w:pPr>
      <w:r w:rsidRPr="009B275C">
        <w:rPr>
          <w:rFonts w:cstheme="minorHAnsi"/>
          <w:lang w:val="en-CA"/>
        </w:rPr>
        <w:t xml:space="preserve">On February 3, 2014 an application (the “Initial Proposal") filed with the City contemplated the infill development of 216 residential units within a new 20-storey tower and the retention of the majority of the Existing Building on the Subject Site. </w:t>
      </w:r>
      <w:r w:rsidR="00224949">
        <w:rPr>
          <w:rFonts w:cstheme="minorHAnsi"/>
          <w:lang w:val="en-CA"/>
        </w:rPr>
        <w:t xml:space="preserve"> </w:t>
      </w:r>
      <w:r w:rsidRPr="009B275C">
        <w:rPr>
          <w:rFonts w:cstheme="minorHAnsi"/>
          <w:lang w:val="en-CA"/>
        </w:rPr>
        <w:t>The proposed tower was located at the northeast quadrant of the Subject Site, and would have necessitated the demolition of 32 rental units within a portion of the Existing Building (including 5 studio units, 18 one</w:t>
      </w:r>
      <w:r w:rsidR="00224949">
        <w:rPr>
          <w:rFonts w:cstheme="minorHAnsi"/>
          <w:lang w:val="en-CA"/>
        </w:rPr>
        <w:t>-</w:t>
      </w:r>
      <w:r w:rsidRPr="009B275C">
        <w:rPr>
          <w:rFonts w:cstheme="minorHAnsi"/>
          <w:lang w:val="en-CA"/>
        </w:rPr>
        <w:t>bedroom units and 2 two-bedroom units) resulting in a total of 326 new and existing units on the Subject Site.</w:t>
      </w:r>
    </w:p>
    <w:p w14:paraId="066DB11E" w14:textId="489C4C8C" w:rsidR="002861E4" w:rsidRPr="009B275C" w:rsidRDefault="002861E4" w:rsidP="000724B2">
      <w:pPr>
        <w:rPr>
          <w:rFonts w:cs="Arial"/>
          <w:lang w:val="en-CA"/>
        </w:rPr>
      </w:pPr>
    </w:p>
    <w:p w14:paraId="2BE8BA0B" w14:textId="5ADDC737" w:rsidR="000724B2" w:rsidRPr="009B275C" w:rsidRDefault="00530CF1" w:rsidP="00A37280">
      <w:pPr>
        <w:numPr>
          <w:ilvl w:val="0"/>
          <w:numId w:val="1"/>
        </w:numPr>
        <w:ind w:left="0" w:firstLine="0"/>
        <w:rPr>
          <w:rFonts w:cs="Arial"/>
          <w:lang w:val="en-CA"/>
        </w:rPr>
      </w:pPr>
      <w:r w:rsidRPr="009B275C">
        <w:rPr>
          <w:rFonts w:cstheme="minorHAnsi"/>
          <w:lang w:val="en-CA"/>
        </w:rPr>
        <w:t>The 20-storey building (59 m in height, 64 m including the mechanical penthouse) contemplated in the Initial Proposal was to be comprised of an 18-storey tower atop a 2-storey podium.</w:t>
      </w:r>
      <w:r w:rsidR="00224949">
        <w:rPr>
          <w:rFonts w:cstheme="minorHAnsi"/>
          <w:lang w:val="en-CA"/>
        </w:rPr>
        <w:t xml:space="preserve"> </w:t>
      </w:r>
      <w:r w:rsidRPr="009B275C">
        <w:rPr>
          <w:rFonts w:cstheme="minorHAnsi"/>
          <w:lang w:val="en-CA"/>
        </w:rPr>
        <w:t xml:space="preserve"> The tower had a floorplate of 892 m</w:t>
      </w:r>
      <w:r w:rsidRPr="00224949">
        <w:rPr>
          <w:rFonts w:cstheme="minorHAnsi"/>
          <w:vertAlign w:val="superscript"/>
          <w:lang w:val="en-CA"/>
        </w:rPr>
        <w:t>2</w:t>
      </w:r>
      <w:r w:rsidRPr="009B275C">
        <w:rPr>
          <w:rFonts w:cstheme="minorHAnsi"/>
          <w:lang w:val="en-CA"/>
        </w:rPr>
        <w:t xml:space="preserve"> excluding balconies, and the new building had a proposed Gross Floor Area (“GFA”) of 16,734</w:t>
      </w:r>
      <w:r w:rsidR="00C75CEA">
        <w:rPr>
          <w:rFonts w:cstheme="minorHAnsi"/>
          <w:lang w:val="en-CA"/>
        </w:rPr>
        <w:t> </w:t>
      </w:r>
      <w:r w:rsidRPr="009B275C">
        <w:rPr>
          <w:rFonts w:cstheme="minorHAnsi"/>
          <w:lang w:val="en-CA"/>
        </w:rPr>
        <w:t>m</w:t>
      </w:r>
      <w:r w:rsidRPr="00C75CEA">
        <w:rPr>
          <w:rFonts w:cstheme="minorHAnsi"/>
          <w:vertAlign w:val="superscript"/>
          <w:lang w:val="en-CA"/>
        </w:rPr>
        <w:t>2</w:t>
      </w:r>
      <w:r w:rsidRPr="009B275C">
        <w:rPr>
          <w:rFonts w:cstheme="minorHAnsi"/>
          <w:lang w:val="en-CA"/>
        </w:rPr>
        <w:t>. The GFA of the retained portion of the Existing Building was 7,349 m</w:t>
      </w:r>
      <w:r w:rsidRPr="00C75CEA">
        <w:rPr>
          <w:rFonts w:cstheme="minorHAnsi"/>
          <w:vertAlign w:val="superscript"/>
          <w:lang w:val="en-CA"/>
        </w:rPr>
        <w:t>2</w:t>
      </w:r>
      <w:r w:rsidRPr="009B275C">
        <w:rPr>
          <w:rFonts w:cstheme="minorHAnsi"/>
          <w:lang w:val="en-CA"/>
        </w:rPr>
        <w:t>, resulting in a combined GFA of 24,083 m</w:t>
      </w:r>
      <w:r w:rsidRPr="00C75CEA">
        <w:rPr>
          <w:rFonts w:cstheme="minorHAnsi"/>
          <w:vertAlign w:val="superscript"/>
          <w:lang w:val="en-CA"/>
        </w:rPr>
        <w:t>2</w:t>
      </w:r>
      <w:r w:rsidRPr="009B275C">
        <w:rPr>
          <w:rFonts w:cstheme="minorHAnsi"/>
          <w:lang w:val="en-CA"/>
        </w:rPr>
        <w:t xml:space="preserve"> and an overall site density of 2.93 Floor Space Index (“FSI”).</w:t>
      </w:r>
    </w:p>
    <w:p w14:paraId="729E6F5E" w14:textId="1018BF26" w:rsidR="000724B2" w:rsidRPr="009B275C" w:rsidRDefault="000724B2" w:rsidP="000724B2">
      <w:pPr>
        <w:pStyle w:val="ListParagraph"/>
        <w:rPr>
          <w:rFonts w:cs="Arial"/>
          <w:lang w:val="en-CA"/>
        </w:rPr>
      </w:pPr>
    </w:p>
    <w:p w14:paraId="7FC639A5" w14:textId="19BA7F1E" w:rsidR="000724B2" w:rsidRPr="009B275C" w:rsidRDefault="00530CF1" w:rsidP="00A37280">
      <w:pPr>
        <w:numPr>
          <w:ilvl w:val="0"/>
          <w:numId w:val="1"/>
        </w:numPr>
        <w:ind w:left="0" w:firstLine="0"/>
        <w:rPr>
          <w:rFonts w:cs="Arial"/>
          <w:lang w:val="en-CA"/>
        </w:rPr>
      </w:pPr>
      <w:r w:rsidRPr="009B275C">
        <w:rPr>
          <w:rFonts w:cstheme="minorHAnsi"/>
          <w:lang w:val="en-CA"/>
        </w:rPr>
        <w:t>In the Initial Proposal, vehicle parking for the Subject Site was comprised of 154</w:t>
      </w:r>
      <w:r w:rsidR="00C75CEA">
        <w:rPr>
          <w:rFonts w:cstheme="minorHAnsi"/>
          <w:lang w:val="en-CA"/>
        </w:rPr>
        <w:t> </w:t>
      </w:r>
      <w:r w:rsidRPr="009B275C">
        <w:rPr>
          <w:rFonts w:cstheme="minorHAnsi"/>
          <w:lang w:val="en-CA"/>
        </w:rPr>
        <w:t xml:space="preserve">indoor parking spaces provided in a single level of underground parking, as well as on the ground floor and second level of the new building, and 69 surface parking spaces. </w:t>
      </w:r>
      <w:r w:rsidR="00C75CEA">
        <w:rPr>
          <w:rFonts w:cstheme="minorHAnsi"/>
          <w:lang w:val="en-CA"/>
        </w:rPr>
        <w:t xml:space="preserve"> </w:t>
      </w:r>
      <w:r w:rsidRPr="009B275C">
        <w:rPr>
          <w:rFonts w:cstheme="minorHAnsi"/>
          <w:lang w:val="en-CA"/>
        </w:rPr>
        <w:t>Overall a total of 223 parking spaces were proposed, resulting in a parking rate of 0.68 parking spaces per residential unit.</w:t>
      </w:r>
    </w:p>
    <w:p w14:paraId="2A9DAE17" w14:textId="02C19321" w:rsidR="004E6074" w:rsidRDefault="004E6074" w:rsidP="000724B2">
      <w:pPr>
        <w:pStyle w:val="ListParagraph"/>
        <w:rPr>
          <w:rFonts w:cs="Arial"/>
          <w:lang w:val="en-CA"/>
        </w:rPr>
      </w:pPr>
    </w:p>
    <w:p w14:paraId="57361CB9" w14:textId="77777777" w:rsidR="00570362" w:rsidRPr="009B275C" w:rsidRDefault="00570362" w:rsidP="000724B2">
      <w:pPr>
        <w:pStyle w:val="ListParagraph"/>
        <w:rPr>
          <w:rFonts w:cs="Arial"/>
          <w:lang w:val="en-CA"/>
        </w:rPr>
      </w:pPr>
    </w:p>
    <w:p w14:paraId="4616A421" w14:textId="0AF638E9" w:rsidR="000724B2" w:rsidRPr="009B275C" w:rsidRDefault="00530CF1" w:rsidP="009C79EF">
      <w:pPr>
        <w:numPr>
          <w:ilvl w:val="0"/>
          <w:numId w:val="1"/>
        </w:numPr>
        <w:ind w:left="0" w:firstLine="0"/>
        <w:rPr>
          <w:rFonts w:cs="Arial"/>
          <w:lang w:val="en-CA"/>
        </w:rPr>
      </w:pPr>
      <w:r w:rsidRPr="009B275C">
        <w:rPr>
          <w:rFonts w:cstheme="minorHAnsi"/>
          <w:lang w:val="en-CA"/>
        </w:rPr>
        <w:lastRenderedPageBreak/>
        <w:t>The Initial Proposal was reviewed by City staff</w:t>
      </w:r>
      <w:r w:rsidR="00C75CEA">
        <w:rPr>
          <w:rFonts w:cstheme="minorHAnsi"/>
          <w:lang w:val="en-CA"/>
        </w:rPr>
        <w:t>,</w:t>
      </w:r>
      <w:r w:rsidRPr="009B275C">
        <w:rPr>
          <w:rFonts w:cstheme="minorHAnsi"/>
          <w:lang w:val="en-CA"/>
        </w:rPr>
        <w:t xml:space="preserve"> as well as staff at the NEC and other external commenting agencies.</w:t>
      </w:r>
      <w:r w:rsidR="00C75CEA">
        <w:rPr>
          <w:rFonts w:cstheme="minorHAnsi"/>
          <w:lang w:val="en-CA"/>
        </w:rPr>
        <w:t xml:space="preserve"> </w:t>
      </w:r>
      <w:r w:rsidRPr="009B275C">
        <w:rPr>
          <w:rFonts w:cstheme="minorHAnsi"/>
          <w:lang w:val="en-CA"/>
        </w:rPr>
        <w:t xml:space="preserve"> As a result, </w:t>
      </w:r>
      <w:proofErr w:type="gramStart"/>
      <w:r w:rsidRPr="009B275C">
        <w:rPr>
          <w:rFonts w:cstheme="minorHAnsi"/>
          <w:lang w:val="en-CA"/>
        </w:rPr>
        <w:t>a number of</w:t>
      </w:r>
      <w:proofErr w:type="gramEnd"/>
      <w:r w:rsidRPr="009B275C">
        <w:rPr>
          <w:rFonts w:cstheme="minorHAnsi"/>
          <w:lang w:val="en-CA"/>
        </w:rPr>
        <w:t xml:space="preserve"> changes were incorporated into the Initial Proposal, particularly with respect to building height. </w:t>
      </w:r>
      <w:r w:rsidR="00C75CEA">
        <w:rPr>
          <w:rFonts w:cstheme="minorHAnsi"/>
          <w:lang w:val="en-CA"/>
        </w:rPr>
        <w:t xml:space="preserve"> </w:t>
      </w:r>
      <w:r w:rsidRPr="009B275C">
        <w:rPr>
          <w:rFonts w:cstheme="minorHAnsi"/>
          <w:lang w:val="en-CA"/>
        </w:rPr>
        <w:t xml:space="preserve">These changes were made in response to the public agency concerns related to the visual impact of the proposed tower on views of the Niagara Escarpment. </w:t>
      </w:r>
      <w:r w:rsidR="00C75CEA">
        <w:rPr>
          <w:rFonts w:cstheme="minorHAnsi"/>
          <w:lang w:val="en-CA"/>
        </w:rPr>
        <w:t xml:space="preserve"> </w:t>
      </w:r>
      <w:r w:rsidRPr="009B275C">
        <w:rPr>
          <w:rFonts w:cstheme="minorHAnsi"/>
          <w:lang w:val="en-CA"/>
        </w:rPr>
        <w:t>Re</w:t>
      </w:r>
      <w:r w:rsidR="00C75CEA">
        <w:rPr>
          <w:rFonts w:cstheme="minorHAnsi"/>
          <w:lang w:val="en-CA"/>
        </w:rPr>
        <w:t>-</w:t>
      </w:r>
      <w:r w:rsidRPr="009B275C">
        <w:rPr>
          <w:rFonts w:cstheme="minorHAnsi"/>
          <w:lang w:val="en-CA"/>
        </w:rPr>
        <w:t>submissions of materials in support of moderately revised versions of the development proposal were filed in November 2015 (height reduced to 19-storeys), September 2016 (height further reduced to 17-storeys) and February 2017 (height remained at 17-storeys but with further façade design revisions).</w:t>
      </w:r>
    </w:p>
    <w:p w14:paraId="3C6FA0F9" w14:textId="75110E98" w:rsidR="000E76CC" w:rsidRPr="009B275C" w:rsidRDefault="000E76CC" w:rsidP="000724B2">
      <w:pPr>
        <w:rPr>
          <w:rFonts w:cs="Arial"/>
          <w:lang w:val="en-CA"/>
        </w:rPr>
      </w:pPr>
    </w:p>
    <w:p w14:paraId="6B465A21" w14:textId="22DCE742" w:rsidR="00343CDA" w:rsidRPr="009B275C" w:rsidRDefault="00530CF1" w:rsidP="00A37280">
      <w:pPr>
        <w:numPr>
          <w:ilvl w:val="0"/>
          <w:numId w:val="1"/>
        </w:numPr>
        <w:ind w:left="0" w:firstLine="0"/>
        <w:rPr>
          <w:rFonts w:cs="Arial"/>
          <w:lang w:val="en-CA"/>
        </w:rPr>
      </w:pPr>
      <w:r w:rsidRPr="009B275C">
        <w:rPr>
          <w:rFonts w:cstheme="minorHAnsi"/>
          <w:lang w:val="en-CA"/>
        </w:rPr>
        <w:t>On November 27, 2017, the Appellant appealed the Rezoning Application to the Tribunal.  Numerous pre</w:t>
      </w:r>
      <w:r w:rsidR="00C75CEA">
        <w:rPr>
          <w:rFonts w:cstheme="minorHAnsi"/>
          <w:lang w:val="en-CA"/>
        </w:rPr>
        <w:t>-</w:t>
      </w:r>
      <w:r w:rsidRPr="009B275C">
        <w:rPr>
          <w:rFonts w:cstheme="minorHAnsi"/>
          <w:lang w:val="en-CA"/>
        </w:rPr>
        <w:t>hearing and case management conferences were held and a 10-Day in</w:t>
      </w:r>
      <w:r w:rsidR="00C75CEA">
        <w:rPr>
          <w:rFonts w:cstheme="minorHAnsi"/>
          <w:lang w:val="en-CA"/>
        </w:rPr>
        <w:t>-</w:t>
      </w:r>
      <w:r w:rsidRPr="009B275C">
        <w:rPr>
          <w:rFonts w:cstheme="minorHAnsi"/>
          <w:lang w:val="en-CA"/>
        </w:rPr>
        <w:t>person hearing of the merits was scheduled for June 15, 2020.  As a result of the state of emergency declared by the Province of Ontario and cancellation of in-person hearing events by the Tribunal in response to the COVID-19 pandemic, the June 15, 2020 hearing was adjourned.</w:t>
      </w:r>
    </w:p>
    <w:p w14:paraId="2B0BCC50" w14:textId="77777777" w:rsidR="000F4879" w:rsidRPr="009B275C" w:rsidRDefault="000F4879" w:rsidP="0071525F">
      <w:pPr>
        <w:rPr>
          <w:rFonts w:cs="Arial"/>
          <w:lang w:val="en-CA"/>
        </w:rPr>
      </w:pPr>
    </w:p>
    <w:p w14:paraId="4F675F72" w14:textId="2FEB1EB8" w:rsidR="0071525F" w:rsidRPr="009B275C" w:rsidRDefault="00530CF1" w:rsidP="00530CF1">
      <w:pPr>
        <w:numPr>
          <w:ilvl w:val="0"/>
          <w:numId w:val="1"/>
        </w:numPr>
        <w:ind w:left="0" w:firstLine="0"/>
        <w:rPr>
          <w:rFonts w:cstheme="minorHAnsi"/>
          <w:lang w:val="en-CA"/>
        </w:rPr>
      </w:pPr>
      <w:r w:rsidRPr="009B275C">
        <w:rPr>
          <w:rFonts w:cstheme="minorHAnsi"/>
          <w:lang w:val="en-CA"/>
        </w:rPr>
        <w:t xml:space="preserve">Since that time, the Parties have held </w:t>
      </w:r>
      <w:proofErr w:type="gramStart"/>
      <w:r w:rsidRPr="009B275C">
        <w:rPr>
          <w:rFonts w:cstheme="minorHAnsi"/>
          <w:lang w:val="en-CA"/>
        </w:rPr>
        <w:t>a number of</w:t>
      </w:r>
      <w:proofErr w:type="gramEnd"/>
      <w:r w:rsidRPr="009B275C">
        <w:rPr>
          <w:rFonts w:cstheme="minorHAnsi"/>
          <w:lang w:val="en-CA"/>
        </w:rPr>
        <w:t xml:space="preserve"> meetings and have worked collaboratively in an effort to resolve the Appeal.</w:t>
      </w:r>
      <w:r w:rsidR="000E7FB6">
        <w:rPr>
          <w:rFonts w:cstheme="minorHAnsi"/>
          <w:lang w:val="en-CA"/>
        </w:rPr>
        <w:t xml:space="preserve"> </w:t>
      </w:r>
      <w:r w:rsidRPr="009B275C">
        <w:rPr>
          <w:rFonts w:cstheme="minorHAnsi"/>
          <w:lang w:val="en-CA"/>
        </w:rPr>
        <w:t xml:space="preserve"> As a result of these efforts, a settlement has been reached between the City, the NEC and the Appellant on the basis of a settlement proposal for a 9-storey mid-rise building addition to the Existing Building and additional Urban Design and technical matters the Parties have agreed to (the</w:t>
      </w:r>
      <w:r w:rsidR="000E7FB6">
        <w:rPr>
          <w:rFonts w:cstheme="minorHAnsi"/>
          <w:lang w:val="en-CA"/>
        </w:rPr>
        <w:t> </w:t>
      </w:r>
      <w:r w:rsidRPr="009B275C">
        <w:rPr>
          <w:rFonts w:cstheme="minorHAnsi"/>
          <w:lang w:val="en-CA"/>
        </w:rPr>
        <w:t>“Settlement Proposal”).</w:t>
      </w:r>
    </w:p>
    <w:p w14:paraId="13D8C7D4" w14:textId="3E3E8B26" w:rsidR="0071525F" w:rsidRPr="009B275C" w:rsidRDefault="0071525F" w:rsidP="0071525F">
      <w:pPr>
        <w:pStyle w:val="ListParagraph"/>
        <w:rPr>
          <w:rFonts w:cs="Arial"/>
          <w:lang w:val="en-CA"/>
        </w:rPr>
      </w:pPr>
    </w:p>
    <w:p w14:paraId="006CFDE9" w14:textId="27FFAAB8" w:rsidR="00530CF1" w:rsidRPr="009B275C" w:rsidRDefault="00530CF1" w:rsidP="0071525F">
      <w:pPr>
        <w:pStyle w:val="ListParagraph"/>
        <w:rPr>
          <w:rFonts w:cs="Arial"/>
          <w:lang w:val="en-CA"/>
        </w:rPr>
      </w:pPr>
      <w:r w:rsidRPr="009B275C">
        <w:rPr>
          <w:b/>
          <w:bCs/>
          <w:lang w:val="en-CA"/>
        </w:rPr>
        <w:t>Applicable Legislation and Policies</w:t>
      </w:r>
    </w:p>
    <w:p w14:paraId="1BA66804" w14:textId="77777777" w:rsidR="00530CF1" w:rsidRPr="009B275C" w:rsidRDefault="00530CF1" w:rsidP="0071525F">
      <w:pPr>
        <w:pStyle w:val="ListParagraph"/>
        <w:rPr>
          <w:rFonts w:cs="Arial"/>
          <w:lang w:val="en-CA"/>
        </w:rPr>
      </w:pPr>
    </w:p>
    <w:p w14:paraId="5E984D42" w14:textId="173C8241" w:rsidR="0071525F" w:rsidRPr="009B275C" w:rsidRDefault="00530CF1" w:rsidP="00A37280">
      <w:pPr>
        <w:numPr>
          <w:ilvl w:val="0"/>
          <w:numId w:val="1"/>
        </w:numPr>
        <w:ind w:left="0" w:firstLine="0"/>
        <w:rPr>
          <w:rFonts w:cs="Arial"/>
          <w:lang w:val="en-CA"/>
        </w:rPr>
      </w:pPr>
      <w:r w:rsidRPr="009B275C">
        <w:rPr>
          <w:rFonts w:cs="Arial"/>
          <w:color w:val="000000"/>
          <w:lang w:val="en-CA"/>
        </w:rPr>
        <w:t xml:space="preserve">Land use planning in Ontario is a policy-led system implemented in hierarchical fashion.  This system is deliberately crafted to recognize that there cannot be a one-size fits all approach to implementing policy framework, given the diversity of Ontario’s local communities.  As such, the broader Provincial policies and objectives are to be </w:t>
      </w:r>
      <w:r w:rsidRPr="009B275C">
        <w:rPr>
          <w:rFonts w:cs="Arial"/>
          <w:color w:val="000000"/>
          <w:lang w:val="en-CA"/>
        </w:rPr>
        <w:lastRenderedPageBreak/>
        <w:t>implemented by each municipality through their Official Plan (“OP”), Zoning By-laws, issue-specific guidelines, etc.</w:t>
      </w:r>
    </w:p>
    <w:p w14:paraId="6045F9AA" w14:textId="77777777" w:rsidR="000F4879" w:rsidRPr="009B275C" w:rsidRDefault="000F4879" w:rsidP="000F4879">
      <w:pPr>
        <w:pStyle w:val="ListParagraph"/>
        <w:rPr>
          <w:rFonts w:cs="Arial"/>
          <w:lang w:val="en-CA"/>
        </w:rPr>
      </w:pPr>
    </w:p>
    <w:p w14:paraId="3B9F106D" w14:textId="516E4784" w:rsidR="000F4879" w:rsidRPr="009B275C" w:rsidRDefault="00530CF1" w:rsidP="00A37280">
      <w:pPr>
        <w:numPr>
          <w:ilvl w:val="0"/>
          <w:numId w:val="1"/>
        </w:numPr>
        <w:ind w:left="0" w:firstLine="0"/>
        <w:rPr>
          <w:rFonts w:cs="Arial"/>
          <w:lang w:val="en-CA"/>
        </w:rPr>
      </w:pPr>
      <w:r w:rsidRPr="009B275C">
        <w:rPr>
          <w:rFonts w:cs="Arial"/>
          <w:color w:val="000000"/>
          <w:lang w:val="en-CA"/>
        </w:rPr>
        <w:t xml:space="preserve">Although the Parties have settled their issues, the Tribunal must still determine if the proposal meets provincial interests and municipal policy framework. </w:t>
      </w:r>
      <w:r w:rsidR="000E7FB6">
        <w:rPr>
          <w:rFonts w:cs="Arial"/>
          <w:color w:val="000000"/>
          <w:lang w:val="en-CA"/>
        </w:rPr>
        <w:t xml:space="preserve"> </w:t>
      </w:r>
      <w:r w:rsidRPr="009B275C">
        <w:rPr>
          <w:rFonts w:cs="Arial"/>
          <w:color w:val="000000"/>
          <w:lang w:val="en-CA"/>
        </w:rPr>
        <w:t xml:space="preserve">In adjudicating the appeal, the Tribunal must have regard to matters of provincial interest enumerated in s. 2 of the Act.  The Tribunal must be satisfied that the proposal is consistent with the Provincial Policy Statement, 2020 </w:t>
      </w:r>
      <w:r w:rsidRPr="009B275C">
        <w:rPr>
          <w:rFonts w:cs="Arial"/>
          <w:i/>
          <w:iCs/>
          <w:color w:val="000000"/>
          <w:lang w:val="en-CA"/>
        </w:rPr>
        <w:t>(</w:t>
      </w:r>
      <w:r w:rsidRPr="009B275C">
        <w:rPr>
          <w:rFonts w:cs="Arial"/>
          <w:color w:val="000000"/>
          <w:lang w:val="en-CA"/>
        </w:rPr>
        <w:t>the “PPS”) and pursuant to s. 3(5) of the Act.  Further, the Tribunal must also find that the proposal conforms with policies of the provincial plan: A Place to Grow: Growth Plan for the Greater Golden Horseshoe, 2020 (the “Growth Plan”).  The Subject Site falls within the jurisdiction and is subject to the Niagara Escarpment Plan (the “NEP”) and therefore the proposal must conform with it its policies.</w:t>
      </w:r>
      <w:r w:rsidR="00C3270A">
        <w:rPr>
          <w:rFonts w:cs="Arial"/>
          <w:color w:val="000000"/>
          <w:lang w:val="en-CA"/>
        </w:rPr>
        <w:t xml:space="preserve"> </w:t>
      </w:r>
      <w:r w:rsidRPr="009B275C">
        <w:rPr>
          <w:rFonts w:cs="Arial"/>
          <w:color w:val="000000"/>
          <w:lang w:val="en-CA"/>
        </w:rPr>
        <w:t xml:space="preserve"> Lastly the Tribunal must be satisfied with the proposal’s conformity with the City OP, and that it represents good land-use planning in the public interest.</w:t>
      </w:r>
    </w:p>
    <w:p w14:paraId="10B62EC1" w14:textId="0509AAFD" w:rsidR="00BE23FD" w:rsidRPr="009B275C" w:rsidRDefault="00BE23FD" w:rsidP="0071525F">
      <w:pPr>
        <w:rPr>
          <w:rFonts w:cs="Arial"/>
          <w:lang w:val="en-CA"/>
        </w:rPr>
      </w:pPr>
    </w:p>
    <w:p w14:paraId="52015700" w14:textId="7992A68F" w:rsidR="00315131" w:rsidRPr="009B275C" w:rsidRDefault="00530CF1" w:rsidP="0071525F">
      <w:pPr>
        <w:rPr>
          <w:rFonts w:cs="Arial"/>
          <w:lang w:val="en-CA"/>
        </w:rPr>
      </w:pPr>
      <w:r w:rsidRPr="009B275C">
        <w:rPr>
          <w:rFonts w:cs="Arial"/>
          <w:b/>
          <w:bCs/>
          <w:lang w:val="en-CA"/>
        </w:rPr>
        <w:t>THE HEARING</w:t>
      </w:r>
    </w:p>
    <w:p w14:paraId="0FFACBC6" w14:textId="77777777" w:rsidR="00530CF1" w:rsidRPr="009B275C" w:rsidRDefault="00530CF1" w:rsidP="0071525F">
      <w:pPr>
        <w:rPr>
          <w:rFonts w:cs="Arial"/>
          <w:lang w:val="en-CA"/>
        </w:rPr>
      </w:pPr>
    </w:p>
    <w:p w14:paraId="6B416237" w14:textId="566540D2" w:rsidR="0071525F" w:rsidRPr="009B275C" w:rsidRDefault="00530CF1" w:rsidP="00A37280">
      <w:pPr>
        <w:numPr>
          <w:ilvl w:val="0"/>
          <w:numId w:val="1"/>
        </w:numPr>
        <w:ind w:left="0" w:firstLine="0"/>
        <w:rPr>
          <w:rFonts w:cs="Arial"/>
          <w:lang w:val="en-CA"/>
        </w:rPr>
      </w:pPr>
      <w:r w:rsidRPr="009B275C">
        <w:rPr>
          <w:lang w:val="en-CA"/>
        </w:rPr>
        <w:t xml:space="preserve">The Tribunal affirmed Lindsay Dale-Harris.  Provided in Exhibit 1 was her Acknowledgement of Expert’s Duty form and </w:t>
      </w:r>
      <w:r w:rsidRPr="003F6E3A">
        <w:rPr>
          <w:i/>
          <w:iCs/>
          <w:lang w:val="en-CA"/>
        </w:rPr>
        <w:t>Curriculum Vitae</w:t>
      </w:r>
      <w:r w:rsidRPr="009B275C">
        <w:rPr>
          <w:lang w:val="en-CA"/>
        </w:rPr>
        <w:t xml:space="preserve">.  Having reviewed both and having heard </w:t>
      </w:r>
      <w:r w:rsidRPr="009B275C">
        <w:rPr>
          <w:i/>
          <w:iCs/>
          <w:lang w:val="en-CA"/>
        </w:rPr>
        <w:t>viva voce</w:t>
      </w:r>
      <w:r w:rsidRPr="009B275C">
        <w:rPr>
          <w:lang w:val="en-CA"/>
        </w:rPr>
        <w:t xml:space="preserve"> her credentials with no objection, the Tribunal qualified Ms.</w:t>
      </w:r>
      <w:r w:rsidR="0014053E">
        <w:rPr>
          <w:lang w:val="en-CA"/>
        </w:rPr>
        <w:t> </w:t>
      </w:r>
      <w:r w:rsidRPr="009B275C">
        <w:rPr>
          <w:lang w:val="en-CA"/>
        </w:rPr>
        <w:t>Dale-Harris to provide opinion evidence in the field of land-use planning.</w:t>
      </w:r>
    </w:p>
    <w:p w14:paraId="41B5633B" w14:textId="0F4FB8B2" w:rsidR="00BE23FD" w:rsidRPr="009B275C" w:rsidRDefault="00BE23FD" w:rsidP="0071525F">
      <w:pPr>
        <w:pStyle w:val="ListParagraph"/>
        <w:rPr>
          <w:rFonts w:cs="Arial"/>
          <w:lang w:val="en-CA"/>
        </w:rPr>
      </w:pPr>
    </w:p>
    <w:p w14:paraId="529C8576" w14:textId="65CF064E" w:rsidR="00BE23FD" w:rsidRPr="009B275C" w:rsidRDefault="00530CF1" w:rsidP="00A37280">
      <w:pPr>
        <w:numPr>
          <w:ilvl w:val="0"/>
          <w:numId w:val="1"/>
        </w:numPr>
        <w:ind w:left="0" w:firstLine="0"/>
        <w:rPr>
          <w:rFonts w:cs="Arial"/>
          <w:lang w:val="en-CA"/>
        </w:rPr>
      </w:pPr>
      <w:bookmarkStart w:id="3" w:name="_Hlk68163505"/>
      <w:r w:rsidRPr="009B275C">
        <w:rPr>
          <w:lang w:val="en-CA"/>
        </w:rPr>
        <w:t xml:space="preserve">Ms. Dale-Harris provided her </w:t>
      </w:r>
      <w:r w:rsidRPr="009B275C">
        <w:rPr>
          <w:i/>
          <w:iCs/>
          <w:lang w:val="en-CA"/>
        </w:rPr>
        <w:t>viva voce</w:t>
      </w:r>
      <w:r w:rsidRPr="009B275C">
        <w:rPr>
          <w:lang w:val="en-CA"/>
        </w:rPr>
        <w:t xml:space="preserve"> testimony to the Tribunal but relied mainly on her written evidence found in:</w:t>
      </w:r>
    </w:p>
    <w:p w14:paraId="5CF6F407" w14:textId="77777777" w:rsidR="00530CF1" w:rsidRPr="009B275C" w:rsidRDefault="00530CF1" w:rsidP="00530CF1">
      <w:pPr>
        <w:pStyle w:val="ListParagraph"/>
        <w:rPr>
          <w:rFonts w:cs="Arial"/>
          <w:lang w:val="en-CA"/>
        </w:rPr>
      </w:pPr>
    </w:p>
    <w:p w14:paraId="5231D64C" w14:textId="73C6CDB6" w:rsidR="00530CF1" w:rsidRPr="009B275C" w:rsidRDefault="00530CF1" w:rsidP="00530CF1">
      <w:pPr>
        <w:pStyle w:val="ListParagraph"/>
        <w:numPr>
          <w:ilvl w:val="0"/>
          <w:numId w:val="25"/>
        </w:numPr>
        <w:ind w:left="1440" w:hanging="720"/>
        <w:rPr>
          <w:rFonts w:cs="Arial"/>
          <w:lang w:val="en-CA"/>
        </w:rPr>
      </w:pPr>
      <w:r w:rsidRPr="009B275C">
        <w:rPr>
          <w:rFonts w:cs="Arial"/>
          <w:lang w:val="en-CA"/>
        </w:rPr>
        <w:t>Exhibit 1</w:t>
      </w:r>
      <w:r w:rsidR="0014053E">
        <w:rPr>
          <w:rFonts w:cs="Arial"/>
          <w:lang w:val="en-CA"/>
        </w:rPr>
        <w:t xml:space="preserve"> – </w:t>
      </w:r>
      <w:r w:rsidRPr="009B275C">
        <w:rPr>
          <w:rFonts w:cs="Arial"/>
          <w:lang w:val="en-CA"/>
        </w:rPr>
        <w:t>Affidavit of L. Dale-</w:t>
      </w:r>
      <w:proofErr w:type="gramStart"/>
      <w:r w:rsidRPr="009B275C">
        <w:rPr>
          <w:rFonts w:cs="Arial"/>
          <w:lang w:val="en-CA"/>
        </w:rPr>
        <w:t>Harris</w:t>
      </w:r>
      <w:r w:rsidR="00D60056">
        <w:rPr>
          <w:rFonts w:cs="Arial"/>
          <w:lang w:val="en-CA"/>
        </w:rPr>
        <w:t>;</w:t>
      </w:r>
      <w:proofErr w:type="gramEnd"/>
    </w:p>
    <w:p w14:paraId="5FF5EDFD" w14:textId="78B7F8C5" w:rsidR="00530CF1" w:rsidRPr="009B275C" w:rsidRDefault="00530CF1" w:rsidP="00530CF1">
      <w:pPr>
        <w:rPr>
          <w:rFonts w:cs="Arial"/>
          <w:lang w:val="en-CA"/>
        </w:rPr>
      </w:pPr>
    </w:p>
    <w:p w14:paraId="44CF930E" w14:textId="7A53D83A" w:rsidR="00530CF1" w:rsidRPr="009B275C" w:rsidRDefault="00530CF1" w:rsidP="00530CF1">
      <w:pPr>
        <w:rPr>
          <w:rFonts w:cs="Arial"/>
          <w:lang w:val="en-CA"/>
        </w:rPr>
      </w:pPr>
      <w:r w:rsidRPr="009B275C">
        <w:rPr>
          <w:rFonts w:cs="Arial"/>
          <w:lang w:val="en-CA"/>
        </w:rPr>
        <w:t>The witness also relied on and the Parties provided for the Tribunal’s consideration:</w:t>
      </w:r>
    </w:p>
    <w:p w14:paraId="2E6D726F" w14:textId="318EA367" w:rsidR="00BE23FD" w:rsidRPr="009B275C" w:rsidRDefault="00BE23FD" w:rsidP="00BE23FD">
      <w:pPr>
        <w:rPr>
          <w:rFonts w:cs="Arial"/>
          <w:lang w:val="en-CA"/>
        </w:rPr>
      </w:pPr>
    </w:p>
    <w:p w14:paraId="481F64E8" w14:textId="08E35906" w:rsidR="00530CF1" w:rsidRPr="009B275C" w:rsidRDefault="00530CF1" w:rsidP="00530CF1">
      <w:pPr>
        <w:pStyle w:val="ListParagraph"/>
        <w:numPr>
          <w:ilvl w:val="0"/>
          <w:numId w:val="25"/>
        </w:numPr>
        <w:ind w:left="1440" w:hanging="720"/>
        <w:rPr>
          <w:rFonts w:cs="Arial"/>
          <w:lang w:val="en-CA"/>
        </w:rPr>
      </w:pPr>
      <w:r w:rsidRPr="009B275C">
        <w:rPr>
          <w:rFonts w:cs="Arial"/>
          <w:lang w:val="en-CA"/>
        </w:rPr>
        <w:t>Exhibit 2</w:t>
      </w:r>
      <w:r w:rsidR="0014053E">
        <w:rPr>
          <w:rFonts w:cs="Arial"/>
          <w:lang w:val="en-CA"/>
        </w:rPr>
        <w:t xml:space="preserve"> – </w:t>
      </w:r>
      <w:r w:rsidRPr="009B275C">
        <w:rPr>
          <w:rFonts w:cs="Arial"/>
          <w:lang w:val="en-CA"/>
        </w:rPr>
        <w:t>Niagara Escarpment Commission Letter</w:t>
      </w:r>
      <w:r w:rsidR="00D60056">
        <w:rPr>
          <w:rFonts w:cs="Arial"/>
          <w:lang w:val="en-CA"/>
        </w:rPr>
        <w:t>; and</w:t>
      </w:r>
    </w:p>
    <w:p w14:paraId="2A9BC2B0" w14:textId="6B57A317" w:rsidR="00530CF1" w:rsidRPr="009B275C" w:rsidRDefault="00530CF1" w:rsidP="00530CF1">
      <w:pPr>
        <w:pStyle w:val="ListParagraph"/>
        <w:numPr>
          <w:ilvl w:val="0"/>
          <w:numId w:val="25"/>
        </w:numPr>
        <w:ind w:left="1440" w:hanging="720"/>
        <w:rPr>
          <w:rFonts w:cs="Arial"/>
          <w:lang w:val="en-CA"/>
        </w:rPr>
      </w:pPr>
      <w:r w:rsidRPr="009B275C">
        <w:rPr>
          <w:rFonts w:cs="Arial"/>
          <w:lang w:val="en-CA"/>
        </w:rPr>
        <w:lastRenderedPageBreak/>
        <w:t>Exhibit 3</w:t>
      </w:r>
      <w:r w:rsidR="0014053E">
        <w:rPr>
          <w:rFonts w:cs="Arial"/>
          <w:lang w:val="en-CA"/>
        </w:rPr>
        <w:t xml:space="preserve"> – </w:t>
      </w:r>
      <w:r w:rsidRPr="009B275C">
        <w:rPr>
          <w:rFonts w:cs="Arial"/>
          <w:lang w:val="en-CA"/>
        </w:rPr>
        <w:t>Proposed Zoning By-Law Amendment</w:t>
      </w:r>
      <w:r w:rsidR="0014053E">
        <w:rPr>
          <w:rFonts w:cs="Arial"/>
          <w:lang w:val="en-CA"/>
        </w:rPr>
        <w:t>.</w:t>
      </w:r>
    </w:p>
    <w:p w14:paraId="149380FA" w14:textId="77777777" w:rsidR="00530CF1" w:rsidRPr="009B275C" w:rsidRDefault="00530CF1" w:rsidP="00BE23FD">
      <w:pPr>
        <w:rPr>
          <w:rFonts w:cs="Arial"/>
          <w:lang w:val="en-CA"/>
        </w:rPr>
      </w:pPr>
    </w:p>
    <w:bookmarkEnd w:id="3"/>
    <w:p w14:paraId="516470C4" w14:textId="14DAFB65" w:rsidR="0071525F" w:rsidRPr="009B275C" w:rsidRDefault="00530CF1" w:rsidP="00A37280">
      <w:pPr>
        <w:numPr>
          <w:ilvl w:val="0"/>
          <w:numId w:val="1"/>
        </w:numPr>
        <w:ind w:left="0" w:firstLine="0"/>
        <w:rPr>
          <w:rFonts w:cs="Arial"/>
          <w:lang w:val="en-CA"/>
        </w:rPr>
      </w:pPr>
      <w:r w:rsidRPr="009B275C">
        <w:rPr>
          <w:lang w:val="en-CA"/>
        </w:rPr>
        <w:t xml:space="preserve">Ms. Dale-Harris provided a brief history of the application and advised the Tribunal her firm had been retained by the Appellant in 2011. </w:t>
      </w:r>
      <w:r w:rsidR="00D60056">
        <w:rPr>
          <w:lang w:val="en-CA"/>
        </w:rPr>
        <w:t xml:space="preserve"> </w:t>
      </w:r>
      <w:r w:rsidRPr="009B275C">
        <w:rPr>
          <w:lang w:val="en-CA"/>
        </w:rPr>
        <w:t>She highlighted as has been reviewed in the introduction/background of this decision, this proposal has a long history.  She also advised the Tribunal that she was the author and prepared a Planning and Urban Design Rationale report (February 2014) provided in Exhibit 1.</w:t>
      </w:r>
    </w:p>
    <w:p w14:paraId="29FC06AC" w14:textId="77777777" w:rsidR="00350B15" w:rsidRPr="009B275C" w:rsidRDefault="00350B15" w:rsidP="0071525F">
      <w:pPr>
        <w:pStyle w:val="ListParagraph"/>
        <w:rPr>
          <w:rFonts w:cs="Arial"/>
          <w:lang w:val="en-CA"/>
        </w:rPr>
      </w:pPr>
    </w:p>
    <w:p w14:paraId="6CC564D8" w14:textId="6A064831" w:rsidR="00BE23FD" w:rsidRPr="009B275C" w:rsidRDefault="00530CF1" w:rsidP="00A37280">
      <w:pPr>
        <w:numPr>
          <w:ilvl w:val="0"/>
          <w:numId w:val="1"/>
        </w:numPr>
        <w:ind w:left="0" w:firstLine="0"/>
        <w:rPr>
          <w:rFonts w:cs="Arial"/>
          <w:lang w:val="en-CA"/>
        </w:rPr>
      </w:pPr>
      <w:r w:rsidRPr="009B275C">
        <w:rPr>
          <w:rFonts w:cstheme="minorHAnsi"/>
          <w:lang w:val="en-CA"/>
        </w:rPr>
        <w:t>Ms. Dale-Harris advised the Tribunal that in advance of the hearing and as part of her retainer, she reviewed plans and statistics prepared in support of the Rezoning Application and Appeal, as well as supporting technical reports and drawings submitted over the course of the application review process.</w:t>
      </w:r>
      <w:r w:rsidR="00D60056">
        <w:rPr>
          <w:rFonts w:cstheme="minorHAnsi"/>
          <w:lang w:val="en-CA"/>
        </w:rPr>
        <w:t xml:space="preserve"> </w:t>
      </w:r>
      <w:r w:rsidRPr="009B275C">
        <w:rPr>
          <w:rFonts w:cstheme="minorHAnsi"/>
          <w:lang w:val="en-CA"/>
        </w:rPr>
        <w:t xml:space="preserve"> She has visited the Subject Site and the surrounding area, liaised with the Owner and the Appellant team, and met with City staff throughout the application review process.  All these factors have led to her opinion on the matter.</w:t>
      </w:r>
    </w:p>
    <w:p w14:paraId="1FEC6105" w14:textId="39E6F051" w:rsidR="00BE23FD" w:rsidRPr="009B275C" w:rsidRDefault="00BE23FD" w:rsidP="00BE23FD">
      <w:pPr>
        <w:rPr>
          <w:rFonts w:cs="Arial"/>
          <w:lang w:val="en-CA"/>
        </w:rPr>
      </w:pPr>
    </w:p>
    <w:p w14:paraId="3A18D89F" w14:textId="1396A066" w:rsidR="000F4879" w:rsidRPr="009B275C" w:rsidRDefault="00530CF1" w:rsidP="00BE23FD">
      <w:pPr>
        <w:rPr>
          <w:rFonts w:cs="Arial"/>
          <w:lang w:val="en-CA"/>
        </w:rPr>
      </w:pPr>
      <w:r w:rsidRPr="009B275C">
        <w:rPr>
          <w:b/>
          <w:bCs/>
          <w:lang w:val="en-CA"/>
        </w:rPr>
        <w:t xml:space="preserve">The </w:t>
      </w:r>
      <w:r w:rsidRPr="009B275C">
        <w:rPr>
          <w:b/>
          <w:bCs/>
          <w:i/>
          <w:iCs/>
          <w:lang w:val="en-CA"/>
        </w:rPr>
        <w:t>Planning Act</w:t>
      </w:r>
    </w:p>
    <w:p w14:paraId="0612D723" w14:textId="77777777" w:rsidR="000F4879" w:rsidRPr="009B275C" w:rsidRDefault="000F4879" w:rsidP="00BE23FD">
      <w:pPr>
        <w:rPr>
          <w:rFonts w:cs="Arial"/>
          <w:lang w:val="en-CA"/>
        </w:rPr>
      </w:pPr>
    </w:p>
    <w:p w14:paraId="652E7705" w14:textId="0E0C675B" w:rsidR="0071525F" w:rsidRPr="009B275C" w:rsidRDefault="00530CF1" w:rsidP="00A37280">
      <w:pPr>
        <w:numPr>
          <w:ilvl w:val="0"/>
          <w:numId w:val="1"/>
        </w:numPr>
        <w:ind w:left="0" w:firstLine="0"/>
        <w:rPr>
          <w:rFonts w:cs="Arial"/>
          <w:lang w:val="en-CA"/>
        </w:rPr>
      </w:pPr>
      <w:r w:rsidRPr="009B275C">
        <w:rPr>
          <w:rFonts w:cstheme="minorHAnsi"/>
          <w:lang w:val="en-CA"/>
        </w:rPr>
        <w:t xml:space="preserve">Section 2 of the Act sets out matters of provincial interest for which planning authorities shall have regard to, among other matters, in carrying out their responsibilities to the legislation. </w:t>
      </w:r>
      <w:r w:rsidR="00D60056">
        <w:rPr>
          <w:rFonts w:cstheme="minorHAnsi"/>
          <w:lang w:val="en-CA"/>
        </w:rPr>
        <w:t xml:space="preserve"> </w:t>
      </w:r>
      <w:r w:rsidRPr="009B275C">
        <w:rPr>
          <w:rFonts w:cstheme="minorHAnsi"/>
          <w:lang w:val="en-CA"/>
        </w:rPr>
        <w:t>Ms. Dale-Harries opined that the Settlement Proposal before the Tribunal has regard for these matters of provincial interest, in particular:</w:t>
      </w:r>
    </w:p>
    <w:p w14:paraId="3E18B94A" w14:textId="0342CDEA" w:rsidR="0071525F" w:rsidRPr="009B275C" w:rsidRDefault="0071525F" w:rsidP="0071525F">
      <w:pPr>
        <w:rPr>
          <w:rFonts w:cs="Arial"/>
          <w:lang w:val="en-CA"/>
        </w:rPr>
      </w:pPr>
    </w:p>
    <w:p w14:paraId="489CAB46" w14:textId="57744E47" w:rsidR="00530CF1" w:rsidRPr="009B275C" w:rsidRDefault="00530CF1" w:rsidP="00530CF1">
      <w:pPr>
        <w:pStyle w:val="ListParagraph"/>
        <w:numPr>
          <w:ilvl w:val="0"/>
          <w:numId w:val="26"/>
        </w:numPr>
        <w:spacing w:line="240" w:lineRule="auto"/>
        <w:ind w:left="2160" w:right="1440" w:hanging="720"/>
        <w:rPr>
          <w:sz w:val="20"/>
          <w:szCs w:val="20"/>
          <w:lang w:val="en-CA"/>
        </w:rPr>
      </w:pPr>
      <w:r w:rsidRPr="009B275C">
        <w:rPr>
          <w:sz w:val="20"/>
          <w:szCs w:val="20"/>
          <w:lang w:val="en-CA"/>
        </w:rPr>
        <w:t>the adequate provision and efficient use of communication, transportation, sewage and water services and waste management systems (f)</w:t>
      </w:r>
    </w:p>
    <w:p w14:paraId="3D6374D8" w14:textId="67098E06" w:rsidR="00530CF1" w:rsidRPr="009B275C" w:rsidRDefault="00530CF1" w:rsidP="00530CF1">
      <w:pPr>
        <w:pStyle w:val="ListParagraph"/>
        <w:numPr>
          <w:ilvl w:val="0"/>
          <w:numId w:val="26"/>
        </w:numPr>
        <w:spacing w:line="240" w:lineRule="auto"/>
        <w:ind w:left="2160" w:right="1440" w:hanging="720"/>
        <w:rPr>
          <w:sz w:val="20"/>
          <w:szCs w:val="20"/>
          <w:lang w:val="en-CA"/>
        </w:rPr>
      </w:pPr>
      <w:r w:rsidRPr="009B275C">
        <w:rPr>
          <w:sz w:val="20"/>
          <w:szCs w:val="20"/>
          <w:lang w:val="en-CA"/>
        </w:rPr>
        <w:t>the orderly development of safe and healthy communities (h</w:t>
      </w:r>
      <w:proofErr w:type="gramStart"/>
      <w:r w:rsidRPr="009B275C">
        <w:rPr>
          <w:sz w:val="20"/>
          <w:szCs w:val="20"/>
          <w:lang w:val="en-CA"/>
        </w:rPr>
        <w:t>);</w:t>
      </w:r>
      <w:proofErr w:type="gramEnd"/>
    </w:p>
    <w:p w14:paraId="2B866932" w14:textId="60FC82D0" w:rsidR="00530CF1" w:rsidRPr="009B275C" w:rsidRDefault="00530CF1" w:rsidP="00530CF1">
      <w:pPr>
        <w:pStyle w:val="ListParagraph"/>
        <w:numPr>
          <w:ilvl w:val="0"/>
          <w:numId w:val="26"/>
        </w:numPr>
        <w:spacing w:line="240" w:lineRule="auto"/>
        <w:ind w:left="2160" w:right="1440" w:hanging="720"/>
        <w:rPr>
          <w:sz w:val="20"/>
          <w:szCs w:val="20"/>
          <w:lang w:val="en-CA"/>
        </w:rPr>
      </w:pPr>
      <w:r w:rsidRPr="009B275C">
        <w:rPr>
          <w:sz w:val="20"/>
          <w:szCs w:val="20"/>
          <w:lang w:val="en-CA"/>
        </w:rPr>
        <w:t>the adequate provision of a full range of housing, including affordable housing (j</w:t>
      </w:r>
      <w:proofErr w:type="gramStart"/>
      <w:r w:rsidRPr="009B275C">
        <w:rPr>
          <w:sz w:val="20"/>
          <w:szCs w:val="20"/>
          <w:lang w:val="en-CA"/>
        </w:rPr>
        <w:t>);</w:t>
      </w:r>
      <w:proofErr w:type="gramEnd"/>
    </w:p>
    <w:p w14:paraId="5E7E7E20" w14:textId="15BA8592" w:rsidR="00530CF1" w:rsidRPr="009B275C" w:rsidRDefault="00530CF1" w:rsidP="00530CF1">
      <w:pPr>
        <w:pStyle w:val="ListParagraph"/>
        <w:numPr>
          <w:ilvl w:val="0"/>
          <w:numId w:val="26"/>
        </w:numPr>
        <w:spacing w:line="240" w:lineRule="auto"/>
        <w:ind w:left="2160" w:right="1440" w:hanging="720"/>
        <w:rPr>
          <w:sz w:val="20"/>
          <w:szCs w:val="20"/>
          <w:lang w:val="en-CA"/>
        </w:rPr>
      </w:pPr>
      <w:r w:rsidRPr="009B275C">
        <w:rPr>
          <w:sz w:val="20"/>
          <w:szCs w:val="20"/>
          <w:lang w:val="en-CA"/>
        </w:rPr>
        <w:t>the appropriate location of growth and development (p</w:t>
      </w:r>
      <w:proofErr w:type="gramStart"/>
      <w:r w:rsidRPr="009B275C">
        <w:rPr>
          <w:sz w:val="20"/>
          <w:szCs w:val="20"/>
          <w:lang w:val="en-CA"/>
        </w:rPr>
        <w:t>);</w:t>
      </w:r>
      <w:proofErr w:type="gramEnd"/>
    </w:p>
    <w:p w14:paraId="284DA405" w14:textId="1AF4E078" w:rsidR="00530CF1" w:rsidRPr="009B275C" w:rsidRDefault="00530CF1" w:rsidP="00530CF1">
      <w:pPr>
        <w:pStyle w:val="ListParagraph"/>
        <w:numPr>
          <w:ilvl w:val="0"/>
          <w:numId w:val="26"/>
        </w:numPr>
        <w:spacing w:line="240" w:lineRule="auto"/>
        <w:ind w:left="2160" w:right="1440" w:hanging="720"/>
        <w:rPr>
          <w:sz w:val="20"/>
          <w:szCs w:val="20"/>
          <w:lang w:val="en-CA"/>
        </w:rPr>
      </w:pPr>
      <w:r w:rsidRPr="009B275C">
        <w:rPr>
          <w:sz w:val="20"/>
          <w:szCs w:val="20"/>
          <w:lang w:val="en-CA"/>
        </w:rPr>
        <w:t>the promotion of development that is designed to be sustainable, to support public transit and to be oriented to pedestrians (q); and</w:t>
      </w:r>
    </w:p>
    <w:p w14:paraId="31EE5687" w14:textId="16A4F948" w:rsidR="00530CF1" w:rsidRPr="009B275C" w:rsidRDefault="00530CF1" w:rsidP="00530CF1">
      <w:pPr>
        <w:pStyle w:val="ListParagraph"/>
        <w:numPr>
          <w:ilvl w:val="0"/>
          <w:numId w:val="26"/>
        </w:numPr>
        <w:spacing w:line="240" w:lineRule="auto"/>
        <w:ind w:left="2160" w:right="1440" w:hanging="720"/>
        <w:rPr>
          <w:sz w:val="20"/>
          <w:szCs w:val="20"/>
          <w:lang w:val="en-CA"/>
        </w:rPr>
      </w:pPr>
      <w:r w:rsidRPr="009B275C">
        <w:rPr>
          <w:sz w:val="20"/>
          <w:szCs w:val="20"/>
          <w:lang w:val="en-CA"/>
        </w:rPr>
        <w:t xml:space="preserve">the promotion of built form that is well designed, encourages a sense of place, and provides for public spaces that are of high quality, safe, accessible, </w:t>
      </w:r>
      <w:proofErr w:type="gramStart"/>
      <w:r w:rsidRPr="009B275C">
        <w:rPr>
          <w:sz w:val="20"/>
          <w:szCs w:val="20"/>
          <w:lang w:val="en-CA"/>
        </w:rPr>
        <w:t>attractive</w:t>
      </w:r>
      <w:proofErr w:type="gramEnd"/>
      <w:r w:rsidRPr="009B275C">
        <w:rPr>
          <w:sz w:val="20"/>
          <w:szCs w:val="20"/>
          <w:lang w:val="en-CA"/>
        </w:rPr>
        <w:t xml:space="preserve"> and vibrant (r).</w:t>
      </w:r>
    </w:p>
    <w:p w14:paraId="34E23FBB" w14:textId="66B3CBD7" w:rsidR="00530CF1" w:rsidRPr="009B275C" w:rsidRDefault="00530CF1" w:rsidP="0071525F">
      <w:pPr>
        <w:rPr>
          <w:rFonts w:cs="Arial"/>
          <w:lang w:val="en-CA"/>
        </w:rPr>
      </w:pPr>
    </w:p>
    <w:p w14:paraId="1A9FDEF5" w14:textId="0162253E" w:rsidR="00530CF1" w:rsidRPr="009B275C" w:rsidRDefault="00530CF1" w:rsidP="0071525F">
      <w:pPr>
        <w:rPr>
          <w:rFonts w:cs="Arial"/>
          <w:lang w:val="en-CA"/>
        </w:rPr>
      </w:pPr>
      <w:r w:rsidRPr="009B275C">
        <w:rPr>
          <w:rFonts w:cs="Arial"/>
          <w:b/>
          <w:bCs/>
          <w:lang w:val="en-CA"/>
        </w:rPr>
        <w:t>Provincial Policy Statement</w:t>
      </w:r>
    </w:p>
    <w:p w14:paraId="668F9E6F" w14:textId="77777777" w:rsidR="00530CF1" w:rsidRPr="009B275C" w:rsidRDefault="00530CF1" w:rsidP="0071525F">
      <w:pPr>
        <w:rPr>
          <w:rFonts w:cs="Arial"/>
          <w:lang w:val="en-CA"/>
        </w:rPr>
      </w:pPr>
    </w:p>
    <w:p w14:paraId="653ADFEB" w14:textId="59A3ED86" w:rsidR="0071525F" w:rsidRPr="009B275C" w:rsidRDefault="00530CF1" w:rsidP="009A17B4">
      <w:pPr>
        <w:numPr>
          <w:ilvl w:val="0"/>
          <w:numId w:val="1"/>
        </w:numPr>
        <w:ind w:left="0" w:firstLine="0"/>
        <w:rPr>
          <w:rFonts w:cs="Arial"/>
          <w:lang w:val="en-CA"/>
        </w:rPr>
      </w:pPr>
      <w:r w:rsidRPr="009B275C">
        <w:rPr>
          <w:rFonts w:cstheme="minorHAnsi"/>
          <w:lang w:val="en-CA"/>
        </w:rPr>
        <w:t xml:space="preserve">One of the key policy directions of the PPS is to build strong communities through the promotion of efficient land use and development patterns that support strong, </w:t>
      </w:r>
      <w:proofErr w:type="gramStart"/>
      <w:r w:rsidRPr="009B275C">
        <w:rPr>
          <w:rFonts w:cstheme="minorHAnsi"/>
          <w:lang w:val="en-CA"/>
        </w:rPr>
        <w:t>liveable</w:t>
      </w:r>
      <w:proofErr w:type="gramEnd"/>
      <w:r w:rsidRPr="009B275C">
        <w:rPr>
          <w:rFonts w:cstheme="minorHAnsi"/>
          <w:lang w:val="en-CA"/>
        </w:rPr>
        <w:t xml:space="preserve"> and healthy communities, protect the environment, and facilitate economic growth.</w:t>
      </w:r>
    </w:p>
    <w:p w14:paraId="0707735F" w14:textId="77777777" w:rsidR="00530CF1" w:rsidRPr="009B275C" w:rsidRDefault="00530CF1" w:rsidP="0071525F">
      <w:pPr>
        <w:pStyle w:val="ListParagraph"/>
        <w:rPr>
          <w:rFonts w:cs="Arial"/>
          <w:lang w:val="en-CA"/>
        </w:rPr>
      </w:pPr>
    </w:p>
    <w:p w14:paraId="0221F9D4" w14:textId="608B2995" w:rsidR="0071525F" w:rsidRPr="009B275C" w:rsidRDefault="00530CF1" w:rsidP="0071525F">
      <w:pPr>
        <w:numPr>
          <w:ilvl w:val="0"/>
          <w:numId w:val="1"/>
        </w:numPr>
        <w:autoSpaceDE w:val="0"/>
        <w:autoSpaceDN w:val="0"/>
        <w:adjustRightInd w:val="0"/>
        <w:ind w:left="0" w:firstLine="0"/>
        <w:rPr>
          <w:rFonts w:cs="Arial"/>
          <w:lang w:val="en-CA" w:eastAsia="en-CA"/>
        </w:rPr>
      </w:pPr>
      <w:r w:rsidRPr="009B275C">
        <w:rPr>
          <w:rFonts w:cs="Arial"/>
          <w:lang w:val="en-CA"/>
        </w:rPr>
        <w:t>Ms. Dale-Harris opined that the Proposal is consistent with s. 1.1.1 by:</w:t>
      </w:r>
    </w:p>
    <w:p w14:paraId="2234EAF8" w14:textId="1533B946" w:rsidR="0071525F" w:rsidRPr="009B275C" w:rsidRDefault="0071525F" w:rsidP="0071525F">
      <w:pPr>
        <w:pStyle w:val="ListParagraph"/>
        <w:rPr>
          <w:rFonts w:cs="Arial"/>
          <w:lang w:val="en-CA" w:eastAsia="en-CA"/>
        </w:rPr>
      </w:pPr>
    </w:p>
    <w:p w14:paraId="37C3FD70" w14:textId="4A920CA8" w:rsidR="00530CF1" w:rsidRPr="009B275C" w:rsidRDefault="00530CF1" w:rsidP="00530CF1">
      <w:pPr>
        <w:pStyle w:val="ListParagraph"/>
        <w:numPr>
          <w:ilvl w:val="0"/>
          <w:numId w:val="27"/>
        </w:numPr>
        <w:spacing w:line="240" w:lineRule="auto"/>
        <w:ind w:left="2160" w:right="1440" w:hanging="720"/>
        <w:rPr>
          <w:sz w:val="20"/>
          <w:szCs w:val="20"/>
          <w:lang w:val="en-CA"/>
        </w:rPr>
      </w:pPr>
      <w:r w:rsidRPr="009B275C">
        <w:rPr>
          <w:sz w:val="20"/>
          <w:szCs w:val="20"/>
          <w:lang w:val="en-CA"/>
        </w:rPr>
        <w:t xml:space="preserve">promoting efficient development and land use patterns which sustain the financial well-being of the Province and City over the long </w:t>
      </w:r>
      <w:proofErr w:type="gramStart"/>
      <w:r w:rsidRPr="009B275C">
        <w:rPr>
          <w:sz w:val="20"/>
          <w:szCs w:val="20"/>
          <w:lang w:val="en-CA"/>
        </w:rPr>
        <w:t>term;</w:t>
      </w:r>
      <w:proofErr w:type="gramEnd"/>
    </w:p>
    <w:p w14:paraId="74DE836E" w14:textId="77777777" w:rsidR="00530CF1" w:rsidRPr="009B275C" w:rsidRDefault="00530CF1" w:rsidP="00530CF1">
      <w:pPr>
        <w:spacing w:line="240" w:lineRule="auto"/>
        <w:ind w:left="2160" w:right="1440" w:hanging="720"/>
        <w:rPr>
          <w:sz w:val="20"/>
          <w:szCs w:val="20"/>
          <w:lang w:val="en-CA"/>
        </w:rPr>
      </w:pPr>
    </w:p>
    <w:p w14:paraId="6BA05714" w14:textId="72B43C4C" w:rsidR="00530CF1" w:rsidRPr="009B275C" w:rsidRDefault="00530CF1" w:rsidP="00530CF1">
      <w:pPr>
        <w:pStyle w:val="ListParagraph"/>
        <w:numPr>
          <w:ilvl w:val="0"/>
          <w:numId w:val="27"/>
        </w:numPr>
        <w:spacing w:line="240" w:lineRule="auto"/>
        <w:ind w:left="2160" w:right="1440" w:hanging="720"/>
        <w:rPr>
          <w:sz w:val="20"/>
          <w:szCs w:val="20"/>
          <w:lang w:val="en-CA"/>
        </w:rPr>
      </w:pPr>
      <w:r w:rsidRPr="009B275C">
        <w:rPr>
          <w:sz w:val="20"/>
          <w:szCs w:val="20"/>
          <w:lang w:val="en-CA"/>
        </w:rPr>
        <w:t xml:space="preserve">proposes an appropriate affordable and market-based range and mix of unit types in proximity to recreation, parks and open space, and other uses to meet long-term </w:t>
      </w:r>
      <w:proofErr w:type="gramStart"/>
      <w:r w:rsidRPr="009B275C">
        <w:rPr>
          <w:sz w:val="20"/>
          <w:szCs w:val="20"/>
          <w:lang w:val="en-CA"/>
        </w:rPr>
        <w:t>needs;</w:t>
      </w:r>
      <w:proofErr w:type="gramEnd"/>
    </w:p>
    <w:p w14:paraId="013980D9" w14:textId="77777777" w:rsidR="00530CF1" w:rsidRPr="009B275C" w:rsidRDefault="00530CF1" w:rsidP="00530CF1">
      <w:pPr>
        <w:spacing w:line="240" w:lineRule="auto"/>
        <w:ind w:left="2160" w:right="1440" w:hanging="720"/>
        <w:rPr>
          <w:sz w:val="20"/>
          <w:szCs w:val="20"/>
          <w:lang w:val="en-CA"/>
        </w:rPr>
      </w:pPr>
    </w:p>
    <w:p w14:paraId="42A786D2" w14:textId="75F64B64" w:rsidR="00530CF1" w:rsidRPr="009B275C" w:rsidRDefault="00530CF1" w:rsidP="00530CF1">
      <w:pPr>
        <w:pStyle w:val="ListParagraph"/>
        <w:numPr>
          <w:ilvl w:val="0"/>
          <w:numId w:val="27"/>
        </w:numPr>
        <w:spacing w:line="240" w:lineRule="auto"/>
        <w:ind w:left="2160" w:right="1440" w:hanging="720"/>
        <w:rPr>
          <w:sz w:val="20"/>
          <w:szCs w:val="20"/>
          <w:lang w:val="en-CA"/>
        </w:rPr>
      </w:pPr>
      <w:r w:rsidRPr="009B275C">
        <w:rPr>
          <w:sz w:val="20"/>
          <w:szCs w:val="20"/>
          <w:lang w:val="en-CA"/>
        </w:rPr>
        <w:t xml:space="preserve">promotes the integration of land use planning, growth management, transit supportive development, intensification and infrastructure planning to achieve cost effective development patterns, optimization of transit investments, and standards to minimize land consumption and servicing </w:t>
      </w:r>
      <w:proofErr w:type="gramStart"/>
      <w:r w:rsidRPr="009B275C">
        <w:rPr>
          <w:sz w:val="20"/>
          <w:szCs w:val="20"/>
          <w:lang w:val="en-CA"/>
        </w:rPr>
        <w:t>costs;</w:t>
      </w:r>
      <w:proofErr w:type="gramEnd"/>
    </w:p>
    <w:p w14:paraId="2FEC09A5" w14:textId="77777777" w:rsidR="00530CF1" w:rsidRPr="009B275C" w:rsidRDefault="00530CF1" w:rsidP="00530CF1">
      <w:pPr>
        <w:spacing w:line="240" w:lineRule="auto"/>
        <w:ind w:left="2160" w:right="1440" w:hanging="720"/>
        <w:rPr>
          <w:sz w:val="20"/>
          <w:szCs w:val="20"/>
          <w:lang w:val="en-CA"/>
        </w:rPr>
      </w:pPr>
    </w:p>
    <w:p w14:paraId="24C68BE6" w14:textId="04F4FC43" w:rsidR="00530CF1" w:rsidRPr="009B275C" w:rsidRDefault="00530CF1" w:rsidP="00530CF1">
      <w:pPr>
        <w:pStyle w:val="ListParagraph"/>
        <w:numPr>
          <w:ilvl w:val="0"/>
          <w:numId w:val="27"/>
        </w:numPr>
        <w:spacing w:line="240" w:lineRule="auto"/>
        <w:ind w:left="2160" w:right="1440" w:hanging="720"/>
        <w:rPr>
          <w:sz w:val="20"/>
          <w:szCs w:val="20"/>
          <w:lang w:val="en-CA"/>
        </w:rPr>
      </w:pPr>
      <w:r w:rsidRPr="009B275C">
        <w:rPr>
          <w:sz w:val="20"/>
          <w:szCs w:val="20"/>
          <w:lang w:val="en-CA"/>
        </w:rPr>
        <w:t>has ensured that necessary infrastructure and public service facilities are or will be available to meet current and projected needs.</w:t>
      </w:r>
    </w:p>
    <w:p w14:paraId="7C576501" w14:textId="3FCAC881" w:rsidR="00530CF1" w:rsidRPr="009B275C" w:rsidRDefault="00530CF1" w:rsidP="0071525F">
      <w:pPr>
        <w:pStyle w:val="ListParagraph"/>
        <w:rPr>
          <w:rFonts w:cs="Arial"/>
          <w:lang w:val="en-CA" w:eastAsia="en-CA"/>
        </w:rPr>
      </w:pPr>
    </w:p>
    <w:p w14:paraId="79B75B56" w14:textId="241292DB" w:rsidR="0071525F" w:rsidRPr="009B275C" w:rsidRDefault="00792E0B" w:rsidP="0071525F">
      <w:pPr>
        <w:numPr>
          <w:ilvl w:val="0"/>
          <w:numId w:val="1"/>
        </w:numPr>
        <w:ind w:left="0" w:firstLine="0"/>
        <w:rPr>
          <w:rFonts w:cs="Arial"/>
          <w:lang w:val="en-CA"/>
        </w:rPr>
      </w:pPr>
      <w:r w:rsidRPr="009B275C">
        <w:rPr>
          <w:rFonts w:cs="Arial"/>
          <w:lang w:val="en-CA"/>
        </w:rPr>
        <w:t xml:space="preserve">The Proposal, in Ms. Dale-Harris’ opinion demonstrates and incorporates the above listed items within the development on the Subject Site, and thus is also consistent with s. 1.1.3.2, </w:t>
      </w:r>
      <w:r w:rsidRPr="009B275C">
        <w:rPr>
          <w:rFonts w:cstheme="minorHAnsi"/>
          <w:lang w:val="en-CA"/>
        </w:rPr>
        <w:t>s. 1.1.3.4, s. 1.4.3 and 1.6.7.4.</w:t>
      </w:r>
    </w:p>
    <w:p w14:paraId="67A98C9C" w14:textId="77777777" w:rsidR="00AA4FCB" w:rsidRPr="009B275C" w:rsidRDefault="00AA4FCB" w:rsidP="0071525F">
      <w:pPr>
        <w:pStyle w:val="ListParagraph"/>
        <w:rPr>
          <w:rFonts w:cs="Arial"/>
          <w:lang w:val="en-CA"/>
        </w:rPr>
      </w:pPr>
    </w:p>
    <w:p w14:paraId="4946B6F6" w14:textId="4405D9F7" w:rsidR="0071525F" w:rsidRPr="009B275C" w:rsidRDefault="00792E0B" w:rsidP="0071525F">
      <w:pPr>
        <w:numPr>
          <w:ilvl w:val="0"/>
          <w:numId w:val="1"/>
        </w:numPr>
        <w:ind w:left="0" w:firstLine="0"/>
        <w:rPr>
          <w:rFonts w:cs="Arial"/>
          <w:lang w:val="en-CA"/>
        </w:rPr>
      </w:pPr>
      <w:r w:rsidRPr="009B275C">
        <w:rPr>
          <w:rFonts w:cs="Arial"/>
          <w:lang w:val="en-CA"/>
        </w:rPr>
        <w:t>Ms. Dale-Harris referenced the Appellant’s extensive experience and high standard of construction practices and well designed compact built form building.  This combined and augmented by both transit supportive and active transportation options on the Subject Site and in the surrounding area, led Ms. Dale-Harris to opine that consideration for the environment is evident and woven into the development, highlighting consistency with s. 1.8.1.</w:t>
      </w:r>
    </w:p>
    <w:p w14:paraId="3DDE1190" w14:textId="77777777" w:rsidR="0071525F" w:rsidRPr="009B275C" w:rsidRDefault="0071525F" w:rsidP="0071525F">
      <w:pPr>
        <w:rPr>
          <w:rFonts w:cs="Arial"/>
          <w:lang w:val="en-CA"/>
        </w:rPr>
      </w:pPr>
    </w:p>
    <w:p w14:paraId="2909EB2C" w14:textId="35E2DC80" w:rsidR="0071525F" w:rsidRPr="009B275C" w:rsidRDefault="00792E0B" w:rsidP="0071525F">
      <w:pPr>
        <w:numPr>
          <w:ilvl w:val="0"/>
          <w:numId w:val="1"/>
        </w:numPr>
        <w:ind w:left="0" w:firstLine="0"/>
        <w:rPr>
          <w:rFonts w:cs="Arial"/>
          <w:lang w:val="en-CA"/>
        </w:rPr>
      </w:pPr>
      <w:r w:rsidRPr="009B275C">
        <w:rPr>
          <w:rFonts w:cstheme="minorHAnsi"/>
          <w:lang w:val="en-CA"/>
        </w:rPr>
        <w:t>In concluding her evidence pertaining to the PPS, Ms. Dale-Harris provided her overall opinion that Settlement Proposal is consistent with the policies of the PPS.</w:t>
      </w:r>
    </w:p>
    <w:p w14:paraId="43275BCE" w14:textId="77777777" w:rsidR="00792E0B" w:rsidRPr="009B275C" w:rsidRDefault="00792E0B" w:rsidP="00BE23FD">
      <w:pPr>
        <w:pStyle w:val="ListParagraph"/>
        <w:rPr>
          <w:rFonts w:cs="Arial"/>
          <w:lang w:val="en-CA"/>
        </w:rPr>
      </w:pPr>
    </w:p>
    <w:p w14:paraId="299CBE42" w14:textId="364B2536" w:rsidR="00DB4934" w:rsidRPr="009B275C" w:rsidRDefault="00792E0B" w:rsidP="00BE23FD">
      <w:pPr>
        <w:pStyle w:val="ListParagraph"/>
        <w:rPr>
          <w:rFonts w:cs="Arial"/>
          <w:lang w:val="en-CA"/>
        </w:rPr>
      </w:pPr>
      <w:r w:rsidRPr="009B275C">
        <w:rPr>
          <w:b/>
          <w:bCs/>
          <w:lang w:val="en-CA"/>
        </w:rPr>
        <w:t>The Growth Plan</w:t>
      </w:r>
    </w:p>
    <w:p w14:paraId="74956B7B" w14:textId="77777777" w:rsidR="00DB4934" w:rsidRPr="009B275C" w:rsidRDefault="00DB4934" w:rsidP="00BE23FD">
      <w:pPr>
        <w:pStyle w:val="ListParagraph"/>
        <w:rPr>
          <w:rFonts w:cs="Arial"/>
          <w:lang w:val="en-CA"/>
        </w:rPr>
      </w:pPr>
    </w:p>
    <w:p w14:paraId="01AEF772" w14:textId="0CE5C296" w:rsidR="00BE23FD" w:rsidRPr="009B275C" w:rsidRDefault="00792E0B" w:rsidP="0071525F">
      <w:pPr>
        <w:numPr>
          <w:ilvl w:val="0"/>
          <w:numId w:val="1"/>
        </w:numPr>
        <w:ind w:left="0" w:firstLine="0"/>
        <w:rPr>
          <w:rFonts w:cs="Arial"/>
          <w:lang w:val="en-CA"/>
        </w:rPr>
      </w:pPr>
      <w:proofErr w:type="gramStart"/>
      <w:r w:rsidRPr="009B275C">
        <w:rPr>
          <w:rFonts w:cstheme="minorHAnsi"/>
          <w:lang w:val="en-CA"/>
        </w:rPr>
        <w:t>Similar to</w:t>
      </w:r>
      <w:proofErr w:type="gramEnd"/>
      <w:r w:rsidRPr="009B275C">
        <w:rPr>
          <w:rFonts w:cstheme="minorHAnsi"/>
          <w:lang w:val="en-CA"/>
        </w:rPr>
        <w:t xml:space="preserve"> the PPS, the Growth Plan supports intensification within built-up urban</w:t>
      </w:r>
      <w:r w:rsidRPr="009B275C">
        <w:rPr>
          <w:rFonts w:cs="Arial"/>
          <w:lang w:val="en-CA"/>
        </w:rPr>
        <w:t xml:space="preserve"> </w:t>
      </w:r>
      <w:r w:rsidRPr="009B275C">
        <w:rPr>
          <w:rFonts w:cstheme="minorHAnsi"/>
          <w:lang w:val="en-CA"/>
        </w:rPr>
        <w:t xml:space="preserve">areas, particularly in proximity to transit. </w:t>
      </w:r>
      <w:r w:rsidR="00D60056">
        <w:rPr>
          <w:rFonts w:cstheme="minorHAnsi"/>
          <w:lang w:val="en-CA"/>
        </w:rPr>
        <w:t xml:space="preserve"> </w:t>
      </w:r>
      <w:r w:rsidRPr="009B275C">
        <w:rPr>
          <w:rFonts w:cstheme="minorHAnsi"/>
          <w:lang w:val="en-CA"/>
        </w:rPr>
        <w:t>In this respect, s. 2.2.1(2)(c), it directs that,</w:t>
      </w:r>
      <w:r w:rsidRPr="009B275C">
        <w:rPr>
          <w:rFonts w:cs="Arial"/>
          <w:lang w:val="en-CA"/>
        </w:rPr>
        <w:t xml:space="preserve"> </w:t>
      </w:r>
      <w:r w:rsidRPr="009B275C">
        <w:rPr>
          <w:rFonts w:cstheme="minorHAnsi"/>
          <w:lang w:val="en-CA"/>
        </w:rPr>
        <w:t>within settlement areas, growth will be focused in delineated built-up areas, strategic</w:t>
      </w:r>
      <w:r w:rsidRPr="009B275C">
        <w:rPr>
          <w:rFonts w:cs="Arial"/>
          <w:lang w:val="en-CA"/>
        </w:rPr>
        <w:t xml:space="preserve"> </w:t>
      </w:r>
      <w:r w:rsidRPr="009B275C">
        <w:rPr>
          <w:rFonts w:cstheme="minorHAnsi"/>
          <w:lang w:val="en-CA"/>
        </w:rPr>
        <w:t>growth areas and locations with existing or planned transit, with a priority on higher order</w:t>
      </w:r>
      <w:r w:rsidRPr="009B275C">
        <w:rPr>
          <w:rFonts w:cs="Arial"/>
          <w:lang w:val="en-CA"/>
        </w:rPr>
        <w:t xml:space="preserve"> </w:t>
      </w:r>
      <w:r w:rsidRPr="009B275C">
        <w:rPr>
          <w:rFonts w:cstheme="minorHAnsi"/>
          <w:lang w:val="en-CA"/>
        </w:rPr>
        <w:t>transit where it exists or is planned.</w:t>
      </w:r>
    </w:p>
    <w:p w14:paraId="64567C10" w14:textId="77777777" w:rsidR="000F4879" w:rsidRPr="009B275C" w:rsidRDefault="000F4879" w:rsidP="000F4879">
      <w:pPr>
        <w:pStyle w:val="ListParagraph"/>
        <w:rPr>
          <w:rFonts w:cs="Arial"/>
          <w:lang w:val="en-CA"/>
        </w:rPr>
      </w:pPr>
    </w:p>
    <w:p w14:paraId="3D8CF9C3" w14:textId="5510BC17" w:rsidR="000F4879" w:rsidRPr="009B275C" w:rsidRDefault="00792E0B" w:rsidP="0071525F">
      <w:pPr>
        <w:numPr>
          <w:ilvl w:val="0"/>
          <w:numId w:val="1"/>
        </w:numPr>
        <w:ind w:left="0" w:firstLine="0"/>
        <w:rPr>
          <w:rFonts w:cs="Arial"/>
          <w:lang w:val="en-CA"/>
        </w:rPr>
      </w:pPr>
      <w:r w:rsidRPr="009B275C">
        <w:rPr>
          <w:rFonts w:cstheme="minorHAnsi"/>
          <w:lang w:val="en-CA"/>
        </w:rPr>
        <w:t>Ms. Dale-Harris opined the Proposal conforms with Policy 2.2.1(4), which provides policies that support the</w:t>
      </w:r>
      <w:r w:rsidRPr="009B275C">
        <w:rPr>
          <w:rFonts w:cs="Arial"/>
          <w:lang w:val="en-CA"/>
        </w:rPr>
        <w:t xml:space="preserve"> </w:t>
      </w:r>
      <w:r w:rsidRPr="009B275C">
        <w:rPr>
          <w:rFonts w:cstheme="minorHAnsi"/>
          <w:lang w:val="en-CA"/>
        </w:rPr>
        <w:t>achievement of complete communities, which include and:</w:t>
      </w:r>
    </w:p>
    <w:p w14:paraId="76763014" w14:textId="2F1F6727" w:rsidR="000F4879" w:rsidRPr="009B275C" w:rsidRDefault="000F4879" w:rsidP="000F4879">
      <w:pPr>
        <w:pStyle w:val="ListParagraph"/>
        <w:rPr>
          <w:rFonts w:cs="Arial"/>
          <w:lang w:val="en-CA"/>
        </w:rPr>
      </w:pPr>
    </w:p>
    <w:p w14:paraId="46E5481D" w14:textId="4061FB07" w:rsidR="00792E0B" w:rsidRPr="009B275C" w:rsidRDefault="00792E0B" w:rsidP="00FF7D72">
      <w:pPr>
        <w:pStyle w:val="ListParagraph"/>
        <w:numPr>
          <w:ilvl w:val="0"/>
          <w:numId w:val="28"/>
        </w:numPr>
        <w:spacing w:line="240" w:lineRule="auto"/>
        <w:ind w:left="2160" w:right="1440" w:hanging="720"/>
        <w:rPr>
          <w:sz w:val="20"/>
          <w:szCs w:val="20"/>
          <w:lang w:val="en-CA"/>
        </w:rPr>
      </w:pPr>
      <w:r w:rsidRPr="009B275C">
        <w:rPr>
          <w:sz w:val="20"/>
          <w:szCs w:val="20"/>
          <w:lang w:val="en-CA"/>
        </w:rPr>
        <w:t>Provide a diverse range and mix of housing options, including additional residential units and affordable housing, to accommodate people at all stages of life, and to accommodate the needs of all household sizes and incomes (c</w:t>
      </w:r>
      <w:proofErr w:type="gramStart"/>
      <w:r w:rsidRPr="009B275C">
        <w:rPr>
          <w:sz w:val="20"/>
          <w:szCs w:val="20"/>
          <w:lang w:val="en-CA"/>
        </w:rPr>
        <w:t>);</w:t>
      </w:r>
      <w:proofErr w:type="gramEnd"/>
    </w:p>
    <w:p w14:paraId="650C5C18" w14:textId="77777777" w:rsidR="00792E0B" w:rsidRPr="009B275C" w:rsidRDefault="00792E0B" w:rsidP="00FF7D72">
      <w:pPr>
        <w:spacing w:line="240" w:lineRule="auto"/>
        <w:ind w:left="2160" w:right="1440" w:hanging="720"/>
        <w:rPr>
          <w:sz w:val="20"/>
          <w:szCs w:val="20"/>
          <w:lang w:val="en-CA"/>
        </w:rPr>
      </w:pPr>
    </w:p>
    <w:p w14:paraId="2C3A1090" w14:textId="7FD52E26" w:rsidR="00792E0B" w:rsidRPr="009B275C" w:rsidRDefault="00D60056" w:rsidP="00FF7D72">
      <w:pPr>
        <w:pStyle w:val="ListParagraph"/>
        <w:numPr>
          <w:ilvl w:val="0"/>
          <w:numId w:val="28"/>
        </w:numPr>
        <w:spacing w:line="240" w:lineRule="auto"/>
        <w:ind w:left="2160" w:right="1440" w:hanging="720"/>
        <w:rPr>
          <w:sz w:val="20"/>
          <w:szCs w:val="20"/>
          <w:lang w:val="en-CA"/>
        </w:rPr>
      </w:pPr>
      <w:r>
        <w:rPr>
          <w:sz w:val="20"/>
          <w:szCs w:val="20"/>
          <w:lang w:val="en-CA"/>
        </w:rPr>
        <w:t>E</w:t>
      </w:r>
      <w:r w:rsidR="00792E0B" w:rsidRPr="009B275C">
        <w:rPr>
          <w:sz w:val="20"/>
          <w:szCs w:val="20"/>
          <w:lang w:val="en-CA"/>
        </w:rPr>
        <w:t>xpand convenient access to: a range of transportation options, including options for the safe, comfortable and convenient use of active transportation; an appropriate supply of safe, publicly-accessible open spaces, parks, trails, and other recreational facilities; and healthy, local, and affordable food options, including through urban agriculture (d);</w:t>
      </w:r>
    </w:p>
    <w:p w14:paraId="4A9A2E31" w14:textId="77777777" w:rsidR="00792E0B" w:rsidRPr="009B275C" w:rsidRDefault="00792E0B" w:rsidP="00FF7D72">
      <w:pPr>
        <w:spacing w:line="240" w:lineRule="auto"/>
        <w:ind w:left="2160" w:right="1440" w:hanging="720"/>
        <w:rPr>
          <w:sz w:val="20"/>
          <w:szCs w:val="20"/>
          <w:lang w:val="en-CA"/>
        </w:rPr>
      </w:pPr>
    </w:p>
    <w:p w14:paraId="2A5509C9" w14:textId="51D71698" w:rsidR="00792E0B" w:rsidRPr="009B275C" w:rsidRDefault="00792E0B" w:rsidP="00FF7D72">
      <w:pPr>
        <w:pStyle w:val="ListParagraph"/>
        <w:numPr>
          <w:ilvl w:val="0"/>
          <w:numId w:val="28"/>
        </w:numPr>
        <w:spacing w:line="240" w:lineRule="auto"/>
        <w:ind w:left="2160" w:right="1440" w:hanging="720"/>
        <w:rPr>
          <w:sz w:val="20"/>
          <w:szCs w:val="20"/>
          <w:lang w:val="en-CA"/>
        </w:rPr>
      </w:pPr>
      <w:r w:rsidRPr="009B275C">
        <w:rPr>
          <w:sz w:val="20"/>
          <w:szCs w:val="20"/>
          <w:lang w:val="en-CA"/>
        </w:rPr>
        <w:t>Provide for a more compact built form and a vibrant public realm, including public open spaces (e); and</w:t>
      </w:r>
    </w:p>
    <w:p w14:paraId="1B652F2D" w14:textId="77777777" w:rsidR="00792E0B" w:rsidRPr="009B275C" w:rsidRDefault="00792E0B" w:rsidP="00FF7D72">
      <w:pPr>
        <w:spacing w:line="240" w:lineRule="auto"/>
        <w:ind w:left="2160" w:right="1440" w:hanging="720"/>
        <w:rPr>
          <w:sz w:val="20"/>
          <w:szCs w:val="20"/>
          <w:lang w:val="en-CA"/>
        </w:rPr>
      </w:pPr>
    </w:p>
    <w:p w14:paraId="1C38780A" w14:textId="0F7CE8CD" w:rsidR="00792E0B" w:rsidRPr="009B275C" w:rsidRDefault="00792E0B" w:rsidP="00FF7D72">
      <w:pPr>
        <w:pStyle w:val="ListParagraph"/>
        <w:numPr>
          <w:ilvl w:val="0"/>
          <w:numId w:val="28"/>
        </w:numPr>
        <w:spacing w:line="240" w:lineRule="auto"/>
        <w:ind w:left="2160" w:right="1440" w:hanging="720"/>
        <w:rPr>
          <w:sz w:val="20"/>
          <w:szCs w:val="20"/>
          <w:lang w:val="en-CA"/>
        </w:rPr>
      </w:pPr>
      <w:r w:rsidRPr="009B275C">
        <w:rPr>
          <w:sz w:val="20"/>
          <w:szCs w:val="20"/>
          <w:lang w:val="en-CA"/>
        </w:rPr>
        <w:t xml:space="preserve">Mitigate and adapt to the impacts of a changing climate, improve </w:t>
      </w:r>
      <w:proofErr w:type="gramStart"/>
      <w:r w:rsidRPr="009B275C">
        <w:rPr>
          <w:sz w:val="20"/>
          <w:szCs w:val="20"/>
          <w:lang w:val="en-CA"/>
        </w:rPr>
        <w:t>resilience</w:t>
      </w:r>
      <w:proofErr w:type="gramEnd"/>
      <w:r w:rsidRPr="009B275C">
        <w:rPr>
          <w:sz w:val="20"/>
          <w:szCs w:val="20"/>
          <w:lang w:val="en-CA"/>
        </w:rPr>
        <w:t xml:space="preserve"> and reduce greenhouse gas emissions, and contribute to environment sustainability (f).</w:t>
      </w:r>
    </w:p>
    <w:p w14:paraId="7C9BE19A" w14:textId="4E35145A" w:rsidR="00DB4934" w:rsidRPr="009B275C" w:rsidRDefault="00DB4934" w:rsidP="000F4879">
      <w:pPr>
        <w:pStyle w:val="ListParagraph"/>
        <w:rPr>
          <w:rFonts w:cs="Arial"/>
          <w:lang w:val="en-CA"/>
        </w:rPr>
      </w:pPr>
    </w:p>
    <w:p w14:paraId="0B6D2D79" w14:textId="54433DCC" w:rsidR="000F4879" w:rsidRPr="009B275C" w:rsidRDefault="007A0552" w:rsidP="0071525F">
      <w:pPr>
        <w:numPr>
          <w:ilvl w:val="0"/>
          <w:numId w:val="1"/>
        </w:numPr>
        <w:ind w:left="0" w:firstLine="0"/>
        <w:rPr>
          <w:rFonts w:cs="Arial"/>
          <w:lang w:val="en-CA"/>
        </w:rPr>
      </w:pPr>
      <w:r w:rsidRPr="009B275C">
        <w:rPr>
          <w:rFonts w:cs="Arial"/>
          <w:lang w:val="en-CA"/>
        </w:rPr>
        <w:t>Ms. Dale-Harris opined that the Proposal provides an appropriate intensification strategy conforming with s. 2.2.2(</w:t>
      </w:r>
      <w:r w:rsidRPr="009B275C">
        <w:rPr>
          <w:rFonts w:cstheme="minorHAnsi"/>
          <w:lang w:val="en-CA"/>
        </w:rPr>
        <w:t xml:space="preserve">3), and the Subject Site falling just outside of the Downtown Hamilton Urban Growth Centre, as identified on Schedule 4 of the Growth </w:t>
      </w:r>
      <w:r w:rsidRPr="009B275C">
        <w:rPr>
          <w:rFonts w:cstheme="minorHAnsi"/>
          <w:lang w:val="en-CA"/>
        </w:rPr>
        <w:lastRenderedPageBreak/>
        <w:t xml:space="preserve">Plan (approximately 320 metres away) provides further justification for the density sought on the Subject Site.  Policy 2.2.3(1) provides direction that, urban growth centres will be planned to, among other matters, to accommodate a significant share of population and employment growth by 2031, or earlier.  Policy 2.2.3(2) indicates that the Downtown Hamilton </w:t>
      </w:r>
      <w:r w:rsidR="000E1378">
        <w:rPr>
          <w:rFonts w:cstheme="minorHAnsi"/>
          <w:lang w:val="en-CA"/>
        </w:rPr>
        <w:t>U</w:t>
      </w:r>
      <w:r w:rsidRPr="009B275C">
        <w:rPr>
          <w:rFonts w:cstheme="minorHAnsi"/>
          <w:lang w:val="en-CA"/>
        </w:rPr>
        <w:t xml:space="preserve">rban </w:t>
      </w:r>
      <w:r w:rsidR="000E1378">
        <w:rPr>
          <w:rFonts w:cstheme="minorHAnsi"/>
          <w:lang w:val="en-CA"/>
        </w:rPr>
        <w:t>G</w:t>
      </w:r>
      <w:r w:rsidRPr="009B275C">
        <w:rPr>
          <w:rFonts w:cstheme="minorHAnsi"/>
          <w:lang w:val="en-CA"/>
        </w:rPr>
        <w:t xml:space="preserve">rowth </w:t>
      </w:r>
      <w:r w:rsidR="000E1378">
        <w:rPr>
          <w:rFonts w:cstheme="minorHAnsi"/>
          <w:lang w:val="en-CA"/>
        </w:rPr>
        <w:t>C</w:t>
      </w:r>
      <w:r w:rsidRPr="009B275C">
        <w:rPr>
          <w:rFonts w:cstheme="minorHAnsi"/>
          <w:lang w:val="en-CA"/>
        </w:rPr>
        <w:t>entre will be planned to achieve a minimum gross density target of 200 residents and jobs combined per hectare.</w:t>
      </w:r>
    </w:p>
    <w:p w14:paraId="5C30E177" w14:textId="216118EF" w:rsidR="000F4879" w:rsidRPr="009B275C" w:rsidRDefault="000F4879" w:rsidP="000F4879">
      <w:pPr>
        <w:rPr>
          <w:iCs/>
          <w:lang w:val="en-CA"/>
        </w:rPr>
      </w:pPr>
    </w:p>
    <w:p w14:paraId="32C48D10" w14:textId="544233C1" w:rsidR="000F4879" w:rsidRPr="009B275C" w:rsidRDefault="00FF7D72" w:rsidP="0071525F">
      <w:pPr>
        <w:numPr>
          <w:ilvl w:val="0"/>
          <w:numId w:val="1"/>
        </w:numPr>
        <w:ind w:left="0" w:firstLine="0"/>
        <w:rPr>
          <w:rFonts w:cs="Arial"/>
          <w:lang w:val="en-CA"/>
        </w:rPr>
      </w:pPr>
      <w:r w:rsidRPr="009B275C">
        <w:rPr>
          <w:rFonts w:cs="Arial"/>
          <w:lang w:val="en-CA"/>
        </w:rPr>
        <w:t xml:space="preserve">The Tribunal was advised by Ms. Dale-Harris that </w:t>
      </w:r>
      <w:r w:rsidRPr="009B275C">
        <w:rPr>
          <w:rFonts w:cstheme="minorHAnsi"/>
          <w:lang w:val="en-CA"/>
        </w:rPr>
        <w:t>the Subject Site is located approximately 700 m from the Hamilton GO Station and</w:t>
      </w:r>
      <w:r w:rsidRPr="009B275C">
        <w:rPr>
          <w:rFonts w:cs="Arial"/>
          <w:lang w:val="en-CA"/>
        </w:rPr>
        <w:t xml:space="preserve"> </w:t>
      </w:r>
      <w:r w:rsidRPr="009B275C">
        <w:rPr>
          <w:rFonts w:cstheme="minorHAnsi"/>
          <w:lang w:val="en-CA"/>
        </w:rPr>
        <w:t xml:space="preserve">is therefore considered to be within a Major Transit Station Area. </w:t>
      </w:r>
      <w:r w:rsidR="00473D86">
        <w:rPr>
          <w:rFonts w:cstheme="minorHAnsi"/>
          <w:lang w:val="en-CA"/>
        </w:rPr>
        <w:t xml:space="preserve"> </w:t>
      </w:r>
      <w:r w:rsidRPr="009B275C">
        <w:rPr>
          <w:rFonts w:cstheme="minorHAnsi"/>
          <w:lang w:val="en-CA"/>
        </w:rPr>
        <w:t>The Subject Site is also</w:t>
      </w:r>
      <w:r w:rsidRPr="009B275C">
        <w:rPr>
          <w:rFonts w:cs="Arial"/>
          <w:lang w:val="en-CA"/>
        </w:rPr>
        <w:t xml:space="preserve"> </w:t>
      </w:r>
      <w:r w:rsidRPr="009B275C">
        <w:rPr>
          <w:rFonts w:cstheme="minorHAnsi"/>
          <w:lang w:val="en-CA"/>
        </w:rPr>
        <w:t>located approximately 650</w:t>
      </w:r>
      <w:r w:rsidR="00473D86">
        <w:rPr>
          <w:rFonts w:cstheme="minorHAnsi"/>
          <w:lang w:val="en-CA"/>
        </w:rPr>
        <w:t> </w:t>
      </w:r>
      <w:r w:rsidRPr="009B275C">
        <w:rPr>
          <w:rFonts w:cstheme="minorHAnsi"/>
          <w:lang w:val="en-CA"/>
        </w:rPr>
        <w:t>m away from the Wellington stop of the planned and funded</w:t>
      </w:r>
      <w:r w:rsidRPr="009B275C">
        <w:rPr>
          <w:rFonts w:cs="Arial"/>
          <w:lang w:val="en-CA"/>
        </w:rPr>
        <w:t xml:space="preserve"> </w:t>
      </w:r>
      <w:r w:rsidRPr="009B275C">
        <w:rPr>
          <w:rFonts w:cstheme="minorHAnsi"/>
          <w:lang w:val="en-CA"/>
        </w:rPr>
        <w:t xml:space="preserve">Hamilton Light Rail Transit (“LRT”) and is therefore within a second Major Transit Station Area. </w:t>
      </w:r>
      <w:r w:rsidR="00473D86">
        <w:rPr>
          <w:rFonts w:cstheme="minorHAnsi"/>
          <w:lang w:val="en-CA"/>
        </w:rPr>
        <w:t xml:space="preserve"> </w:t>
      </w:r>
      <w:r w:rsidRPr="009B275C">
        <w:rPr>
          <w:rFonts w:cstheme="minorHAnsi"/>
          <w:lang w:val="en-CA"/>
        </w:rPr>
        <w:t>The Hamilton LRT line is identified as a Priority Transit Corridor on Schedule 5 of the Growth Plan.</w:t>
      </w:r>
    </w:p>
    <w:p w14:paraId="17FF2ABA" w14:textId="77777777" w:rsidR="000F4879" w:rsidRPr="009B275C" w:rsidRDefault="000F4879" w:rsidP="000F4879">
      <w:pPr>
        <w:rPr>
          <w:rFonts w:cs="Arial"/>
          <w:lang w:val="en-CA"/>
        </w:rPr>
      </w:pPr>
    </w:p>
    <w:p w14:paraId="41A44D6A" w14:textId="4392192F" w:rsidR="000F4879" w:rsidRPr="009B275C" w:rsidRDefault="00FF7D72" w:rsidP="0071525F">
      <w:pPr>
        <w:numPr>
          <w:ilvl w:val="0"/>
          <w:numId w:val="1"/>
        </w:numPr>
        <w:ind w:left="0" w:firstLine="0"/>
        <w:rPr>
          <w:rFonts w:cs="Arial"/>
          <w:lang w:val="en-CA"/>
        </w:rPr>
      </w:pPr>
      <w:r w:rsidRPr="009B275C">
        <w:rPr>
          <w:rFonts w:cs="Arial"/>
          <w:lang w:val="en-CA"/>
        </w:rPr>
        <w:t>The above paragraph in Ms. Dale-Harris’ opinion demonstrates the Proposal’s conformity to s. 2.2.4(1), s. 2.2.4(3), s. 2.2.4(6), and s. 2.2.4(9), all transit related policies that reinforce the appropriateness of the development proposed on the Subject Site.</w:t>
      </w:r>
    </w:p>
    <w:p w14:paraId="41FCFEAF" w14:textId="0D97EC3A" w:rsidR="000F4879" w:rsidRPr="009B275C" w:rsidRDefault="000F4879" w:rsidP="000F4879">
      <w:pPr>
        <w:rPr>
          <w:rFonts w:cs="Arial"/>
          <w:lang w:val="en-CA"/>
        </w:rPr>
      </w:pPr>
    </w:p>
    <w:p w14:paraId="2FC75404" w14:textId="32A68CEF" w:rsidR="000F4879" w:rsidRPr="009B275C" w:rsidRDefault="00FF7D72" w:rsidP="0071525F">
      <w:pPr>
        <w:numPr>
          <w:ilvl w:val="0"/>
          <w:numId w:val="1"/>
        </w:numPr>
        <w:ind w:left="0" w:firstLine="0"/>
        <w:rPr>
          <w:rFonts w:cs="Arial"/>
          <w:lang w:val="en-CA"/>
        </w:rPr>
      </w:pPr>
      <w:r w:rsidRPr="009B275C">
        <w:rPr>
          <w:rFonts w:cstheme="minorHAnsi"/>
          <w:lang w:val="en-CA"/>
        </w:rPr>
        <w:t>With respect to housing, s. 2.2.6(1) requires municipalities to support housing choice through, the achievement of the minimum intensification and density targets by identifying a diverse range and mix of housing options and densities to meet projected and current needs.  These are to be implemented through OP designations and zoning by-laws.  S</w:t>
      </w:r>
      <w:r w:rsidR="00473D86">
        <w:rPr>
          <w:rFonts w:cstheme="minorHAnsi"/>
          <w:lang w:val="en-CA"/>
        </w:rPr>
        <w:t>ection</w:t>
      </w:r>
      <w:r w:rsidRPr="009B275C">
        <w:rPr>
          <w:rFonts w:cstheme="minorHAnsi"/>
          <w:lang w:val="en-CA"/>
        </w:rPr>
        <w:t xml:space="preserve"> 2.2.6(2) requires municipalities to support the achievement of complete communities by planning to achieve the minimum intensification targets and planning to diversify their overall housing stock across the municipality.  In Ms. Dale-Harris’ opinion</w:t>
      </w:r>
      <w:r w:rsidR="00473D86">
        <w:rPr>
          <w:rFonts w:cstheme="minorHAnsi"/>
          <w:lang w:val="en-CA"/>
        </w:rPr>
        <w:t>,</w:t>
      </w:r>
      <w:r w:rsidRPr="009B275C">
        <w:rPr>
          <w:rFonts w:cstheme="minorHAnsi"/>
          <w:lang w:val="en-CA"/>
        </w:rPr>
        <w:t xml:space="preserve"> the Proposal conforms the above policies.</w:t>
      </w:r>
    </w:p>
    <w:p w14:paraId="4F14132C" w14:textId="51F8C6D7" w:rsidR="00852193" w:rsidRDefault="00852193" w:rsidP="000F4879">
      <w:pPr>
        <w:pStyle w:val="ListParagraph"/>
        <w:rPr>
          <w:rFonts w:cs="Arial"/>
          <w:lang w:val="en-CA"/>
        </w:rPr>
      </w:pPr>
    </w:p>
    <w:p w14:paraId="4FF10A95" w14:textId="77777777" w:rsidR="00570362" w:rsidRPr="009B275C" w:rsidRDefault="00570362" w:rsidP="000F4879">
      <w:pPr>
        <w:pStyle w:val="ListParagraph"/>
        <w:rPr>
          <w:rFonts w:cs="Arial"/>
          <w:lang w:val="en-CA"/>
        </w:rPr>
      </w:pPr>
    </w:p>
    <w:p w14:paraId="6B005513" w14:textId="1BCCF33E" w:rsidR="000F4879" w:rsidRPr="009B275C" w:rsidRDefault="00FF7D72" w:rsidP="0071525F">
      <w:pPr>
        <w:numPr>
          <w:ilvl w:val="0"/>
          <w:numId w:val="1"/>
        </w:numPr>
        <w:ind w:left="0" w:firstLine="0"/>
        <w:rPr>
          <w:rFonts w:cs="Arial"/>
          <w:lang w:val="en-CA"/>
        </w:rPr>
      </w:pPr>
      <w:r w:rsidRPr="009B275C">
        <w:rPr>
          <w:rFonts w:cstheme="minorHAnsi"/>
          <w:lang w:val="en-CA"/>
        </w:rPr>
        <w:lastRenderedPageBreak/>
        <w:t>Climate Change policies are set out in s. 4.2.10 of the Growth Plan.  Ms. Dale-Harris opined that similarly to the discussion had when reviewing this matter with the PPS, the Proposal addresses policy by proposing a compact built form development that supports the achievement of complete communities</w:t>
      </w:r>
      <w:r w:rsidR="00473D86">
        <w:rPr>
          <w:rFonts w:cstheme="minorHAnsi"/>
          <w:lang w:val="en-CA"/>
        </w:rPr>
        <w:t>,</w:t>
      </w:r>
      <w:r w:rsidRPr="009B275C">
        <w:rPr>
          <w:rFonts w:cstheme="minorHAnsi"/>
          <w:lang w:val="en-CA"/>
        </w:rPr>
        <w:t xml:space="preserve"> as well as the minimum intensification and density targets of the Growth Plan, and reducing dependence on the automobile and supporting existing and planned transit and active transportation.</w:t>
      </w:r>
    </w:p>
    <w:p w14:paraId="526BB9EB" w14:textId="2E49EBCC" w:rsidR="000F4879" w:rsidRPr="009B275C" w:rsidRDefault="000F4879" w:rsidP="000F4879">
      <w:pPr>
        <w:pStyle w:val="ListParagraph"/>
        <w:rPr>
          <w:rFonts w:cs="Arial"/>
          <w:lang w:val="en-CA"/>
        </w:rPr>
      </w:pPr>
    </w:p>
    <w:p w14:paraId="4CD99667" w14:textId="7B7B67A2" w:rsidR="000F4879" w:rsidRPr="009B275C" w:rsidRDefault="00FF7D72" w:rsidP="0071525F">
      <w:pPr>
        <w:numPr>
          <w:ilvl w:val="0"/>
          <w:numId w:val="1"/>
        </w:numPr>
        <w:ind w:left="0" w:firstLine="0"/>
        <w:rPr>
          <w:rFonts w:cs="Arial"/>
          <w:lang w:val="en-CA"/>
        </w:rPr>
      </w:pPr>
      <w:r w:rsidRPr="009B275C">
        <w:rPr>
          <w:rFonts w:cstheme="minorHAnsi"/>
          <w:lang w:val="en-CA"/>
        </w:rPr>
        <w:t>Ms. Dale-Harris concluded discussion of the section with her opinion that the Settlement Proposal provides for a development which conforms with the Growth Plan.</w:t>
      </w:r>
    </w:p>
    <w:p w14:paraId="1E4365B3" w14:textId="59186A7D" w:rsidR="007437DE" w:rsidRPr="009B275C" w:rsidRDefault="007437DE" w:rsidP="007437DE">
      <w:pPr>
        <w:pStyle w:val="ListParagraph"/>
        <w:rPr>
          <w:rFonts w:cs="Arial"/>
          <w:lang w:val="en-CA"/>
        </w:rPr>
      </w:pPr>
    </w:p>
    <w:p w14:paraId="18BA1980" w14:textId="74325272" w:rsidR="00FF7D72" w:rsidRPr="009B275C" w:rsidRDefault="00FF7D72" w:rsidP="007437DE">
      <w:pPr>
        <w:pStyle w:val="ListParagraph"/>
        <w:rPr>
          <w:rFonts w:cs="Arial"/>
          <w:lang w:val="en-CA"/>
        </w:rPr>
      </w:pPr>
      <w:r w:rsidRPr="009B275C">
        <w:rPr>
          <w:rFonts w:ascii="ArialMT" w:hAnsi="ArialMT" w:cs="ArialMT"/>
          <w:b/>
          <w:bCs/>
          <w:lang w:val="en-CA"/>
        </w:rPr>
        <w:t>Niagara Escarpment Plan</w:t>
      </w:r>
    </w:p>
    <w:p w14:paraId="281B76D8" w14:textId="77777777" w:rsidR="00FF7D72" w:rsidRPr="009B275C" w:rsidRDefault="00FF7D72" w:rsidP="007437DE">
      <w:pPr>
        <w:pStyle w:val="ListParagraph"/>
        <w:rPr>
          <w:rFonts w:cs="Arial"/>
          <w:lang w:val="en-CA"/>
        </w:rPr>
      </w:pPr>
    </w:p>
    <w:p w14:paraId="1A1E7A38" w14:textId="07B31C49" w:rsidR="007437DE" w:rsidRPr="009B275C" w:rsidRDefault="00FF7D72" w:rsidP="0071525F">
      <w:pPr>
        <w:numPr>
          <w:ilvl w:val="0"/>
          <w:numId w:val="1"/>
        </w:numPr>
        <w:ind w:left="0" w:firstLine="0"/>
        <w:rPr>
          <w:rFonts w:cs="Arial"/>
          <w:lang w:val="en-CA"/>
        </w:rPr>
      </w:pPr>
      <w:r w:rsidRPr="009B275C">
        <w:rPr>
          <w:rFonts w:cstheme="minorHAnsi"/>
          <w:lang w:val="en-CA"/>
        </w:rPr>
        <w:t>The NEP covers 725 kilometres of land from Queenston on the Niagara River to the islands off Tobermory on the Bruce Peninsula.</w:t>
      </w:r>
    </w:p>
    <w:p w14:paraId="53C6229D" w14:textId="77777777" w:rsidR="007437DE" w:rsidRPr="009B275C" w:rsidRDefault="007437DE" w:rsidP="007437DE">
      <w:pPr>
        <w:pStyle w:val="ListParagraph"/>
        <w:rPr>
          <w:rFonts w:cs="Arial"/>
          <w:lang w:val="en-CA"/>
        </w:rPr>
      </w:pPr>
    </w:p>
    <w:p w14:paraId="0DC182DD" w14:textId="3A796DCA" w:rsidR="007437DE" w:rsidRPr="009B275C" w:rsidRDefault="00FF7D72" w:rsidP="0071525F">
      <w:pPr>
        <w:numPr>
          <w:ilvl w:val="0"/>
          <w:numId w:val="1"/>
        </w:numPr>
        <w:ind w:left="0" w:firstLine="0"/>
        <w:rPr>
          <w:rFonts w:cs="Arial"/>
          <w:lang w:val="en-CA"/>
        </w:rPr>
      </w:pPr>
      <w:r w:rsidRPr="009B275C">
        <w:rPr>
          <w:lang w:val="en-CA"/>
        </w:rPr>
        <w:t>The Subject Site is subject to the NEP and its Urban Area provisions.</w:t>
      </w:r>
      <w:r w:rsidR="006F45EE">
        <w:rPr>
          <w:lang w:val="en-CA"/>
        </w:rPr>
        <w:t xml:space="preserve"> </w:t>
      </w:r>
      <w:r w:rsidRPr="009B275C">
        <w:rPr>
          <w:lang w:val="en-CA"/>
        </w:rPr>
        <w:t xml:space="preserve"> As set out in s. 1.7 of the plan, the objective of the Urban Areas designation is to minimize the impact and further encroachment of urban growth on the Escarpment environment. S</w:t>
      </w:r>
      <w:r w:rsidR="006F45EE">
        <w:rPr>
          <w:lang w:val="en-CA"/>
        </w:rPr>
        <w:t>ection</w:t>
      </w:r>
      <w:r w:rsidRPr="009B275C">
        <w:rPr>
          <w:lang w:val="en-CA"/>
        </w:rPr>
        <w:t xml:space="preserve"> 1.7.4 provides that “Changes to permitted uses, expansions and alterations of existing uses or the creation of new lots within the Urban Area designation will not require an amendment to the Niagara Escarpment Plan.”</w:t>
      </w:r>
    </w:p>
    <w:p w14:paraId="09686070" w14:textId="77777777" w:rsidR="007437DE" w:rsidRPr="009B275C" w:rsidRDefault="007437DE" w:rsidP="007437DE">
      <w:pPr>
        <w:pStyle w:val="ListParagraph"/>
        <w:rPr>
          <w:rFonts w:cs="Arial"/>
          <w:lang w:val="en-CA"/>
        </w:rPr>
      </w:pPr>
    </w:p>
    <w:p w14:paraId="4ACBD99E" w14:textId="51E2A9EE" w:rsidR="007437DE" w:rsidRPr="009B275C" w:rsidRDefault="00FF7D72" w:rsidP="0071525F">
      <w:pPr>
        <w:numPr>
          <w:ilvl w:val="0"/>
          <w:numId w:val="1"/>
        </w:numPr>
        <w:ind w:left="0" w:firstLine="0"/>
        <w:rPr>
          <w:rFonts w:cs="Arial"/>
          <w:lang w:val="en-CA"/>
        </w:rPr>
      </w:pPr>
      <w:r w:rsidRPr="009B275C">
        <w:rPr>
          <w:lang w:val="en-CA"/>
        </w:rPr>
        <w:t>Ms. Dale-Harris opined that the Proposal conforms to all relevant policies of the NEP and highlighted for the Tribunal s. 1.7.4 of the plan, in which she opined the Proposal demonstrates the following:</w:t>
      </w:r>
    </w:p>
    <w:p w14:paraId="2F078378" w14:textId="5586A8EF" w:rsidR="007437DE" w:rsidRPr="009B275C" w:rsidRDefault="007437DE" w:rsidP="007437DE">
      <w:pPr>
        <w:pStyle w:val="ListParagraph"/>
        <w:rPr>
          <w:rFonts w:cs="Arial"/>
          <w:lang w:val="en-CA"/>
        </w:rPr>
      </w:pPr>
    </w:p>
    <w:p w14:paraId="00281788" w14:textId="7DBBA9C6" w:rsidR="00FF7D72" w:rsidRPr="009B275C" w:rsidRDefault="00FF7D72" w:rsidP="00FF7D72">
      <w:pPr>
        <w:pStyle w:val="ListParagraph"/>
        <w:numPr>
          <w:ilvl w:val="0"/>
          <w:numId w:val="29"/>
        </w:numPr>
        <w:spacing w:line="240" w:lineRule="auto"/>
        <w:ind w:left="2160" w:right="1440" w:hanging="720"/>
        <w:rPr>
          <w:sz w:val="20"/>
          <w:szCs w:val="20"/>
          <w:lang w:val="en-CA"/>
        </w:rPr>
      </w:pPr>
      <w:r w:rsidRPr="009B275C">
        <w:rPr>
          <w:sz w:val="20"/>
          <w:szCs w:val="20"/>
          <w:lang w:val="en-CA"/>
        </w:rPr>
        <w:t>All development shall be of an urban design compatible with the scenic resources of the Escarpment. Where appropriate, provision for maximum heights, adequate setbacks, and screening are required to minimize the visual impact of urban development (1</w:t>
      </w:r>
      <w:proofErr w:type="gramStart"/>
      <w:r w:rsidRPr="009B275C">
        <w:rPr>
          <w:sz w:val="20"/>
          <w:szCs w:val="20"/>
          <w:lang w:val="en-CA"/>
        </w:rPr>
        <w:t>);</w:t>
      </w:r>
      <w:proofErr w:type="gramEnd"/>
    </w:p>
    <w:p w14:paraId="1D1B75A7" w14:textId="77777777" w:rsidR="00FF7D72" w:rsidRPr="009B275C" w:rsidRDefault="00FF7D72" w:rsidP="00FF7D72">
      <w:pPr>
        <w:spacing w:line="240" w:lineRule="auto"/>
        <w:ind w:left="2160" w:right="1440" w:hanging="720"/>
        <w:rPr>
          <w:sz w:val="20"/>
          <w:szCs w:val="20"/>
          <w:lang w:val="en-CA"/>
        </w:rPr>
      </w:pPr>
    </w:p>
    <w:p w14:paraId="066B243F" w14:textId="0F1D8D3D" w:rsidR="00FF7D72" w:rsidRPr="009B275C" w:rsidRDefault="00FF7D72" w:rsidP="00FF7D72">
      <w:pPr>
        <w:pStyle w:val="ListParagraph"/>
        <w:numPr>
          <w:ilvl w:val="0"/>
          <w:numId w:val="29"/>
        </w:numPr>
        <w:spacing w:line="240" w:lineRule="auto"/>
        <w:ind w:left="2160" w:right="1440" w:hanging="720"/>
        <w:rPr>
          <w:sz w:val="20"/>
          <w:szCs w:val="20"/>
          <w:lang w:val="en-CA"/>
        </w:rPr>
      </w:pPr>
      <w:r w:rsidRPr="009B275C">
        <w:rPr>
          <w:sz w:val="20"/>
          <w:szCs w:val="20"/>
          <w:lang w:val="en-CA"/>
        </w:rPr>
        <w:t xml:space="preserve">Development within Urban Areas should encourage reduced energy consumption, improved air quality, reduced greenhouse </w:t>
      </w:r>
      <w:r w:rsidRPr="009B275C">
        <w:rPr>
          <w:sz w:val="20"/>
          <w:szCs w:val="20"/>
          <w:lang w:val="en-CA"/>
        </w:rPr>
        <w:lastRenderedPageBreak/>
        <w:t>gas emissions (consistent with provincial reduction targets to 2030 and 2050) and work towards the long-term goal of low carbon communities, including net-zero communities and increased resilience to climate change, including through maximizing opportunities for the use of green infrastructure and appropriate low impact development (2);</w:t>
      </w:r>
    </w:p>
    <w:p w14:paraId="575A3836" w14:textId="77777777" w:rsidR="00FF7D72" w:rsidRPr="009B275C" w:rsidRDefault="00FF7D72" w:rsidP="00FF7D72">
      <w:pPr>
        <w:spacing w:line="240" w:lineRule="auto"/>
        <w:ind w:left="2160" w:right="1440" w:hanging="720"/>
        <w:rPr>
          <w:sz w:val="20"/>
          <w:szCs w:val="20"/>
          <w:lang w:val="en-CA"/>
        </w:rPr>
      </w:pPr>
    </w:p>
    <w:p w14:paraId="091DA31E" w14:textId="480658BD" w:rsidR="00FF7D72" w:rsidRPr="009B275C" w:rsidRDefault="00FF7D72" w:rsidP="00FF7D72">
      <w:pPr>
        <w:pStyle w:val="ListParagraph"/>
        <w:numPr>
          <w:ilvl w:val="0"/>
          <w:numId w:val="29"/>
        </w:numPr>
        <w:spacing w:line="240" w:lineRule="auto"/>
        <w:ind w:left="2160" w:right="1440" w:hanging="720"/>
        <w:rPr>
          <w:sz w:val="20"/>
          <w:szCs w:val="20"/>
          <w:lang w:val="en-CA"/>
        </w:rPr>
      </w:pPr>
      <w:r w:rsidRPr="009B275C">
        <w:rPr>
          <w:sz w:val="20"/>
          <w:szCs w:val="20"/>
          <w:lang w:val="en-CA"/>
        </w:rPr>
        <w:t>Development within Urban Areas shall not encroach into the Escarpment Natural, Escarpment Protection, Escarpment Rural or Mineral Resource Extraction Areas (4</w:t>
      </w:r>
      <w:proofErr w:type="gramStart"/>
      <w:r w:rsidRPr="009B275C">
        <w:rPr>
          <w:sz w:val="20"/>
          <w:szCs w:val="20"/>
          <w:lang w:val="en-CA"/>
        </w:rPr>
        <w:t>);</w:t>
      </w:r>
      <w:proofErr w:type="gramEnd"/>
    </w:p>
    <w:p w14:paraId="51075D03" w14:textId="77777777" w:rsidR="00FF7D72" w:rsidRPr="009B275C" w:rsidRDefault="00FF7D72" w:rsidP="00FF7D72">
      <w:pPr>
        <w:spacing w:line="240" w:lineRule="auto"/>
        <w:ind w:left="2160" w:right="1440" w:hanging="720"/>
        <w:rPr>
          <w:sz w:val="20"/>
          <w:szCs w:val="20"/>
          <w:lang w:val="en-CA"/>
        </w:rPr>
      </w:pPr>
    </w:p>
    <w:p w14:paraId="22880EE3" w14:textId="779BEAAC" w:rsidR="00FF7D72" w:rsidRPr="009B275C" w:rsidRDefault="00FF7D72" w:rsidP="00FF7D72">
      <w:pPr>
        <w:pStyle w:val="ListParagraph"/>
        <w:numPr>
          <w:ilvl w:val="0"/>
          <w:numId w:val="29"/>
        </w:numPr>
        <w:spacing w:line="240" w:lineRule="auto"/>
        <w:ind w:left="2160" w:right="1440" w:hanging="720"/>
        <w:rPr>
          <w:sz w:val="20"/>
          <w:szCs w:val="20"/>
          <w:lang w:val="en-CA"/>
        </w:rPr>
      </w:pPr>
      <w:r w:rsidRPr="009B275C">
        <w:rPr>
          <w:sz w:val="20"/>
          <w:szCs w:val="20"/>
          <w:lang w:val="en-CA"/>
        </w:rPr>
        <w:t>Growth and development in Urban Areas shall be compatible with and provide for:</w:t>
      </w:r>
    </w:p>
    <w:p w14:paraId="58AFE94A" w14:textId="778AEC9C" w:rsidR="00FF7D72" w:rsidRPr="009B275C" w:rsidRDefault="00FF7D72" w:rsidP="00FF7D72">
      <w:pPr>
        <w:pStyle w:val="ListParagraph"/>
        <w:numPr>
          <w:ilvl w:val="0"/>
          <w:numId w:val="30"/>
        </w:numPr>
        <w:spacing w:line="240" w:lineRule="auto"/>
        <w:ind w:left="2880" w:right="1440" w:hanging="720"/>
        <w:rPr>
          <w:sz w:val="20"/>
          <w:szCs w:val="20"/>
          <w:lang w:val="en-CA"/>
        </w:rPr>
      </w:pPr>
      <w:r w:rsidRPr="009B275C">
        <w:rPr>
          <w:sz w:val="20"/>
          <w:szCs w:val="20"/>
          <w:lang w:val="en-CA"/>
        </w:rPr>
        <w:t xml:space="preserve">the protection of natural heritage features and </w:t>
      </w:r>
      <w:proofErr w:type="gramStart"/>
      <w:r w:rsidRPr="009B275C">
        <w:rPr>
          <w:sz w:val="20"/>
          <w:szCs w:val="20"/>
          <w:lang w:val="en-CA"/>
        </w:rPr>
        <w:t>functions;</w:t>
      </w:r>
      <w:proofErr w:type="gramEnd"/>
    </w:p>
    <w:p w14:paraId="6F959904" w14:textId="531954DF" w:rsidR="00FF7D72" w:rsidRPr="009B275C" w:rsidRDefault="00FF7D72" w:rsidP="00FF7D72">
      <w:pPr>
        <w:pStyle w:val="ListParagraph"/>
        <w:numPr>
          <w:ilvl w:val="0"/>
          <w:numId w:val="30"/>
        </w:numPr>
        <w:spacing w:line="240" w:lineRule="auto"/>
        <w:ind w:left="2880" w:right="1440" w:hanging="720"/>
        <w:rPr>
          <w:sz w:val="20"/>
          <w:szCs w:val="20"/>
          <w:lang w:val="en-CA"/>
        </w:rPr>
      </w:pPr>
      <w:r w:rsidRPr="009B275C">
        <w:rPr>
          <w:sz w:val="20"/>
          <w:szCs w:val="20"/>
          <w:lang w:val="en-CA"/>
        </w:rPr>
        <w:t xml:space="preserve">the protection of hydrologic features and </w:t>
      </w:r>
      <w:proofErr w:type="gramStart"/>
      <w:r w:rsidRPr="009B275C">
        <w:rPr>
          <w:sz w:val="20"/>
          <w:szCs w:val="20"/>
          <w:lang w:val="en-CA"/>
        </w:rPr>
        <w:t>functions;</w:t>
      </w:r>
      <w:proofErr w:type="gramEnd"/>
    </w:p>
    <w:p w14:paraId="591C2630" w14:textId="541A47DB" w:rsidR="00FF7D72" w:rsidRPr="009B275C" w:rsidRDefault="00FF7D72" w:rsidP="00FF7D72">
      <w:pPr>
        <w:pStyle w:val="ListParagraph"/>
        <w:numPr>
          <w:ilvl w:val="0"/>
          <w:numId w:val="30"/>
        </w:numPr>
        <w:spacing w:line="240" w:lineRule="auto"/>
        <w:ind w:left="2880" w:right="1440" w:hanging="720"/>
        <w:rPr>
          <w:sz w:val="20"/>
          <w:szCs w:val="20"/>
          <w:lang w:val="en-CA"/>
        </w:rPr>
      </w:pPr>
      <w:r w:rsidRPr="009B275C">
        <w:rPr>
          <w:sz w:val="20"/>
          <w:szCs w:val="20"/>
          <w:lang w:val="en-CA"/>
        </w:rPr>
        <w:t xml:space="preserve">the protection of agricultural lands, including prime agricultural </w:t>
      </w:r>
      <w:proofErr w:type="gramStart"/>
      <w:r w:rsidRPr="009B275C">
        <w:rPr>
          <w:sz w:val="20"/>
          <w:szCs w:val="20"/>
          <w:lang w:val="en-CA"/>
        </w:rPr>
        <w:t>areas;</w:t>
      </w:r>
      <w:proofErr w:type="gramEnd"/>
    </w:p>
    <w:p w14:paraId="05B038E1" w14:textId="55D9353F" w:rsidR="00FF7D72" w:rsidRPr="009B275C" w:rsidRDefault="00FF7D72" w:rsidP="00FF7D72">
      <w:pPr>
        <w:pStyle w:val="ListParagraph"/>
        <w:numPr>
          <w:ilvl w:val="0"/>
          <w:numId w:val="30"/>
        </w:numPr>
        <w:spacing w:line="240" w:lineRule="auto"/>
        <w:ind w:left="2880" w:right="1440" w:hanging="720"/>
        <w:rPr>
          <w:sz w:val="20"/>
          <w:szCs w:val="20"/>
          <w:lang w:val="en-CA"/>
        </w:rPr>
      </w:pPr>
      <w:r w:rsidRPr="009B275C">
        <w:rPr>
          <w:sz w:val="20"/>
          <w:szCs w:val="20"/>
          <w:lang w:val="en-CA"/>
        </w:rPr>
        <w:t xml:space="preserve">the conservation of cultural heritage resources, including features of interest to First Nation and Métis </w:t>
      </w:r>
      <w:proofErr w:type="gramStart"/>
      <w:r w:rsidRPr="009B275C">
        <w:rPr>
          <w:sz w:val="20"/>
          <w:szCs w:val="20"/>
          <w:lang w:val="en-CA"/>
        </w:rPr>
        <w:t>communities;</w:t>
      </w:r>
      <w:proofErr w:type="gramEnd"/>
    </w:p>
    <w:p w14:paraId="39B58D90" w14:textId="365CFC08" w:rsidR="00FF7D72" w:rsidRPr="009B275C" w:rsidRDefault="00FF7D72" w:rsidP="00FF7D72">
      <w:pPr>
        <w:pStyle w:val="ListParagraph"/>
        <w:numPr>
          <w:ilvl w:val="0"/>
          <w:numId w:val="30"/>
        </w:numPr>
        <w:spacing w:line="240" w:lineRule="auto"/>
        <w:ind w:left="2880" w:right="1440" w:hanging="720"/>
        <w:rPr>
          <w:sz w:val="20"/>
          <w:szCs w:val="20"/>
          <w:lang w:val="en-CA"/>
        </w:rPr>
      </w:pPr>
      <w:r w:rsidRPr="009B275C">
        <w:rPr>
          <w:sz w:val="20"/>
          <w:szCs w:val="20"/>
          <w:lang w:val="en-CA"/>
        </w:rPr>
        <w:t xml:space="preserve">considerations for reductions in greenhouse gas emissions and improved resilience to the impacts of a changing </w:t>
      </w:r>
      <w:proofErr w:type="gramStart"/>
      <w:r w:rsidRPr="009B275C">
        <w:rPr>
          <w:sz w:val="20"/>
          <w:szCs w:val="20"/>
          <w:lang w:val="en-CA"/>
        </w:rPr>
        <w:t>climate;</w:t>
      </w:r>
      <w:proofErr w:type="gramEnd"/>
    </w:p>
    <w:p w14:paraId="0504ACDA" w14:textId="1C5DDBB7" w:rsidR="00FF7D72" w:rsidRPr="009B275C" w:rsidRDefault="00FF7D72" w:rsidP="00FF7D72">
      <w:pPr>
        <w:pStyle w:val="ListParagraph"/>
        <w:numPr>
          <w:ilvl w:val="0"/>
          <w:numId w:val="30"/>
        </w:numPr>
        <w:spacing w:line="240" w:lineRule="auto"/>
        <w:ind w:left="2880" w:right="1440" w:hanging="720"/>
        <w:rPr>
          <w:sz w:val="20"/>
          <w:szCs w:val="20"/>
          <w:lang w:val="en-CA"/>
        </w:rPr>
      </w:pPr>
      <w:r w:rsidRPr="009B275C">
        <w:rPr>
          <w:sz w:val="20"/>
          <w:szCs w:val="20"/>
          <w:lang w:val="en-CA"/>
        </w:rPr>
        <w:t>sustainable use of water resources for ecological and servicing needs; and</w:t>
      </w:r>
    </w:p>
    <w:p w14:paraId="25A7C6C6" w14:textId="591762F4" w:rsidR="00FF7D72" w:rsidRPr="009B275C" w:rsidRDefault="00FF7D72" w:rsidP="00FF7D72">
      <w:pPr>
        <w:pStyle w:val="ListParagraph"/>
        <w:numPr>
          <w:ilvl w:val="0"/>
          <w:numId w:val="30"/>
        </w:numPr>
        <w:spacing w:line="240" w:lineRule="auto"/>
        <w:ind w:left="2880" w:right="1440" w:hanging="720"/>
        <w:rPr>
          <w:sz w:val="20"/>
          <w:szCs w:val="20"/>
          <w:lang w:val="en-CA"/>
        </w:rPr>
      </w:pPr>
      <w:r w:rsidRPr="009B275C">
        <w:rPr>
          <w:sz w:val="20"/>
          <w:szCs w:val="20"/>
          <w:lang w:val="en-CA"/>
        </w:rPr>
        <w:t xml:space="preserve">compliance with the targets, criteria and recommendations of applicable water, wastewater and stormwater master plans, approved watershed planning and/or </w:t>
      </w:r>
      <w:proofErr w:type="spellStart"/>
      <w:r w:rsidRPr="009B275C">
        <w:rPr>
          <w:sz w:val="20"/>
          <w:szCs w:val="20"/>
          <w:lang w:val="en-CA"/>
        </w:rPr>
        <w:t>subwatershed</w:t>
      </w:r>
      <w:proofErr w:type="spellEnd"/>
      <w:r w:rsidRPr="009B275C">
        <w:rPr>
          <w:sz w:val="20"/>
          <w:szCs w:val="20"/>
          <w:lang w:val="en-CA"/>
        </w:rPr>
        <w:t xml:space="preserve"> plan in land use planning (9).</w:t>
      </w:r>
    </w:p>
    <w:p w14:paraId="5320E5AE" w14:textId="77777777" w:rsidR="00FF7D72" w:rsidRPr="009B275C" w:rsidRDefault="00FF7D72" w:rsidP="007437DE">
      <w:pPr>
        <w:pStyle w:val="ListParagraph"/>
        <w:rPr>
          <w:rFonts w:cs="Arial"/>
          <w:lang w:val="en-CA"/>
        </w:rPr>
      </w:pPr>
    </w:p>
    <w:p w14:paraId="22E4651B" w14:textId="3449C38F" w:rsidR="007437DE" w:rsidRPr="009B275C" w:rsidRDefault="00893BCB" w:rsidP="0071525F">
      <w:pPr>
        <w:numPr>
          <w:ilvl w:val="0"/>
          <w:numId w:val="1"/>
        </w:numPr>
        <w:ind w:left="0" w:firstLine="0"/>
        <w:rPr>
          <w:rFonts w:cs="Arial"/>
          <w:lang w:val="en-CA"/>
        </w:rPr>
      </w:pPr>
      <w:r w:rsidRPr="009B275C">
        <w:rPr>
          <w:lang w:val="en-CA"/>
        </w:rPr>
        <w:t>Ms. Dale-Harris brought attention and emphasized that policy 4 in s. 2.3 reads:</w:t>
      </w:r>
    </w:p>
    <w:p w14:paraId="23AD6969" w14:textId="7EE8297B" w:rsidR="007437DE" w:rsidRPr="009B275C" w:rsidRDefault="007437DE" w:rsidP="007437DE">
      <w:pPr>
        <w:rPr>
          <w:rFonts w:cs="Arial"/>
          <w:lang w:val="en-CA"/>
        </w:rPr>
      </w:pPr>
    </w:p>
    <w:p w14:paraId="676B23FA" w14:textId="5F75A45D" w:rsidR="00893BCB" w:rsidRPr="009B275C" w:rsidRDefault="00893BCB" w:rsidP="005A3928">
      <w:pPr>
        <w:spacing w:line="240" w:lineRule="auto"/>
        <w:ind w:left="1440" w:right="1530"/>
        <w:rPr>
          <w:sz w:val="20"/>
          <w:szCs w:val="20"/>
          <w:lang w:val="en-CA"/>
        </w:rPr>
      </w:pPr>
      <w:r w:rsidRPr="009B275C">
        <w:rPr>
          <w:sz w:val="20"/>
          <w:szCs w:val="20"/>
          <w:lang w:val="en-CA"/>
        </w:rPr>
        <w:t xml:space="preserve">[a]n expansion or enlargement of a building, structure or facility associated with an existing use shall be minor in proportion to the size and scale of the use, building or structure, including its related buildings and structures at the time it became an existing use as defined by this Plan. An expansion or enlargement of a building, structure or facility associated with an existing use will be considered minor where the expansion or enlargement is no more than 25 per cent of the original development footprint, </w:t>
      </w:r>
      <w:r w:rsidRPr="009B275C">
        <w:rPr>
          <w:b/>
          <w:bCs/>
          <w:sz w:val="20"/>
          <w:szCs w:val="20"/>
          <w:lang w:val="en-CA"/>
        </w:rPr>
        <w:t>unless it can be demonstrated that a greater expansion or enlargement is compatible with the site and the surrounding landscape</w:t>
      </w:r>
      <w:r w:rsidR="006F45EE">
        <w:rPr>
          <w:b/>
          <w:bCs/>
          <w:sz w:val="20"/>
          <w:szCs w:val="20"/>
          <w:lang w:val="en-CA"/>
        </w:rPr>
        <w:t>.</w:t>
      </w:r>
      <w:r w:rsidRPr="009B275C">
        <w:rPr>
          <w:sz w:val="20"/>
          <w:szCs w:val="20"/>
          <w:lang w:val="en-CA"/>
        </w:rPr>
        <w:t xml:space="preserve"> [emphasis</w:t>
      </w:r>
      <w:r w:rsidR="006F45EE">
        <w:rPr>
          <w:sz w:val="20"/>
          <w:szCs w:val="20"/>
          <w:lang w:val="en-CA"/>
        </w:rPr>
        <w:t xml:space="preserve"> added</w:t>
      </w:r>
      <w:r w:rsidRPr="009B275C">
        <w:rPr>
          <w:sz w:val="20"/>
          <w:szCs w:val="20"/>
          <w:lang w:val="en-CA"/>
        </w:rPr>
        <w:t>]</w:t>
      </w:r>
    </w:p>
    <w:p w14:paraId="55A9DA01" w14:textId="77777777" w:rsidR="00893BCB" w:rsidRPr="009B275C" w:rsidRDefault="00893BCB" w:rsidP="007437DE">
      <w:pPr>
        <w:rPr>
          <w:rFonts w:cs="Arial"/>
          <w:lang w:val="en-CA"/>
        </w:rPr>
      </w:pPr>
    </w:p>
    <w:p w14:paraId="090E0296" w14:textId="241412B5" w:rsidR="007437DE" w:rsidRPr="009B275C" w:rsidRDefault="00A84542" w:rsidP="0071525F">
      <w:pPr>
        <w:numPr>
          <w:ilvl w:val="0"/>
          <w:numId w:val="1"/>
        </w:numPr>
        <w:ind w:left="0" w:firstLine="0"/>
        <w:rPr>
          <w:rFonts w:cs="Arial"/>
          <w:lang w:val="en-CA"/>
        </w:rPr>
      </w:pPr>
      <w:r w:rsidRPr="009B275C">
        <w:rPr>
          <w:lang w:val="en-CA"/>
        </w:rPr>
        <w:t>Ms. Dale-Harris opined the Proposal has demonstrated compatibility with its surrounding area and her overall conclusion is that the Settlement Proposal conforms with relevant policies of the NEP.</w:t>
      </w:r>
    </w:p>
    <w:p w14:paraId="46D9D59C" w14:textId="77777777" w:rsidR="007437DE" w:rsidRPr="009B275C" w:rsidRDefault="007437DE" w:rsidP="007437DE">
      <w:pPr>
        <w:pStyle w:val="ListParagraph"/>
        <w:rPr>
          <w:rFonts w:cs="Arial"/>
          <w:lang w:val="en-CA"/>
        </w:rPr>
      </w:pPr>
    </w:p>
    <w:p w14:paraId="19A76BA8" w14:textId="05186F06" w:rsidR="007437DE" w:rsidRPr="009B275C" w:rsidRDefault="00A84542" w:rsidP="0071525F">
      <w:pPr>
        <w:numPr>
          <w:ilvl w:val="0"/>
          <w:numId w:val="1"/>
        </w:numPr>
        <w:ind w:left="0" w:firstLine="0"/>
        <w:rPr>
          <w:rFonts w:cs="Arial"/>
          <w:lang w:val="en-CA"/>
        </w:rPr>
      </w:pPr>
      <w:r w:rsidRPr="009B275C">
        <w:rPr>
          <w:lang w:val="en-CA"/>
        </w:rPr>
        <w:lastRenderedPageBreak/>
        <w:t>The NEC, an agency of the Provincial Government, entrusted to oversee the NEP and the protection of lands subject to the NEP provided a letter of opinion to the Tribunal on the matter (Exhibit 2).</w:t>
      </w:r>
    </w:p>
    <w:p w14:paraId="1BD0B39E" w14:textId="30878758" w:rsidR="007437DE" w:rsidRPr="009B275C" w:rsidRDefault="007437DE" w:rsidP="007437DE">
      <w:pPr>
        <w:pStyle w:val="ListParagraph"/>
        <w:rPr>
          <w:rFonts w:cs="Arial"/>
          <w:lang w:val="en-CA"/>
        </w:rPr>
      </w:pPr>
    </w:p>
    <w:p w14:paraId="6DF64562" w14:textId="2F5FF686" w:rsidR="007437DE" w:rsidRPr="009B275C" w:rsidRDefault="00A84542" w:rsidP="0071525F">
      <w:pPr>
        <w:numPr>
          <w:ilvl w:val="0"/>
          <w:numId w:val="1"/>
        </w:numPr>
        <w:ind w:left="0" w:firstLine="0"/>
        <w:rPr>
          <w:rFonts w:cs="Arial"/>
          <w:lang w:val="en-CA"/>
        </w:rPr>
      </w:pPr>
      <w:r w:rsidRPr="009B275C">
        <w:rPr>
          <w:lang w:val="en-CA"/>
        </w:rPr>
        <w:t>The NEC opinion letter and its author concurred with the opinions shared by Ms.</w:t>
      </w:r>
      <w:r w:rsidR="00AD4DC1">
        <w:rPr>
          <w:lang w:val="en-CA"/>
        </w:rPr>
        <w:t> </w:t>
      </w:r>
      <w:r w:rsidRPr="009B275C">
        <w:rPr>
          <w:lang w:val="en-CA"/>
        </w:rPr>
        <w:t>Dale-Harris that the Settlement Proposal and revisions provided and before the Tribunal are consistent and conform with the NEP.</w:t>
      </w:r>
    </w:p>
    <w:p w14:paraId="1D3EA11D" w14:textId="281689E0" w:rsidR="00EA0ACF" w:rsidRPr="009B275C" w:rsidRDefault="00EA0ACF" w:rsidP="00EA0ACF">
      <w:pPr>
        <w:rPr>
          <w:rFonts w:cs="Arial"/>
          <w:lang w:val="en-CA"/>
        </w:rPr>
      </w:pPr>
    </w:p>
    <w:p w14:paraId="03B426DA" w14:textId="010B307E" w:rsidR="00164786" w:rsidRPr="009B275C" w:rsidRDefault="00164786" w:rsidP="00EA0ACF">
      <w:pPr>
        <w:rPr>
          <w:rFonts w:cs="Arial"/>
          <w:lang w:val="en-CA"/>
        </w:rPr>
      </w:pPr>
      <w:r w:rsidRPr="009B275C">
        <w:rPr>
          <w:b/>
          <w:lang w:val="en-CA"/>
        </w:rPr>
        <w:t>Urban Hamilton Official Plan</w:t>
      </w:r>
    </w:p>
    <w:p w14:paraId="798E4EB9" w14:textId="77777777" w:rsidR="00164786" w:rsidRPr="009B275C" w:rsidRDefault="00164786" w:rsidP="00EA0ACF">
      <w:pPr>
        <w:rPr>
          <w:rFonts w:cs="Arial"/>
          <w:lang w:val="en-CA"/>
        </w:rPr>
      </w:pPr>
    </w:p>
    <w:p w14:paraId="41B6C670" w14:textId="187DC7F3" w:rsidR="00EA0ACF" w:rsidRPr="009B275C" w:rsidRDefault="00164786" w:rsidP="0071525F">
      <w:pPr>
        <w:numPr>
          <w:ilvl w:val="0"/>
          <w:numId w:val="1"/>
        </w:numPr>
        <w:ind w:left="0" w:firstLine="0"/>
        <w:rPr>
          <w:rFonts w:cs="Arial"/>
          <w:lang w:val="en-CA"/>
        </w:rPr>
      </w:pPr>
      <w:r w:rsidRPr="009B275C">
        <w:rPr>
          <w:rFonts w:cstheme="minorHAnsi"/>
          <w:lang w:val="en-CA"/>
        </w:rPr>
        <w:t xml:space="preserve">The Urban Hamilton Official Plan 2009 (the “UHOP”) sets out a long-term vision for the physical development of the City for a 30-year period and replaces the former City UHOP (1982). </w:t>
      </w:r>
      <w:r w:rsidR="0036373B">
        <w:rPr>
          <w:rFonts w:cstheme="minorHAnsi"/>
          <w:lang w:val="en-CA"/>
        </w:rPr>
        <w:t xml:space="preserve"> </w:t>
      </w:r>
      <w:r w:rsidRPr="009B275C">
        <w:rPr>
          <w:rFonts w:cstheme="minorHAnsi"/>
          <w:lang w:val="en-CA"/>
        </w:rPr>
        <w:t>As set out in s. A.1.2 of the UHOP, over the term of the UHOP, the City is expected to grow to over 660,000 residents and 300,000 jobs.</w:t>
      </w:r>
    </w:p>
    <w:p w14:paraId="32DBE66E" w14:textId="0D8A6016" w:rsidR="00EA0ACF" w:rsidRPr="009B275C" w:rsidRDefault="00EA0ACF" w:rsidP="00EA0ACF">
      <w:pPr>
        <w:pStyle w:val="ListParagraph"/>
        <w:rPr>
          <w:rFonts w:cs="Arial"/>
          <w:lang w:val="en-CA"/>
        </w:rPr>
      </w:pPr>
    </w:p>
    <w:p w14:paraId="38370C34" w14:textId="2C6C684E" w:rsidR="00EA0ACF" w:rsidRPr="009B275C" w:rsidRDefault="00164786" w:rsidP="0071525F">
      <w:pPr>
        <w:numPr>
          <w:ilvl w:val="0"/>
          <w:numId w:val="1"/>
        </w:numPr>
        <w:ind w:left="0" w:firstLine="0"/>
        <w:rPr>
          <w:rFonts w:cs="Arial"/>
          <w:lang w:val="en-CA"/>
        </w:rPr>
      </w:pPr>
      <w:r w:rsidRPr="009B275C">
        <w:rPr>
          <w:rFonts w:cstheme="minorHAnsi"/>
          <w:lang w:val="en-CA"/>
        </w:rPr>
        <w:t>The introductory text to s. B.2.4 of the UHOP, highlights that residential intensification is a key component of the City’s growth strategy and is essential to meet its population growth and employment targets.</w:t>
      </w:r>
      <w:r w:rsidRPr="009B275C">
        <w:rPr>
          <w:rFonts w:ascii="ArialMT" w:hAnsi="ArialMT" w:cs="ArialMT"/>
          <w:sz w:val="22"/>
          <w:lang w:val="en-CA"/>
        </w:rPr>
        <w:t xml:space="preserve"> </w:t>
      </w:r>
      <w:r w:rsidR="0036373B">
        <w:rPr>
          <w:rFonts w:ascii="ArialMT" w:hAnsi="ArialMT" w:cs="ArialMT"/>
          <w:sz w:val="22"/>
          <w:lang w:val="en-CA"/>
        </w:rPr>
        <w:t xml:space="preserve"> </w:t>
      </w:r>
      <w:r w:rsidRPr="009B275C">
        <w:rPr>
          <w:rFonts w:cstheme="minorHAnsi"/>
          <w:lang w:val="en-CA"/>
        </w:rPr>
        <w:t>Policy B.2.4.1.1 provides that residential intensification shall be encouraged throughout the entire built-up area, in accordance with the policies of Chapter E – Urban Systems and Designations and Chapter F – Implementation.</w:t>
      </w:r>
    </w:p>
    <w:p w14:paraId="6EF21512" w14:textId="77777777" w:rsidR="00EA0ACF" w:rsidRPr="009B275C" w:rsidRDefault="00EA0ACF" w:rsidP="00EA0ACF">
      <w:pPr>
        <w:rPr>
          <w:rFonts w:cs="Arial"/>
          <w:lang w:val="en-CA"/>
        </w:rPr>
      </w:pPr>
    </w:p>
    <w:p w14:paraId="005D1356" w14:textId="3B9D2B87" w:rsidR="00EA0ACF" w:rsidRPr="009B275C" w:rsidRDefault="00164786" w:rsidP="00164786">
      <w:pPr>
        <w:numPr>
          <w:ilvl w:val="0"/>
          <w:numId w:val="1"/>
        </w:numPr>
        <w:ind w:left="0" w:firstLine="0"/>
        <w:rPr>
          <w:rFonts w:cstheme="minorHAnsi"/>
          <w:lang w:val="en-CA"/>
        </w:rPr>
      </w:pPr>
      <w:r w:rsidRPr="009B275C">
        <w:rPr>
          <w:rFonts w:cstheme="minorHAnsi"/>
          <w:lang w:val="en-CA"/>
        </w:rPr>
        <w:t>Policy B.2.4.1.4 sets out a series of criteria by which residential intensification developments shall be evaluated, including:</w:t>
      </w:r>
    </w:p>
    <w:p w14:paraId="4A55BA93" w14:textId="179BAB1F" w:rsidR="00EA0ACF" w:rsidRPr="009B275C" w:rsidRDefault="00EA0ACF" w:rsidP="00EA0ACF">
      <w:pPr>
        <w:pStyle w:val="ListParagraph"/>
        <w:rPr>
          <w:rFonts w:cs="Arial"/>
          <w:lang w:val="en-CA"/>
        </w:rPr>
      </w:pPr>
    </w:p>
    <w:p w14:paraId="27E903A8" w14:textId="373D9601" w:rsidR="00164786" w:rsidRPr="009B275C" w:rsidRDefault="00164786" w:rsidP="000E61E3">
      <w:pPr>
        <w:pStyle w:val="ListParagraph"/>
        <w:numPr>
          <w:ilvl w:val="0"/>
          <w:numId w:val="32"/>
        </w:numPr>
        <w:spacing w:line="240" w:lineRule="auto"/>
        <w:ind w:left="2160" w:right="1440" w:hanging="720"/>
        <w:rPr>
          <w:sz w:val="20"/>
          <w:szCs w:val="20"/>
          <w:lang w:val="en-CA"/>
        </w:rPr>
      </w:pPr>
      <w:r w:rsidRPr="009B275C">
        <w:rPr>
          <w:sz w:val="20"/>
          <w:szCs w:val="20"/>
          <w:lang w:val="en-CA"/>
        </w:rPr>
        <w:t xml:space="preserve">a balanced evaluation of the </w:t>
      </w:r>
      <w:proofErr w:type="gramStart"/>
      <w:r w:rsidRPr="009B275C">
        <w:rPr>
          <w:sz w:val="20"/>
          <w:szCs w:val="20"/>
          <w:lang w:val="en-CA"/>
        </w:rPr>
        <w:t>criteria;</w:t>
      </w:r>
      <w:proofErr w:type="gramEnd"/>
    </w:p>
    <w:p w14:paraId="19F95BDE" w14:textId="49F07F7D" w:rsidR="00164786" w:rsidRPr="009B275C" w:rsidRDefault="00164786" w:rsidP="000E61E3">
      <w:pPr>
        <w:pStyle w:val="ListParagraph"/>
        <w:numPr>
          <w:ilvl w:val="0"/>
          <w:numId w:val="32"/>
        </w:numPr>
        <w:spacing w:line="240" w:lineRule="auto"/>
        <w:ind w:left="2160" w:right="1440" w:hanging="720"/>
        <w:rPr>
          <w:sz w:val="20"/>
          <w:szCs w:val="20"/>
          <w:lang w:val="en-CA"/>
        </w:rPr>
      </w:pPr>
      <w:r w:rsidRPr="009B275C">
        <w:rPr>
          <w:sz w:val="20"/>
          <w:szCs w:val="20"/>
          <w:lang w:val="en-CA"/>
        </w:rPr>
        <w:t xml:space="preserve">the relationship of the proposal to existing neighbourhood character so that it maintains, and where possible, enhances and builds upon desirable established patterns and built </w:t>
      </w:r>
      <w:proofErr w:type="gramStart"/>
      <w:r w:rsidRPr="009B275C">
        <w:rPr>
          <w:sz w:val="20"/>
          <w:szCs w:val="20"/>
          <w:lang w:val="en-CA"/>
        </w:rPr>
        <w:t>form;</w:t>
      </w:r>
      <w:proofErr w:type="gramEnd"/>
    </w:p>
    <w:p w14:paraId="2F164D9A" w14:textId="2AD88C4C" w:rsidR="00164786" w:rsidRPr="009B275C" w:rsidRDefault="00164786" w:rsidP="000E61E3">
      <w:pPr>
        <w:pStyle w:val="ListParagraph"/>
        <w:numPr>
          <w:ilvl w:val="0"/>
          <w:numId w:val="32"/>
        </w:numPr>
        <w:spacing w:line="240" w:lineRule="auto"/>
        <w:ind w:left="2160" w:right="1440" w:hanging="720"/>
        <w:rPr>
          <w:sz w:val="20"/>
          <w:szCs w:val="20"/>
          <w:lang w:val="en-CA"/>
        </w:rPr>
      </w:pPr>
      <w:r w:rsidRPr="009B275C">
        <w:rPr>
          <w:sz w:val="20"/>
          <w:szCs w:val="20"/>
          <w:lang w:val="en-CA"/>
        </w:rPr>
        <w:t xml:space="preserve">the development’s contribution to maintaining and achieving a range of dwelling types and </w:t>
      </w:r>
      <w:proofErr w:type="gramStart"/>
      <w:r w:rsidRPr="009B275C">
        <w:rPr>
          <w:sz w:val="20"/>
          <w:szCs w:val="20"/>
          <w:lang w:val="en-CA"/>
        </w:rPr>
        <w:t>tenures;</w:t>
      </w:r>
      <w:proofErr w:type="gramEnd"/>
    </w:p>
    <w:p w14:paraId="589B81B1" w14:textId="1F8BB316" w:rsidR="00164786" w:rsidRPr="009B275C" w:rsidRDefault="00164786" w:rsidP="000E61E3">
      <w:pPr>
        <w:pStyle w:val="ListParagraph"/>
        <w:numPr>
          <w:ilvl w:val="0"/>
          <w:numId w:val="32"/>
        </w:numPr>
        <w:spacing w:line="240" w:lineRule="auto"/>
        <w:ind w:left="2160" w:right="1440" w:hanging="720"/>
        <w:rPr>
          <w:sz w:val="20"/>
          <w:szCs w:val="20"/>
          <w:lang w:val="en-CA"/>
        </w:rPr>
      </w:pPr>
      <w:r w:rsidRPr="009B275C">
        <w:rPr>
          <w:sz w:val="20"/>
          <w:szCs w:val="20"/>
          <w:lang w:val="en-CA"/>
        </w:rPr>
        <w:t xml:space="preserve">the compatible integration of the development with the surrounding area in terms of use, scale, </w:t>
      </w:r>
      <w:proofErr w:type="gramStart"/>
      <w:r w:rsidRPr="009B275C">
        <w:rPr>
          <w:sz w:val="20"/>
          <w:szCs w:val="20"/>
          <w:lang w:val="en-CA"/>
        </w:rPr>
        <w:t>form</w:t>
      </w:r>
      <w:proofErr w:type="gramEnd"/>
      <w:r w:rsidRPr="009B275C">
        <w:rPr>
          <w:sz w:val="20"/>
          <w:szCs w:val="20"/>
          <w:lang w:val="en-CA"/>
        </w:rPr>
        <w:t xml:space="preserve"> and character. In this regard, the City encourages the use of innovative and creative urban design </w:t>
      </w:r>
      <w:proofErr w:type="gramStart"/>
      <w:r w:rsidRPr="009B275C">
        <w:rPr>
          <w:sz w:val="20"/>
          <w:szCs w:val="20"/>
          <w:lang w:val="en-CA"/>
        </w:rPr>
        <w:t>techniques;</w:t>
      </w:r>
      <w:proofErr w:type="gramEnd"/>
    </w:p>
    <w:p w14:paraId="73C0F409" w14:textId="32A9A00E" w:rsidR="00164786" w:rsidRPr="009B275C" w:rsidRDefault="00164786" w:rsidP="000E61E3">
      <w:pPr>
        <w:pStyle w:val="ListParagraph"/>
        <w:numPr>
          <w:ilvl w:val="0"/>
          <w:numId w:val="32"/>
        </w:numPr>
        <w:spacing w:line="240" w:lineRule="auto"/>
        <w:ind w:left="2160" w:right="1440" w:hanging="720"/>
        <w:rPr>
          <w:sz w:val="20"/>
          <w:szCs w:val="20"/>
          <w:lang w:val="en-CA"/>
        </w:rPr>
      </w:pPr>
      <w:r w:rsidRPr="009B275C">
        <w:rPr>
          <w:sz w:val="20"/>
          <w:szCs w:val="20"/>
          <w:lang w:val="en-CA"/>
        </w:rPr>
        <w:lastRenderedPageBreak/>
        <w:t xml:space="preserve">the development’s contribution to achieving the planned urban structure as described in Section E2.0 – Urban </w:t>
      </w:r>
      <w:proofErr w:type="gramStart"/>
      <w:r w:rsidRPr="009B275C">
        <w:rPr>
          <w:sz w:val="20"/>
          <w:szCs w:val="20"/>
          <w:lang w:val="en-CA"/>
        </w:rPr>
        <w:t>Structure;</w:t>
      </w:r>
      <w:proofErr w:type="gramEnd"/>
    </w:p>
    <w:p w14:paraId="4C5EF12F" w14:textId="0A153D0F" w:rsidR="00164786" w:rsidRPr="009B275C" w:rsidRDefault="00164786" w:rsidP="000E61E3">
      <w:pPr>
        <w:pStyle w:val="ListParagraph"/>
        <w:numPr>
          <w:ilvl w:val="0"/>
          <w:numId w:val="32"/>
        </w:numPr>
        <w:spacing w:line="240" w:lineRule="auto"/>
        <w:ind w:left="2160" w:right="1440" w:hanging="720"/>
        <w:rPr>
          <w:sz w:val="20"/>
          <w:szCs w:val="20"/>
          <w:lang w:val="en-CA"/>
        </w:rPr>
      </w:pPr>
      <w:r w:rsidRPr="009B275C">
        <w:rPr>
          <w:sz w:val="20"/>
          <w:szCs w:val="20"/>
          <w:lang w:val="en-CA"/>
        </w:rPr>
        <w:t>infrastructure and transportation capacity; and,</w:t>
      </w:r>
    </w:p>
    <w:p w14:paraId="715771E9" w14:textId="41B6567D" w:rsidR="00164786" w:rsidRPr="009B275C" w:rsidRDefault="00164786" w:rsidP="000E61E3">
      <w:pPr>
        <w:pStyle w:val="ListParagraph"/>
        <w:numPr>
          <w:ilvl w:val="0"/>
          <w:numId w:val="32"/>
        </w:numPr>
        <w:spacing w:line="240" w:lineRule="auto"/>
        <w:ind w:left="2160" w:right="1440" w:hanging="720"/>
        <w:rPr>
          <w:sz w:val="20"/>
          <w:szCs w:val="20"/>
          <w:lang w:val="en-CA"/>
        </w:rPr>
      </w:pPr>
      <w:r w:rsidRPr="009B275C">
        <w:rPr>
          <w:sz w:val="20"/>
          <w:szCs w:val="20"/>
          <w:lang w:val="en-CA"/>
        </w:rPr>
        <w:t>the ability of the development to comply with all applicable policies.</w:t>
      </w:r>
    </w:p>
    <w:p w14:paraId="0896A3BA" w14:textId="77777777" w:rsidR="00164786" w:rsidRPr="009B275C" w:rsidRDefault="00164786" w:rsidP="00EA0ACF">
      <w:pPr>
        <w:pStyle w:val="ListParagraph"/>
        <w:rPr>
          <w:rFonts w:cs="Arial"/>
          <w:lang w:val="en-CA"/>
        </w:rPr>
      </w:pPr>
    </w:p>
    <w:p w14:paraId="07E07E30" w14:textId="35B3C22F" w:rsidR="00EA0ACF" w:rsidRPr="009B275C" w:rsidRDefault="00E8184A" w:rsidP="0071525F">
      <w:pPr>
        <w:numPr>
          <w:ilvl w:val="0"/>
          <w:numId w:val="1"/>
        </w:numPr>
        <w:ind w:left="0" w:firstLine="0"/>
        <w:rPr>
          <w:rFonts w:cs="Arial"/>
          <w:lang w:val="en-CA"/>
        </w:rPr>
      </w:pPr>
      <w:r w:rsidRPr="009B275C">
        <w:rPr>
          <w:rFonts w:cstheme="minorHAnsi"/>
          <w:lang w:val="en-CA"/>
        </w:rPr>
        <w:t>When considering an application for a residential intensification development within the Neighbourhoods area, s. B.2.4.2.2 directs that the following matters be evaluated:</w:t>
      </w:r>
    </w:p>
    <w:p w14:paraId="0998B73B" w14:textId="6ADB2B62" w:rsidR="00EA0ACF" w:rsidRPr="009B275C" w:rsidRDefault="00EA0ACF" w:rsidP="00E8184A">
      <w:pPr>
        <w:rPr>
          <w:lang w:val="en-CA"/>
        </w:rPr>
      </w:pPr>
    </w:p>
    <w:p w14:paraId="4679902E" w14:textId="405905E4"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the matters listed in Policy B.2.4.</w:t>
      </w:r>
      <w:proofErr w:type="gramStart"/>
      <w:r w:rsidRPr="009B275C">
        <w:rPr>
          <w:sz w:val="20"/>
          <w:szCs w:val="20"/>
          <w:lang w:val="en-CA"/>
        </w:rPr>
        <w:t>1.4;</w:t>
      </w:r>
      <w:proofErr w:type="gramEnd"/>
    </w:p>
    <w:p w14:paraId="6291FC6C" w14:textId="514485A3"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 xml:space="preserve">compatibility with adjacent land uses including matters such as shadowing, overlook, noise, lighting, traffic and </w:t>
      </w:r>
      <w:proofErr w:type="gramStart"/>
      <w:r w:rsidRPr="009B275C">
        <w:rPr>
          <w:sz w:val="20"/>
          <w:szCs w:val="20"/>
          <w:lang w:val="en-CA"/>
        </w:rPr>
        <w:t>other</w:t>
      </w:r>
      <w:proofErr w:type="gramEnd"/>
      <w:r w:rsidRPr="009B275C">
        <w:rPr>
          <w:sz w:val="20"/>
          <w:szCs w:val="20"/>
          <w:lang w:val="en-CA"/>
        </w:rPr>
        <w:t xml:space="preserve"> nuisance effects;</w:t>
      </w:r>
    </w:p>
    <w:p w14:paraId="74D05DBC" w14:textId="007DC036"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 xml:space="preserve">the relationship of the proposed building(s) with the height, massing, and scale of nearby residential </w:t>
      </w:r>
      <w:proofErr w:type="gramStart"/>
      <w:r w:rsidRPr="009B275C">
        <w:rPr>
          <w:sz w:val="20"/>
          <w:szCs w:val="20"/>
          <w:lang w:val="en-CA"/>
        </w:rPr>
        <w:t>buildings;</w:t>
      </w:r>
      <w:proofErr w:type="gramEnd"/>
    </w:p>
    <w:p w14:paraId="78A8E217" w14:textId="7E92A80A"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 xml:space="preserve">the considerations of transitions in height and density to adjacent residential </w:t>
      </w:r>
      <w:proofErr w:type="gramStart"/>
      <w:r w:rsidRPr="009B275C">
        <w:rPr>
          <w:sz w:val="20"/>
          <w:szCs w:val="20"/>
          <w:lang w:val="en-CA"/>
        </w:rPr>
        <w:t>buildings;</w:t>
      </w:r>
      <w:proofErr w:type="gramEnd"/>
    </w:p>
    <w:p w14:paraId="68FFACC4" w14:textId="3F6488E3"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 xml:space="preserve">the relationship of the proposed lot(s) with the lot pattern and configuration within the </w:t>
      </w:r>
      <w:proofErr w:type="gramStart"/>
      <w:r w:rsidRPr="009B275C">
        <w:rPr>
          <w:sz w:val="20"/>
          <w:szCs w:val="20"/>
          <w:lang w:val="en-CA"/>
        </w:rPr>
        <w:t>neighbourhood;</w:t>
      </w:r>
      <w:proofErr w:type="gramEnd"/>
    </w:p>
    <w:p w14:paraId="4697D886" w14:textId="2AFB9CEE"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 xml:space="preserve">the provision of amenity space and the relationship to existing patterns of private and public amenity </w:t>
      </w:r>
      <w:proofErr w:type="gramStart"/>
      <w:r w:rsidRPr="009B275C">
        <w:rPr>
          <w:sz w:val="20"/>
          <w:szCs w:val="20"/>
          <w:lang w:val="en-CA"/>
        </w:rPr>
        <w:t>space;</w:t>
      </w:r>
      <w:proofErr w:type="gramEnd"/>
    </w:p>
    <w:p w14:paraId="065E6D8C" w14:textId="2312BB30"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 xml:space="preserve">the ability to respect and maintain or enhance the streetscape patterns including block lengths, setbacks and building </w:t>
      </w:r>
      <w:proofErr w:type="gramStart"/>
      <w:r w:rsidRPr="009B275C">
        <w:rPr>
          <w:sz w:val="20"/>
          <w:szCs w:val="20"/>
          <w:lang w:val="en-CA"/>
        </w:rPr>
        <w:t>separations;</w:t>
      </w:r>
      <w:proofErr w:type="gramEnd"/>
    </w:p>
    <w:p w14:paraId="6F9D4EFA" w14:textId="4D130F7C"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 xml:space="preserve">the ability to complement the existing functions of the </w:t>
      </w:r>
      <w:proofErr w:type="gramStart"/>
      <w:r w:rsidRPr="009B275C">
        <w:rPr>
          <w:sz w:val="20"/>
          <w:szCs w:val="20"/>
          <w:lang w:val="en-CA"/>
        </w:rPr>
        <w:t>neighbourhood;</w:t>
      </w:r>
      <w:proofErr w:type="gramEnd"/>
    </w:p>
    <w:p w14:paraId="00EBB2BA" w14:textId="64F22A6A"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the conservation of cultural heritage resources; and,</w:t>
      </w:r>
    </w:p>
    <w:p w14:paraId="6D343E3E" w14:textId="1B7A5848" w:rsidR="00E8184A" w:rsidRPr="009B275C" w:rsidRDefault="00E8184A" w:rsidP="00E8184A">
      <w:pPr>
        <w:pStyle w:val="ListParagraph"/>
        <w:numPr>
          <w:ilvl w:val="0"/>
          <w:numId w:val="33"/>
        </w:numPr>
        <w:spacing w:line="240" w:lineRule="auto"/>
        <w:ind w:left="2160" w:right="1440" w:hanging="720"/>
        <w:rPr>
          <w:sz w:val="20"/>
          <w:szCs w:val="20"/>
          <w:lang w:val="en-CA"/>
        </w:rPr>
      </w:pPr>
      <w:r w:rsidRPr="009B275C">
        <w:rPr>
          <w:sz w:val="20"/>
          <w:szCs w:val="20"/>
          <w:lang w:val="en-CA"/>
        </w:rPr>
        <w:t>infrastructure and transportation capacity and impacts.</w:t>
      </w:r>
    </w:p>
    <w:p w14:paraId="2A577530" w14:textId="61EE750B" w:rsidR="00EA0ACF" w:rsidRPr="009B275C" w:rsidRDefault="00EA0ACF" w:rsidP="00EA0ACF">
      <w:pPr>
        <w:pStyle w:val="ListParagraph"/>
        <w:rPr>
          <w:rFonts w:cs="Arial"/>
          <w:lang w:val="en-CA"/>
        </w:rPr>
      </w:pPr>
    </w:p>
    <w:p w14:paraId="19847567" w14:textId="77FF33E4" w:rsidR="00EA0ACF" w:rsidRPr="009B275C" w:rsidRDefault="00E8184A" w:rsidP="0071525F">
      <w:pPr>
        <w:numPr>
          <w:ilvl w:val="0"/>
          <w:numId w:val="1"/>
        </w:numPr>
        <w:ind w:left="0" w:firstLine="0"/>
        <w:rPr>
          <w:rFonts w:cs="Arial"/>
          <w:lang w:val="en-CA"/>
        </w:rPr>
      </w:pPr>
      <w:r w:rsidRPr="009B275C">
        <w:rPr>
          <w:rFonts w:cs="Arial"/>
          <w:lang w:val="en-CA"/>
        </w:rPr>
        <w:t>Ms. Dale-Harris opined the Proposal has considered and implemented the above criteria in the Settlement Proposal before the Tribunal and in doing so conforms with these policies.</w:t>
      </w:r>
    </w:p>
    <w:p w14:paraId="7F55F30C" w14:textId="77777777" w:rsidR="00EA0ACF" w:rsidRPr="009B275C" w:rsidRDefault="00EA0ACF" w:rsidP="00EA0ACF">
      <w:pPr>
        <w:rPr>
          <w:rFonts w:cs="Arial"/>
          <w:lang w:val="en-CA"/>
        </w:rPr>
      </w:pPr>
    </w:p>
    <w:p w14:paraId="070932F8" w14:textId="7A4A46B2" w:rsidR="00EA0ACF" w:rsidRPr="009B275C" w:rsidRDefault="00E8184A" w:rsidP="0071525F">
      <w:pPr>
        <w:numPr>
          <w:ilvl w:val="0"/>
          <w:numId w:val="1"/>
        </w:numPr>
        <w:ind w:left="0" w:firstLine="0"/>
        <w:rPr>
          <w:rFonts w:cs="Arial"/>
          <w:lang w:val="en-CA"/>
        </w:rPr>
      </w:pPr>
      <w:r w:rsidRPr="009B275C">
        <w:rPr>
          <w:rFonts w:cs="Arial"/>
          <w:lang w:val="en-CA"/>
        </w:rPr>
        <w:t xml:space="preserve">Section B.3.2 of the UHOP sets out housing policies and goals to provide a </w:t>
      </w:r>
      <w:r w:rsidRPr="009B275C">
        <w:rPr>
          <w:rFonts w:cstheme="minorHAnsi"/>
          <w:lang w:val="en-CA"/>
        </w:rPr>
        <w:t>range of housing types and establish complete communities (</w:t>
      </w:r>
      <w:r w:rsidR="0036373B">
        <w:rPr>
          <w:rFonts w:cstheme="minorHAnsi"/>
          <w:lang w:val="en-CA"/>
        </w:rPr>
        <w:t xml:space="preserve">s. </w:t>
      </w:r>
      <w:r w:rsidRPr="009B275C">
        <w:rPr>
          <w:rFonts w:cstheme="minorHAnsi"/>
          <w:lang w:val="en-CA"/>
        </w:rPr>
        <w:t>B.3.2.1.2).</w:t>
      </w:r>
      <w:r w:rsidR="0036373B">
        <w:rPr>
          <w:rFonts w:cstheme="minorHAnsi"/>
          <w:lang w:val="en-CA"/>
        </w:rPr>
        <w:t xml:space="preserve"> </w:t>
      </w:r>
      <w:r w:rsidRPr="009B275C">
        <w:rPr>
          <w:rFonts w:cstheme="minorHAnsi"/>
          <w:lang w:val="en-CA"/>
        </w:rPr>
        <w:t xml:space="preserve"> All while increasing the mix and range of housing types, forms, tenures, densities, affordability levels, and housing with supports throughout the urban area of the City (</w:t>
      </w:r>
      <w:r w:rsidR="0036373B">
        <w:rPr>
          <w:rFonts w:cstheme="minorHAnsi"/>
          <w:lang w:val="en-CA"/>
        </w:rPr>
        <w:t xml:space="preserve">s. </w:t>
      </w:r>
      <w:r w:rsidRPr="009B275C">
        <w:rPr>
          <w:rFonts w:cstheme="minorHAnsi"/>
          <w:lang w:val="en-CA"/>
        </w:rPr>
        <w:t>B.3.2.1.6).</w:t>
      </w:r>
    </w:p>
    <w:p w14:paraId="765CEC85" w14:textId="6D2FE638" w:rsidR="00EA0ACF" w:rsidRDefault="00EA0ACF" w:rsidP="00EA0ACF">
      <w:pPr>
        <w:pStyle w:val="ListParagraph"/>
        <w:rPr>
          <w:rFonts w:cs="Arial"/>
          <w:lang w:val="en-CA"/>
        </w:rPr>
      </w:pPr>
    </w:p>
    <w:p w14:paraId="619FE85B" w14:textId="77777777" w:rsidR="00570362" w:rsidRPr="009B275C" w:rsidRDefault="00570362" w:rsidP="00EA0ACF">
      <w:pPr>
        <w:pStyle w:val="ListParagraph"/>
        <w:rPr>
          <w:rFonts w:cs="Arial"/>
          <w:lang w:val="en-CA"/>
        </w:rPr>
      </w:pPr>
    </w:p>
    <w:p w14:paraId="28699A9B" w14:textId="6DE50633" w:rsidR="00EA0ACF" w:rsidRPr="009B275C" w:rsidRDefault="00E8184A" w:rsidP="0071525F">
      <w:pPr>
        <w:numPr>
          <w:ilvl w:val="0"/>
          <w:numId w:val="1"/>
        </w:numPr>
        <w:ind w:left="0" w:firstLine="0"/>
        <w:rPr>
          <w:rFonts w:cs="Arial"/>
          <w:lang w:val="en-CA"/>
        </w:rPr>
      </w:pPr>
      <w:r w:rsidRPr="009B275C">
        <w:rPr>
          <w:rFonts w:cs="Arial"/>
          <w:lang w:val="en-CA"/>
        </w:rPr>
        <w:lastRenderedPageBreak/>
        <w:t>Sections B.3.2.5 deals with rental housing protection policies, and s. 3.2.5.6 as well as s.3.2.5.7 deal with demolition and redevelopment.  Ms. Dale-Harris opined the Proposal has taken careful consideration of these policies and t</w:t>
      </w:r>
      <w:r w:rsidRPr="009B275C">
        <w:rPr>
          <w:rFonts w:cstheme="minorHAnsi"/>
          <w:lang w:val="en-CA"/>
        </w:rPr>
        <w:t>he Settlement Proposal seeks to increase</w:t>
      </w:r>
      <w:r w:rsidR="007C343F">
        <w:rPr>
          <w:rFonts w:cstheme="minorHAnsi"/>
          <w:lang w:val="en-CA"/>
        </w:rPr>
        <w:t>,</w:t>
      </w:r>
      <w:r w:rsidRPr="009B275C">
        <w:rPr>
          <w:rFonts w:cstheme="minorHAnsi"/>
          <w:lang w:val="en-CA"/>
        </w:rPr>
        <w:t xml:space="preserve"> not decrease the total number of rental</w:t>
      </w:r>
      <w:r w:rsidRPr="009B275C">
        <w:rPr>
          <w:rFonts w:cs="Arial"/>
          <w:lang w:val="en-CA"/>
        </w:rPr>
        <w:t xml:space="preserve"> </w:t>
      </w:r>
      <w:r w:rsidRPr="009B275C">
        <w:rPr>
          <w:rFonts w:cstheme="minorHAnsi"/>
          <w:lang w:val="en-CA"/>
        </w:rPr>
        <w:t>apartment units on the Subject Site and to improve the existing apartment complex which</w:t>
      </w:r>
      <w:r w:rsidRPr="009B275C">
        <w:rPr>
          <w:rFonts w:cs="Arial"/>
          <w:lang w:val="en-CA"/>
        </w:rPr>
        <w:t xml:space="preserve"> </w:t>
      </w:r>
      <w:r w:rsidRPr="009B275C">
        <w:rPr>
          <w:rFonts w:cstheme="minorHAnsi"/>
          <w:lang w:val="en-CA"/>
        </w:rPr>
        <w:t xml:space="preserve">is over 80 years old. </w:t>
      </w:r>
      <w:r w:rsidR="007C343F">
        <w:rPr>
          <w:rFonts w:cstheme="minorHAnsi"/>
          <w:lang w:val="en-CA"/>
        </w:rPr>
        <w:t xml:space="preserve"> </w:t>
      </w:r>
      <w:r w:rsidRPr="009B275C">
        <w:rPr>
          <w:rFonts w:cstheme="minorHAnsi"/>
          <w:lang w:val="en-CA"/>
        </w:rPr>
        <w:t>The 35 rental units which are proposed to be demolished to permit</w:t>
      </w:r>
      <w:r w:rsidRPr="009B275C">
        <w:rPr>
          <w:rFonts w:cs="Arial"/>
          <w:lang w:val="en-CA"/>
        </w:rPr>
        <w:t xml:space="preserve"> </w:t>
      </w:r>
      <w:r w:rsidRPr="009B275C">
        <w:rPr>
          <w:rFonts w:cstheme="minorHAnsi"/>
          <w:lang w:val="en-CA"/>
        </w:rPr>
        <w:t>this redevelopment, will be replaced by new units on Subject Site, which will be built to</w:t>
      </w:r>
      <w:r w:rsidRPr="009B275C">
        <w:rPr>
          <w:rFonts w:cs="Arial"/>
          <w:lang w:val="en-CA"/>
        </w:rPr>
        <w:t xml:space="preserve"> </w:t>
      </w:r>
      <w:r w:rsidRPr="009B275C">
        <w:rPr>
          <w:rFonts w:cstheme="minorHAnsi"/>
          <w:lang w:val="en-CA"/>
        </w:rPr>
        <w:t>current standards, and result in a net gain of 188 rental apartment</w:t>
      </w:r>
      <w:r w:rsidRPr="009B275C">
        <w:rPr>
          <w:rFonts w:cs="Arial"/>
          <w:lang w:val="en-CA"/>
        </w:rPr>
        <w:t xml:space="preserve"> </w:t>
      </w:r>
      <w:r w:rsidRPr="009B275C">
        <w:rPr>
          <w:rFonts w:cstheme="minorHAnsi"/>
          <w:lang w:val="en-CA"/>
        </w:rPr>
        <w:t xml:space="preserve">units. </w:t>
      </w:r>
      <w:r w:rsidR="007C343F">
        <w:rPr>
          <w:rFonts w:cstheme="minorHAnsi"/>
          <w:lang w:val="en-CA"/>
        </w:rPr>
        <w:t xml:space="preserve"> </w:t>
      </w:r>
      <w:r w:rsidRPr="009B275C">
        <w:rPr>
          <w:rFonts w:cstheme="minorHAnsi"/>
          <w:lang w:val="en-CA"/>
        </w:rPr>
        <w:t>Therefore, in Ms. Dale-Harris’ opinion</w:t>
      </w:r>
      <w:r w:rsidR="007C343F">
        <w:rPr>
          <w:rFonts w:cstheme="minorHAnsi"/>
          <w:lang w:val="en-CA"/>
        </w:rPr>
        <w:t>,</w:t>
      </w:r>
      <w:r w:rsidRPr="009B275C">
        <w:rPr>
          <w:rFonts w:cstheme="minorHAnsi"/>
          <w:lang w:val="en-CA"/>
        </w:rPr>
        <w:t xml:space="preserve"> s. 3.2.5.6 criteria </w:t>
      </w:r>
      <w:proofErr w:type="gramStart"/>
      <w:r w:rsidRPr="009B275C">
        <w:rPr>
          <w:rFonts w:cstheme="minorHAnsi"/>
          <w:lang w:val="en-CA"/>
        </w:rPr>
        <w:t>does</w:t>
      </w:r>
      <w:proofErr w:type="gramEnd"/>
      <w:r w:rsidRPr="009B275C">
        <w:rPr>
          <w:rFonts w:cstheme="minorHAnsi"/>
          <w:lang w:val="en-CA"/>
        </w:rPr>
        <w:t xml:space="preserve"> not apply to the Proposal.</w:t>
      </w:r>
    </w:p>
    <w:p w14:paraId="16DB29A0" w14:textId="70D8A16F" w:rsidR="00071B0F" w:rsidRPr="009B275C" w:rsidRDefault="00071B0F" w:rsidP="00071B0F">
      <w:pPr>
        <w:rPr>
          <w:lang w:val="en-CA"/>
        </w:rPr>
      </w:pPr>
    </w:p>
    <w:p w14:paraId="5A4C3A50" w14:textId="6066DD82" w:rsidR="00071B0F" w:rsidRPr="009B275C" w:rsidRDefault="00E8184A" w:rsidP="0071525F">
      <w:pPr>
        <w:numPr>
          <w:ilvl w:val="0"/>
          <w:numId w:val="1"/>
        </w:numPr>
        <w:ind w:left="0" w:firstLine="0"/>
        <w:rPr>
          <w:rFonts w:cs="Arial"/>
          <w:lang w:val="en-CA"/>
        </w:rPr>
      </w:pPr>
      <w:r w:rsidRPr="009B275C">
        <w:rPr>
          <w:rFonts w:cs="Arial"/>
          <w:lang w:val="en-CA"/>
        </w:rPr>
        <w:t xml:space="preserve">Further, and quite significant in Ms. Dale-Harris’ opinion, is that the Appellant </w:t>
      </w:r>
      <w:r w:rsidRPr="009B275C">
        <w:rPr>
          <w:rFonts w:cstheme="minorHAnsi"/>
          <w:lang w:val="en-CA"/>
        </w:rPr>
        <w:t>has agreed to address any issues related to the rehousing of tenants who are</w:t>
      </w:r>
      <w:r w:rsidRPr="009B275C">
        <w:rPr>
          <w:rFonts w:cs="Arial"/>
          <w:lang w:val="en-CA"/>
        </w:rPr>
        <w:t xml:space="preserve"> </w:t>
      </w:r>
      <w:r w:rsidRPr="009B275C">
        <w:rPr>
          <w:rFonts w:cstheme="minorHAnsi"/>
          <w:lang w:val="en-CA"/>
        </w:rPr>
        <w:t>displaced due to the proposed demolition of the 35 rental units through a Tenant</w:t>
      </w:r>
      <w:r w:rsidRPr="009B275C">
        <w:rPr>
          <w:rFonts w:cs="Arial"/>
          <w:lang w:val="en-CA"/>
        </w:rPr>
        <w:t xml:space="preserve"> </w:t>
      </w:r>
      <w:r w:rsidRPr="009B275C">
        <w:rPr>
          <w:rFonts w:cstheme="minorHAnsi"/>
          <w:lang w:val="en-CA"/>
        </w:rPr>
        <w:t xml:space="preserve">Relocation Plan that is to be prepared and implemented to the satisfaction of the City. </w:t>
      </w:r>
      <w:r w:rsidR="006E0DA4">
        <w:rPr>
          <w:rFonts w:cstheme="minorHAnsi"/>
          <w:lang w:val="en-CA"/>
        </w:rPr>
        <w:t xml:space="preserve"> </w:t>
      </w:r>
      <w:r w:rsidRPr="009B275C">
        <w:rPr>
          <w:rFonts w:cstheme="minorHAnsi"/>
          <w:lang w:val="en-CA"/>
        </w:rPr>
        <w:t>This</w:t>
      </w:r>
      <w:r w:rsidRPr="009B275C">
        <w:rPr>
          <w:rFonts w:cs="Arial"/>
          <w:lang w:val="en-CA"/>
        </w:rPr>
        <w:t xml:space="preserve"> </w:t>
      </w:r>
      <w:r w:rsidRPr="009B275C">
        <w:rPr>
          <w:rFonts w:cstheme="minorHAnsi"/>
          <w:lang w:val="en-CA"/>
        </w:rPr>
        <w:t>requirement is proposed to be implemented as a condition for lifting the Holding symbol</w:t>
      </w:r>
      <w:r w:rsidRPr="009B275C">
        <w:rPr>
          <w:rFonts w:cs="Arial"/>
          <w:lang w:val="en-CA"/>
        </w:rPr>
        <w:t xml:space="preserve"> </w:t>
      </w:r>
      <w:r w:rsidRPr="009B275C">
        <w:rPr>
          <w:rFonts w:cstheme="minorHAnsi"/>
          <w:lang w:val="en-CA"/>
        </w:rPr>
        <w:t>on the zoning, ensuring compliance and in consideration of public interest.</w:t>
      </w:r>
    </w:p>
    <w:p w14:paraId="62B711FF" w14:textId="77777777" w:rsidR="00071B0F" w:rsidRPr="009B275C" w:rsidRDefault="00071B0F" w:rsidP="00071B0F">
      <w:pPr>
        <w:rPr>
          <w:rFonts w:cs="Arial"/>
          <w:lang w:val="en-CA"/>
        </w:rPr>
      </w:pPr>
    </w:p>
    <w:p w14:paraId="5BFBEB00" w14:textId="62C5F0C3" w:rsidR="00071B0F" w:rsidRPr="009B275C" w:rsidRDefault="00E8184A" w:rsidP="0071525F">
      <w:pPr>
        <w:numPr>
          <w:ilvl w:val="0"/>
          <w:numId w:val="1"/>
        </w:numPr>
        <w:ind w:left="0" w:firstLine="0"/>
        <w:rPr>
          <w:rFonts w:cs="Arial"/>
          <w:lang w:val="en-CA"/>
        </w:rPr>
      </w:pPr>
      <w:r w:rsidRPr="009B275C">
        <w:rPr>
          <w:rFonts w:cs="Arial"/>
          <w:lang w:val="en-CA"/>
        </w:rPr>
        <w:t>Providing her summary opinion on the Settlement Proposal’s conformity with the UHOP, Ms. Dale-Harris opined that all relevant sections have been considered and the Proposal conforms overall with the UHOP.</w:t>
      </w:r>
      <w:r w:rsidR="00AB6BAC">
        <w:rPr>
          <w:rFonts w:cs="Arial"/>
          <w:lang w:val="en-CA"/>
        </w:rPr>
        <w:t xml:space="preserve"> </w:t>
      </w:r>
      <w:r w:rsidRPr="009B275C">
        <w:rPr>
          <w:rFonts w:cs="Arial"/>
          <w:lang w:val="en-CA"/>
        </w:rPr>
        <w:t xml:space="preserve"> While again noting, the inclusion of the Holding symbol on the zoning is a mechanism that ensures conformity and protects the public interest.</w:t>
      </w:r>
    </w:p>
    <w:p w14:paraId="20FE0707" w14:textId="6FB6A8CC" w:rsidR="00071B0F" w:rsidRPr="009B275C" w:rsidRDefault="00071B0F" w:rsidP="00071B0F">
      <w:pPr>
        <w:pStyle w:val="ListParagraph"/>
        <w:rPr>
          <w:rFonts w:cs="Arial"/>
          <w:lang w:val="en-CA"/>
        </w:rPr>
      </w:pPr>
    </w:p>
    <w:p w14:paraId="4D768CAD" w14:textId="6DC8D776" w:rsidR="00E8184A" w:rsidRPr="009B275C" w:rsidRDefault="00E8184A" w:rsidP="00071B0F">
      <w:pPr>
        <w:pStyle w:val="ListParagraph"/>
        <w:rPr>
          <w:rFonts w:cs="Arial"/>
          <w:lang w:val="en-CA"/>
        </w:rPr>
      </w:pPr>
      <w:r w:rsidRPr="009B275C">
        <w:rPr>
          <w:rFonts w:cstheme="minorHAnsi"/>
          <w:b/>
          <w:bCs/>
          <w:lang w:val="en-CA"/>
        </w:rPr>
        <w:t>Stinson Neighbourhood Plan</w:t>
      </w:r>
    </w:p>
    <w:p w14:paraId="03845D76" w14:textId="77777777" w:rsidR="00E8184A" w:rsidRPr="009B275C" w:rsidRDefault="00E8184A" w:rsidP="00071B0F">
      <w:pPr>
        <w:pStyle w:val="ListParagraph"/>
        <w:rPr>
          <w:rFonts w:cs="Arial"/>
          <w:lang w:val="en-CA"/>
        </w:rPr>
      </w:pPr>
    </w:p>
    <w:p w14:paraId="03C7BF2E" w14:textId="3F2F76A7" w:rsidR="00071B0F" w:rsidRPr="009B275C" w:rsidRDefault="00E8184A" w:rsidP="0071525F">
      <w:pPr>
        <w:numPr>
          <w:ilvl w:val="0"/>
          <w:numId w:val="1"/>
        </w:numPr>
        <w:ind w:left="0" w:firstLine="0"/>
        <w:rPr>
          <w:rFonts w:cs="Arial"/>
          <w:lang w:val="en-CA"/>
        </w:rPr>
      </w:pPr>
      <w:r w:rsidRPr="009B275C">
        <w:rPr>
          <w:rFonts w:cstheme="minorHAnsi"/>
          <w:lang w:val="en-CA"/>
        </w:rPr>
        <w:t xml:space="preserve">Starting in the early 1970s, the City undertook neighbourhood planning exercises throughout the City </w:t>
      </w:r>
      <w:proofErr w:type="gramStart"/>
      <w:r w:rsidRPr="009B275C">
        <w:rPr>
          <w:rFonts w:cstheme="minorHAnsi"/>
          <w:lang w:val="en-CA"/>
        </w:rPr>
        <w:t>in order to</w:t>
      </w:r>
      <w:proofErr w:type="gramEnd"/>
      <w:r w:rsidRPr="009B275C">
        <w:rPr>
          <w:rFonts w:cstheme="minorHAnsi"/>
          <w:lang w:val="en-CA"/>
        </w:rPr>
        <w:t xml:space="preserve"> provide for future development of small areas or neighbourhoods. </w:t>
      </w:r>
      <w:r w:rsidR="008E3C86">
        <w:rPr>
          <w:rFonts w:cstheme="minorHAnsi"/>
          <w:lang w:val="en-CA"/>
        </w:rPr>
        <w:t xml:space="preserve"> </w:t>
      </w:r>
      <w:r w:rsidRPr="009B275C">
        <w:rPr>
          <w:rFonts w:cstheme="minorHAnsi"/>
          <w:lang w:val="en-CA"/>
        </w:rPr>
        <w:t xml:space="preserve">These neighbourhood plans exist for over 70 of the 137 neighbourhoods in the City and are intended to provide detailed information about land uses and policies relevant to that specific area. </w:t>
      </w:r>
      <w:r w:rsidR="008E3C86">
        <w:rPr>
          <w:rFonts w:cstheme="minorHAnsi"/>
          <w:lang w:val="en-CA"/>
        </w:rPr>
        <w:t xml:space="preserve"> </w:t>
      </w:r>
      <w:r w:rsidRPr="009B275C">
        <w:rPr>
          <w:rFonts w:cstheme="minorHAnsi"/>
          <w:lang w:val="en-CA"/>
        </w:rPr>
        <w:t xml:space="preserve">The Subject Site falls within the area referred to as the Stinson Neighbourhood. </w:t>
      </w:r>
      <w:r w:rsidR="008E3C86">
        <w:rPr>
          <w:rFonts w:cstheme="minorHAnsi"/>
          <w:lang w:val="en-CA"/>
        </w:rPr>
        <w:t xml:space="preserve"> </w:t>
      </w:r>
      <w:r w:rsidRPr="009B275C">
        <w:rPr>
          <w:rFonts w:cstheme="minorHAnsi"/>
          <w:lang w:val="en-CA"/>
        </w:rPr>
        <w:t xml:space="preserve">The original Stinson Neighbourhood Plan </w:t>
      </w:r>
      <w:r w:rsidRPr="009B275C">
        <w:rPr>
          <w:rFonts w:cstheme="minorHAnsi"/>
          <w:lang w:val="en-CA"/>
        </w:rPr>
        <w:lastRenderedPageBreak/>
        <w:t xml:space="preserve">(the “SNP”) was endorsed by Council on June 24, 1975. </w:t>
      </w:r>
      <w:r w:rsidR="008E3C86">
        <w:rPr>
          <w:rFonts w:cstheme="minorHAnsi"/>
          <w:lang w:val="en-CA"/>
        </w:rPr>
        <w:t xml:space="preserve"> </w:t>
      </w:r>
      <w:r w:rsidRPr="009B275C">
        <w:rPr>
          <w:rFonts w:cstheme="minorHAnsi"/>
          <w:lang w:val="en-CA"/>
        </w:rPr>
        <w:t>In 1998</w:t>
      </w:r>
      <w:r w:rsidR="008E3C86">
        <w:rPr>
          <w:rFonts w:cstheme="minorHAnsi"/>
          <w:lang w:val="en-CA"/>
        </w:rPr>
        <w:t>,</w:t>
      </w:r>
      <w:r w:rsidRPr="009B275C">
        <w:rPr>
          <w:rFonts w:cstheme="minorHAnsi"/>
          <w:lang w:val="en-CA"/>
        </w:rPr>
        <w:t xml:space="preserve"> it was replaced by a revised version that was endorsed by Council on June 30, 1998.</w:t>
      </w:r>
    </w:p>
    <w:p w14:paraId="18046DF9" w14:textId="77777777" w:rsidR="00071B0F" w:rsidRPr="009B275C" w:rsidRDefault="00071B0F" w:rsidP="00071B0F">
      <w:pPr>
        <w:pStyle w:val="ListParagraph"/>
        <w:rPr>
          <w:rFonts w:cs="Arial"/>
          <w:lang w:val="en-CA"/>
        </w:rPr>
      </w:pPr>
    </w:p>
    <w:p w14:paraId="26BC11D2" w14:textId="6C37B5D7" w:rsidR="00071B0F" w:rsidRPr="008E3C86" w:rsidRDefault="00E8184A" w:rsidP="00737CE4">
      <w:pPr>
        <w:numPr>
          <w:ilvl w:val="0"/>
          <w:numId w:val="1"/>
        </w:numPr>
        <w:autoSpaceDE w:val="0"/>
        <w:autoSpaceDN w:val="0"/>
        <w:adjustRightInd w:val="0"/>
        <w:ind w:left="0" w:firstLine="0"/>
        <w:rPr>
          <w:rFonts w:cstheme="minorHAnsi"/>
          <w:lang w:val="en-CA"/>
        </w:rPr>
      </w:pPr>
      <w:r w:rsidRPr="008E3C86">
        <w:rPr>
          <w:rFonts w:cstheme="minorHAnsi"/>
          <w:lang w:val="en-CA"/>
        </w:rPr>
        <w:t>The SNP was prepared by the Planning and Development Department in conjunction with the Stinson Neighbourhood Plan Advisory Committee.</w:t>
      </w:r>
      <w:r w:rsidR="008E3C86" w:rsidRPr="008E3C86">
        <w:rPr>
          <w:rFonts w:cstheme="minorHAnsi"/>
          <w:lang w:val="en-CA"/>
        </w:rPr>
        <w:t xml:space="preserve"> </w:t>
      </w:r>
      <w:r w:rsidRPr="008E3C86">
        <w:rPr>
          <w:rFonts w:cstheme="minorHAnsi"/>
          <w:lang w:val="en-CA"/>
        </w:rPr>
        <w:t xml:space="preserve"> It provides a guide for future development and redevelopment in Stinson for the next 20-25</w:t>
      </w:r>
      <w:r w:rsidR="008E3C86">
        <w:rPr>
          <w:rFonts w:cstheme="minorHAnsi"/>
          <w:lang w:val="en-CA"/>
        </w:rPr>
        <w:t xml:space="preserve"> </w:t>
      </w:r>
      <w:r w:rsidRPr="008E3C86">
        <w:rPr>
          <w:rFonts w:cstheme="minorHAnsi"/>
          <w:lang w:val="en-CA"/>
        </w:rPr>
        <w:t xml:space="preserve">years. </w:t>
      </w:r>
      <w:r w:rsidR="008E3C86">
        <w:rPr>
          <w:rFonts w:cstheme="minorHAnsi"/>
          <w:lang w:val="en-CA"/>
        </w:rPr>
        <w:t xml:space="preserve"> </w:t>
      </w:r>
      <w:r w:rsidRPr="008E3C86">
        <w:rPr>
          <w:rFonts w:cstheme="minorHAnsi"/>
          <w:lang w:val="en-CA"/>
        </w:rPr>
        <w:t>The executive summary points out that this plan is intended to be flexible, and can be modified to accommodate unanticipated changes, should they be considered appropriate.</w:t>
      </w:r>
    </w:p>
    <w:p w14:paraId="3A82007A" w14:textId="285916EC" w:rsidR="00071B0F" w:rsidRPr="009B275C" w:rsidRDefault="00071B0F" w:rsidP="00071B0F">
      <w:pPr>
        <w:pStyle w:val="ListParagraph"/>
        <w:rPr>
          <w:rFonts w:cs="Arial"/>
          <w:lang w:val="en-CA"/>
        </w:rPr>
      </w:pPr>
    </w:p>
    <w:p w14:paraId="6A041AB8" w14:textId="08B6CC41" w:rsidR="00071B0F" w:rsidRPr="009B275C" w:rsidRDefault="00E8184A" w:rsidP="0071525F">
      <w:pPr>
        <w:numPr>
          <w:ilvl w:val="0"/>
          <w:numId w:val="1"/>
        </w:numPr>
        <w:ind w:left="0" w:firstLine="0"/>
        <w:rPr>
          <w:rFonts w:cs="Arial"/>
          <w:lang w:val="en-CA"/>
        </w:rPr>
      </w:pPr>
      <w:r w:rsidRPr="009B275C">
        <w:rPr>
          <w:rFonts w:cstheme="minorHAnsi"/>
          <w:lang w:val="en-CA"/>
        </w:rPr>
        <w:t>Ms. Dale-Harris opined that the Settlement Proposal conforms to the SNP and is inline and reflective of the neighbourhood character sought by the plan.</w:t>
      </w:r>
    </w:p>
    <w:p w14:paraId="000231E2" w14:textId="6143FC59" w:rsidR="00071B0F" w:rsidRPr="009B275C" w:rsidRDefault="00071B0F" w:rsidP="00071B0F">
      <w:pPr>
        <w:rPr>
          <w:rFonts w:cs="Arial"/>
          <w:lang w:val="en-CA"/>
        </w:rPr>
      </w:pPr>
    </w:p>
    <w:p w14:paraId="0834C877" w14:textId="120FC04A" w:rsidR="00E8184A" w:rsidRPr="009B275C" w:rsidRDefault="00E8184A" w:rsidP="00071B0F">
      <w:pPr>
        <w:rPr>
          <w:rFonts w:cs="Arial"/>
          <w:lang w:val="en-CA"/>
        </w:rPr>
      </w:pPr>
      <w:r w:rsidRPr="009B275C">
        <w:rPr>
          <w:rFonts w:cstheme="minorHAnsi"/>
          <w:b/>
          <w:bCs/>
          <w:lang w:val="en-CA"/>
        </w:rPr>
        <w:t>City of Hamilton Zoning By-law No. 6593</w:t>
      </w:r>
    </w:p>
    <w:p w14:paraId="1C189D7E" w14:textId="77777777" w:rsidR="00E8184A" w:rsidRPr="009B275C" w:rsidRDefault="00E8184A" w:rsidP="00071B0F">
      <w:pPr>
        <w:rPr>
          <w:rFonts w:cs="Arial"/>
          <w:lang w:val="en-CA"/>
        </w:rPr>
      </w:pPr>
    </w:p>
    <w:p w14:paraId="2BBB83B9" w14:textId="3047EA79" w:rsidR="00071B0F" w:rsidRPr="009B275C" w:rsidRDefault="00E8184A" w:rsidP="0071525F">
      <w:pPr>
        <w:numPr>
          <w:ilvl w:val="0"/>
          <w:numId w:val="1"/>
        </w:numPr>
        <w:ind w:left="0" w:firstLine="0"/>
        <w:rPr>
          <w:rFonts w:cs="Arial"/>
          <w:lang w:val="en-CA"/>
        </w:rPr>
      </w:pPr>
      <w:r w:rsidRPr="009B275C">
        <w:rPr>
          <w:rFonts w:cstheme="minorHAnsi"/>
          <w:lang w:val="en-CA"/>
        </w:rPr>
        <w:t xml:space="preserve">The Subject Site is zoned “E” (Multiple Dwellings, Lodges, Clubs, etc.) District under City Zoning By-law No. 6593 (the “ZBL”). </w:t>
      </w:r>
      <w:r w:rsidR="008E3C86">
        <w:rPr>
          <w:rFonts w:cstheme="minorHAnsi"/>
          <w:lang w:val="en-CA"/>
        </w:rPr>
        <w:t xml:space="preserve"> </w:t>
      </w:r>
      <w:r w:rsidRPr="009B275C">
        <w:rPr>
          <w:rFonts w:cstheme="minorHAnsi"/>
          <w:lang w:val="en-CA"/>
        </w:rPr>
        <w:t xml:space="preserve">Permitted uses in the E District include a variety of residential, institutional, </w:t>
      </w:r>
      <w:proofErr w:type="gramStart"/>
      <w:r w:rsidRPr="009B275C">
        <w:rPr>
          <w:rFonts w:cstheme="minorHAnsi"/>
          <w:lang w:val="en-CA"/>
        </w:rPr>
        <w:t>public</w:t>
      </w:r>
      <w:proofErr w:type="gramEnd"/>
      <w:r w:rsidRPr="009B275C">
        <w:rPr>
          <w:rFonts w:cstheme="minorHAnsi"/>
          <w:lang w:val="en-CA"/>
        </w:rPr>
        <w:t xml:space="preserve"> and commercial uses, including a multiple dwelling.</w:t>
      </w:r>
    </w:p>
    <w:p w14:paraId="381CA94A" w14:textId="77777777" w:rsidR="00071B0F" w:rsidRPr="009B275C" w:rsidRDefault="00071B0F" w:rsidP="00071B0F">
      <w:pPr>
        <w:pStyle w:val="ListParagraph"/>
        <w:rPr>
          <w:rFonts w:cs="Arial"/>
          <w:lang w:val="en-CA"/>
        </w:rPr>
      </w:pPr>
    </w:p>
    <w:p w14:paraId="11EFD074" w14:textId="446256FB" w:rsidR="00071B0F" w:rsidRPr="009B275C" w:rsidRDefault="00E8184A" w:rsidP="0071525F">
      <w:pPr>
        <w:numPr>
          <w:ilvl w:val="0"/>
          <w:numId w:val="1"/>
        </w:numPr>
        <w:ind w:left="0" w:firstLine="0"/>
        <w:rPr>
          <w:rFonts w:cs="Arial"/>
          <w:lang w:val="en-CA"/>
        </w:rPr>
      </w:pPr>
      <w:r w:rsidRPr="009B275C">
        <w:rPr>
          <w:rFonts w:cstheme="minorHAnsi"/>
          <w:lang w:val="en-CA"/>
        </w:rPr>
        <w:t>The Proposal seeks relief from provision 11(2)(ii) that limits the heights of buildings to 8 storeys or 26.0 m (85.3 feet), provision 11(3) which sets out a series of yard requirements, provision 11(5) which limits the Floor Area Ratio and from additional provisions (as noted in Exhibit 1, Affidavit of L. Dale-Harris).  The Subject Site requires relief from these (some in part) limitations and thus the Zoning By-law Amendment (the “ZBLA”) was sought.  In the opinion of Ms. Dale Harris, the Settlement Proposal and ZBLA before the Tribunal maintains the intent of the ZBL, and with its numerous revisions the Proposal has provided a balance of public interest and updated Provincial interest seen in the Act, PPS, Growth Plan and NEP.</w:t>
      </w:r>
    </w:p>
    <w:p w14:paraId="438238F6" w14:textId="77777777" w:rsidR="00071B0F" w:rsidRPr="009B275C" w:rsidRDefault="00071B0F" w:rsidP="00071B0F">
      <w:pPr>
        <w:pStyle w:val="ListParagraph"/>
        <w:rPr>
          <w:rFonts w:cs="Arial"/>
          <w:lang w:val="en-CA"/>
        </w:rPr>
      </w:pPr>
    </w:p>
    <w:p w14:paraId="46659E99" w14:textId="5D226CE1" w:rsidR="00071B0F" w:rsidRPr="009B275C" w:rsidRDefault="00E8184A" w:rsidP="0071525F">
      <w:pPr>
        <w:numPr>
          <w:ilvl w:val="0"/>
          <w:numId w:val="1"/>
        </w:numPr>
        <w:ind w:left="0" w:firstLine="0"/>
        <w:rPr>
          <w:rFonts w:cs="Arial"/>
          <w:lang w:val="en-CA"/>
        </w:rPr>
      </w:pPr>
      <w:r w:rsidRPr="009B275C">
        <w:rPr>
          <w:rFonts w:cstheme="minorHAnsi"/>
          <w:lang w:val="en-CA"/>
        </w:rPr>
        <w:lastRenderedPageBreak/>
        <w:t xml:space="preserve">The City is in the process of developing a new comprehensive </w:t>
      </w:r>
      <w:r w:rsidR="00E152BA">
        <w:rPr>
          <w:rFonts w:cstheme="minorHAnsi"/>
          <w:lang w:val="en-CA"/>
        </w:rPr>
        <w:t>ZBL</w:t>
      </w:r>
      <w:r w:rsidRPr="009B275C">
        <w:rPr>
          <w:rFonts w:cstheme="minorHAnsi"/>
          <w:lang w:val="en-CA"/>
        </w:rPr>
        <w:t>, ZBL No. 05-200, and is introducing this new by-law on a zone-by-zone basis.  The new ZBL is not yet in effect as it relates to the Subject Site; however, Ms. Dale-Harris opined it nevertheless provides an indication of the direction that the City is moving towards in terms of zoning standards.  Th</w:t>
      </w:r>
      <w:r w:rsidR="00E152BA">
        <w:rPr>
          <w:rFonts w:cstheme="minorHAnsi"/>
          <w:lang w:val="en-CA"/>
        </w:rPr>
        <w:t>u</w:t>
      </w:r>
      <w:r w:rsidRPr="009B275C">
        <w:rPr>
          <w:rFonts w:cstheme="minorHAnsi"/>
          <w:lang w:val="en-CA"/>
        </w:rPr>
        <w:t>s in her opinion is quite evident in numerous provisions that have been updated</w:t>
      </w:r>
      <w:r w:rsidR="00E152BA">
        <w:rPr>
          <w:rFonts w:cstheme="minorHAnsi"/>
          <w:lang w:val="en-CA"/>
        </w:rPr>
        <w:t>;</w:t>
      </w:r>
      <w:r w:rsidRPr="009B275C">
        <w:rPr>
          <w:rFonts w:cstheme="minorHAnsi"/>
          <w:lang w:val="en-CA"/>
        </w:rPr>
        <w:t xml:space="preserve"> however, she highlighted for the Tribunal the parking rate requirements and reductions that are aimed to decrease vehicular dependency and encourage public transit as well as active transportation options, are more inline with that being proposed in the Settlement Proposal than what currently exists.</w:t>
      </w:r>
    </w:p>
    <w:p w14:paraId="0810F51F" w14:textId="4423D99C" w:rsidR="00071B0F" w:rsidRPr="009B275C" w:rsidRDefault="00071B0F" w:rsidP="00071B0F">
      <w:pPr>
        <w:pStyle w:val="ListParagraph"/>
        <w:rPr>
          <w:rFonts w:cs="Arial"/>
          <w:lang w:val="en-CA"/>
        </w:rPr>
      </w:pPr>
    </w:p>
    <w:p w14:paraId="2E601D60" w14:textId="0CB7E076" w:rsidR="00E8184A" w:rsidRPr="009B275C" w:rsidRDefault="00B31983" w:rsidP="00071B0F">
      <w:pPr>
        <w:pStyle w:val="ListParagraph"/>
        <w:rPr>
          <w:rFonts w:cs="Arial"/>
          <w:lang w:val="en-CA"/>
        </w:rPr>
      </w:pPr>
      <w:r>
        <w:rPr>
          <w:rFonts w:cstheme="minorHAnsi"/>
          <w:b/>
          <w:bCs/>
          <w:lang w:val="en-CA"/>
        </w:rPr>
        <w:t xml:space="preserve">Lindsay </w:t>
      </w:r>
      <w:r w:rsidR="00E8184A" w:rsidRPr="009B275C">
        <w:rPr>
          <w:rFonts w:cstheme="minorHAnsi"/>
          <w:b/>
          <w:bCs/>
          <w:lang w:val="en-CA"/>
        </w:rPr>
        <w:t>Dale</w:t>
      </w:r>
      <w:r>
        <w:rPr>
          <w:rFonts w:cstheme="minorHAnsi"/>
          <w:b/>
          <w:bCs/>
          <w:lang w:val="en-CA"/>
        </w:rPr>
        <w:t>-</w:t>
      </w:r>
      <w:r w:rsidR="00E8184A" w:rsidRPr="009B275C">
        <w:rPr>
          <w:rFonts w:cstheme="minorHAnsi"/>
          <w:b/>
          <w:bCs/>
          <w:lang w:val="en-CA"/>
        </w:rPr>
        <w:t>Harris’ Concluding Opinions</w:t>
      </w:r>
    </w:p>
    <w:p w14:paraId="7D53F780" w14:textId="77777777" w:rsidR="00E8184A" w:rsidRPr="009B275C" w:rsidRDefault="00E8184A" w:rsidP="00071B0F">
      <w:pPr>
        <w:pStyle w:val="ListParagraph"/>
        <w:rPr>
          <w:rFonts w:cs="Arial"/>
          <w:lang w:val="en-CA"/>
        </w:rPr>
      </w:pPr>
    </w:p>
    <w:p w14:paraId="05E2C26F" w14:textId="3C702246" w:rsidR="00071B0F" w:rsidRPr="009B275C" w:rsidRDefault="00E8184A" w:rsidP="00CD38FF">
      <w:pPr>
        <w:numPr>
          <w:ilvl w:val="0"/>
          <w:numId w:val="1"/>
        </w:numPr>
        <w:ind w:left="0" w:firstLine="0"/>
        <w:rPr>
          <w:rFonts w:cs="Arial"/>
          <w:lang w:val="en-CA"/>
        </w:rPr>
      </w:pPr>
      <w:r w:rsidRPr="009B275C">
        <w:rPr>
          <w:rFonts w:cstheme="minorHAnsi"/>
          <w:lang w:val="en-CA"/>
        </w:rPr>
        <w:t>Ms. Dale-Harris concluded and summarized her opinions of the Settlement Proposal for the Tribunal and opined the Proposal represents good planning and urban design and that the proposed ZBLA is consistent with the PPS and conforms with the policies of the Growth Plan and the UHOP.</w:t>
      </w:r>
    </w:p>
    <w:p w14:paraId="3A6EB449" w14:textId="77777777" w:rsidR="00071B0F" w:rsidRPr="009B275C" w:rsidRDefault="00071B0F" w:rsidP="00071B0F">
      <w:pPr>
        <w:pStyle w:val="ListParagraph"/>
        <w:rPr>
          <w:rFonts w:cs="Arial"/>
          <w:lang w:val="en-CA"/>
        </w:rPr>
      </w:pPr>
    </w:p>
    <w:p w14:paraId="697EA437" w14:textId="71E1D923" w:rsidR="00071B0F" w:rsidRPr="009B275C" w:rsidRDefault="00E8184A" w:rsidP="0071525F">
      <w:pPr>
        <w:numPr>
          <w:ilvl w:val="0"/>
          <w:numId w:val="1"/>
        </w:numPr>
        <w:ind w:left="0" w:firstLine="0"/>
        <w:rPr>
          <w:rFonts w:cs="Arial"/>
          <w:lang w:val="en-CA"/>
        </w:rPr>
      </w:pPr>
      <w:r w:rsidRPr="009B275C">
        <w:rPr>
          <w:rFonts w:cstheme="minorHAnsi"/>
          <w:lang w:val="en-CA"/>
        </w:rPr>
        <w:t xml:space="preserve">She opined the proposed development of the Subject Site will result in residential intensification in a developed urban area that is well served by existing and planned municipal infrastructure, an objective supported by both provincial and municipal policy. </w:t>
      </w:r>
      <w:r w:rsidR="00B31983">
        <w:rPr>
          <w:rFonts w:cstheme="minorHAnsi"/>
          <w:lang w:val="en-CA"/>
        </w:rPr>
        <w:t xml:space="preserve"> </w:t>
      </w:r>
      <w:r w:rsidRPr="009B275C">
        <w:rPr>
          <w:rFonts w:cstheme="minorHAnsi"/>
          <w:lang w:val="en-CA"/>
        </w:rPr>
        <w:t>The height, massing and siting of the proposed mid-rise building have been carefully considered to ensure the building will fit harmoniously into the surrounding built form context, while safeguarding views of the Escarpment, and providing additional rental housing opportunities.</w:t>
      </w:r>
    </w:p>
    <w:p w14:paraId="79A172A5" w14:textId="77777777" w:rsidR="00071B0F" w:rsidRPr="009B275C" w:rsidRDefault="00071B0F" w:rsidP="00071B0F">
      <w:pPr>
        <w:pStyle w:val="ListParagraph"/>
        <w:rPr>
          <w:rFonts w:cs="Arial"/>
          <w:lang w:val="en-CA"/>
        </w:rPr>
      </w:pPr>
    </w:p>
    <w:p w14:paraId="78F567F1" w14:textId="20F6C2EF" w:rsidR="00071B0F" w:rsidRPr="009B275C" w:rsidRDefault="00E8184A" w:rsidP="0071525F">
      <w:pPr>
        <w:numPr>
          <w:ilvl w:val="0"/>
          <w:numId w:val="1"/>
        </w:numPr>
        <w:ind w:left="0" w:firstLine="0"/>
        <w:rPr>
          <w:rFonts w:cs="Arial"/>
          <w:lang w:val="en-CA"/>
        </w:rPr>
      </w:pPr>
      <w:r w:rsidRPr="009B275C">
        <w:rPr>
          <w:rFonts w:cstheme="minorHAnsi"/>
          <w:lang w:val="en-CA"/>
        </w:rPr>
        <w:t>In closing</w:t>
      </w:r>
      <w:r w:rsidR="00B31983">
        <w:rPr>
          <w:rFonts w:cstheme="minorHAnsi"/>
          <w:lang w:val="en-CA"/>
        </w:rPr>
        <w:t>,</w:t>
      </w:r>
      <w:r w:rsidRPr="009B275C">
        <w:rPr>
          <w:rFonts w:cstheme="minorHAnsi"/>
          <w:lang w:val="en-CA"/>
        </w:rPr>
        <w:t xml:space="preserve"> Ms. Dale</w:t>
      </w:r>
      <w:r w:rsidR="00B31983">
        <w:rPr>
          <w:rFonts w:cstheme="minorHAnsi"/>
          <w:lang w:val="en-CA"/>
        </w:rPr>
        <w:t>-</w:t>
      </w:r>
      <w:r w:rsidRPr="009B275C">
        <w:rPr>
          <w:rFonts w:cstheme="minorHAnsi"/>
          <w:lang w:val="en-CA"/>
        </w:rPr>
        <w:t xml:space="preserve">Harris recommended that the Rezoning as reflected in the Settlement Proposal and draft ZBLA be approved.  She highlighted once again for the Tribunal, that the draft ZBLA includes an “H” Holding Symbol limiting the redevelopment of the Subject Site until specific removal conditions have been satisfied. </w:t>
      </w:r>
      <w:r w:rsidR="00B31983">
        <w:rPr>
          <w:rFonts w:cstheme="minorHAnsi"/>
          <w:lang w:val="en-CA"/>
        </w:rPr>
        <w:t xml:space="preserve"> </w:t>
      </w:r>
      <w:r w:rsidRPr="009B275C">
        <w:rPr>
          <w:rFonts w:cstheme="minorHAnsi"/>
          <w:lang w:val="en-CA"/>
        </w:rPr>
        <w:t xml:space="preserve">The four conditions proposed to lift the Holding Symbol were provided for the Tribunal’s </w:t>
      </w:r>
      <w:r w:rsidRPr="009B275C">
        <w:rPr>
          <w:rFonts w:cstheme="minorHAnsi"/>
          <w:lang w:val="en-CA"/>
        </w:rPr>
        <w:lastRenderedPageBreak/>
        <w:t>consideration and Ms. Dale-Harris recommended that they be included and are in her opinion appropriate to be imposed.</w:t>
      </w:r>
    </w:p>
    <w:p w14:paraId="1E66ED30" w14:textId="77777777" w:rsidR="00852193" w:rsidRPr="009B275C" w:rsidRDefault="00852193" w:rsidP="00071B0F">
      <w:pPr>
        <w:pStyle w:val="ListParagraph"/>
        <w:rPr>
          <w:rFonts w:cs="Arial"/>
          <w:lang w:val="en-CA"/>
        </w:rPr>
      </w:pPr>
    </w:p>
    <w:p w14:paraId="2A7CE9FC" w14:textId="42E9E957" w:rsidR="00071B0F" w:rsidRPr="009B275C" w:rsidRDefault="00E8184A" w:rsidP="00071B0F">
      <w:pPr>
        <w:pStyle w:val="ListParagraph"/>
        <w:rPr>
          <w:rFonts w:cs="Arial"/>
          <w:lang w:val="en-CA"/>
        </w:rPr>
      </w:pPr>
      <w:r w:rsidRPr="009B275C">
        <w:rPr>
          <w:rFonts w:cstheme="minorHAnsi"/>
          <w:b/>
          <w:bCs/>
          <w:lang w:val="en-CA"/>
        </w:rPr>
        <w:t>Decision and Disposition</w:t>
      </w:r>
    </w:p>
    <w:p w14:paraId="6874DDB3" w14:textId="77777777" w:rsidR="00071B0F" w:rsidRPr="009B275C" w:rsidRDefault="00071B0F" w:rsidP="00071B0F">
      <w:pPr>
        <w:pStyle w:val="ListParagraph"/>
        <w:rPr>
          <w:rFonts w:cs="Arial"/>
          <w:lang w:val="en-CA"/>
        </w:rPr>
      </w:pPr>
    </w:p>
    <w:p w14:paraId="4039F2D4" w14:textId="57A77686" w:rsidR="00071B0F" w:rsidRPr="009B275C" w:rsidRDefault="00E8184A" w:rsidP="0071525F">
      <w:pPr>
        <w:numPr>
          <w:ilvl w:val="0"/>
          <w:numId w:val="1"/>
        </w:numPr>
        <w:ind w:left="0" w:firstLine="0"/>
        <w:rPr>
          <w:rFonts w:cs="Arial"/>
          <w:lang w:val="en-CA"/>
        </w:rPr>
      </w:pPr>
      <w:r w:rsidRPr="009B275C">
        <w:rPr>
          <w:lang w:val="en-CA"/>
        </w:rPr>
        <w:t>The Tribunal, having reviewed all evidence provided in Exhibits 1</w:t>
      </w:r>
      <w:r w:rsidR="00B31983">
        <w:rPr>
          <w:lang w:val="en-CA"/>
        </w:rPr>
        <w:t xml:space="preserve"> – </w:t>
      </w:r>
      <w:r w:rsidRPr="009B275C">
        <w:rPr>
          <w:lang w:val="en-CA"/>
        </w:rPr>
        <w:t xml:space="preserve">3, and having heard the opinions of Ms. Dale-Harris, accepts the uncontroverted expert land-use planning evidence provided by the witness.  The Tribunal finds that the proposed planning instruments, as it will permit the development have appropriate regard for matters of Provincial </w:t>
      </w:r>
      <w:r w:rsidR="00B31983">
        <w:rPr>
          <w:lang w:val="en-CA"/>
        </w:rPr>
        <w:t>i</w:t>
      </w:r>
      <w:r w:rsidRPr="00B31983">
        <w:rPr>
          <w:lang w:val="en-CA"/>
        </w:rPr>
        <w:t>nterest</w:t>
      </w:r>
      <w:r w:rsidRPr="009B275C">
        <w:rPr>
          <w:lang w:val="en-CA"/>
        </w:rPr>
        <w:t xml:space="preserve"> and s. 2 of the Act.  The Tribunal also finds that the ZBLA is consistent with the PPS, conform to the GP</w:t>
      </w:r>
      <w:r w:rsidR="00B31983">
        <w:rPr>
          <w:lang w:val="en-CA"/>
        </w:rPr>
        <w:t>,</w:t>
      </w:r>
      <w:r w:rsidRPr="009B275C">
        <w:rPr>
          <w:lang w:val="en-CA"/>
        </w:rPr>
        <w:t xml:space="preserve"> NEP, and the UHOP, as well as represent good land-use planning, and is in the public interest.</w:t>
      </w:r>
    </w:p>
    <w:p w14:paraId="02A284FD" w14:textId="77777777" w:rsidR="00071B0F" w:rsidRPr="009B275C" w:rsidRDefault="00071B0F" w:rsidP="00071B0F">
      <w:pPr>
        <w:rPr>
          <w:rFonts w:cs="Arial"/>
          <w:lang w:val="en-CA"/>
        </w:rPr>
      </w:pPr>
    </w:p>
    <w:p w14:paraId="76C12041" w14:textId="5E42EEBC" w:rsidR="00071B0F" w:rsidRPr="009B275C" w:rsidRDefault="00E8184A" w:rsidP="0071525F">
      <w:pPr>
        <w:numPr>
          <w:ilvl w:val="0"/>
          <w:numId w:val="1"/>
        </w:numPr>
        <w:ind w:left="0" w:firstLine="0"/>
        <w:rPr>
          <w:rFonts w:cs="Arial"/>
          <w:lang w:val="en-CA"/>
        </w:rPr>
      </w:pPr>
      <w:r w:rsidRPr="009B275C">
        <w:rPr>
          <w:lang w:val="en-CA"/>
        </w:rPr>
        <w:t>The Tribunal, having been provided evidence and having heard from Ms. Dale-Harris her recommendation that the imposition of a Holding provision be included and removed pending the fulfilment of four conditions, concurs and finds its use to be appropriate and the conditions provided acceptable.</w:t>
      </w:r>
    </w:p>
    <w:p w14:paraId="12D3346D" w14:textId="4B8F074C" w:rsidR="00071B0F" w:rsidRPr="009B275C" w:rsidRDefault="00071B0F" w:rsidP="00071B0F">
      <w:pPr>
        <w:pStyle w:val="ListParagraph"/>
        <w:rPr>
          <w:rFonts w:cs="Arial"/>
          <w:lang w:val="en-CA"/>
        </w:rPr>
      </w:pPr>
    </w:p>
    <w:p w14:paraId="4917D64F" w14:textId="0A9A100C" w:rsidR="00071B0F" w:rsidRPr="009B275C" w:rsidRDefault="00E8184A" w:rsidP="00071B0F">
      <w:pPr>
        <w:pStyle w:val="ListParagraph"/>
        <w:rPr>
          <w:rFonts w:ascii="Arial Bold" w:hAnsi="Arial Bold" w:cs="Arial"/>
          <w:caps/>
          <w:lang w:val="en-CA"/>
        </w:rPr>
      </w:pPr>
      <w:r w:rsidRPr="009B275C">
        <w:rPr>
          <w:rFonts w:ascii="Arial Bold" w:hAnsi="Arial Bold"/>
          <w:b/>
          <w:bCs/>
          <w:caps/>
          <w:lang w:val="en-CA"/>
        </w:rPr>
        <w:t>ORDER</w:t>
      </w:r>
    </w:p>
    <w:p w14:paraId="462D5BF0" w14:textId="77777777" w:rsidR="00071B0F" w:rsidRPr="009B275C" w:rsidRDefault="00071B0F" w:rsidP="00071B0F">
      <w:pPr>
        <w:pStyle w:val="ListParagraph"/>
        <w:rPr>
          <w:rFonts w:cs="Arial"/>
          <w:lang w:val="en-CA"/>
        </w:rPr>
      </w:pPr>
    </w:p>
    <w:p w14:paraId="552F4E14" w14:textId="6950E7E3" w:rsidR="00071B0F" w:rsidRPr="009B275C" w:rsidRDefault="00E8184A" w:rsidP="0071525F">
      <w:pPr>
        <w:numPr>
          <w:ilvl w:val="0"/>
          <w:numId w:val="1"/>
        </w:numPr>
        <w:ind w:left="0" w:firstLine="0"/>
        <w:rPr>
          <w:rFonts w:cs="Arial"/>
          <w:lang w:val="en-CA"/>
        </w:rPr>
      </w:pPr>
      <w:r w:rsidRPr="009B275C">
        <w:rPr>
          <w:rFonts w:cs="Arial"/>
          <w:b/>
          <w:lang w:val="en-CA"/>
        </w:rPr>
        <w:t xml:space="preserve">THE TRIBUNAL ORDERS </w:t>
      </w:r>
      <w:r w:rsidRPr="009B275C">
        <w:rPr>
          <w:rFonts w:cs="Arial"/>
          <w:lang w:val="en-CA"/>
        </w:rPr>
        <w:t>that the appeal filed by Medallion Developments (the “</w:t>
      </w:r>
      <w:r w:rsidRPr="00B31983">
        <w:rPr>
          <w:rFonts w:cs="Arial"/>
          <w:bCs/>
          <w:lang w:val="en-CA"/>
        </w:rPr>
        <w:t>Owner</w:t>
      </w:r>
      <w:r w:rsidRPr="009B275C">
        <w:rPr>
          <w:rFonts w:cs="Arial"/>
          <w:lang w:val="en-CA"/>
        </w:rPr>
        <w:t xml:space="preserve">”) for the property known as </w:t>
      </w:r>
      <w:r w:rsidRPr="009B275C">
        <w:rPr>
          <w:rFonts w:cs="Arial"/>
          <w:shd w:val="clear" w:color="auto" w:fill="FFFFFF"/>
          <w:lang w:val="en-CA"/>
        </w:rPr>
        <w:t>195 Wellington Street South, Hamilton,</w:t>
      </w:r>
      <w:r w:rsidRPr="009B275C">
        <w:rPr>
          <w:rFonts w:cs="Arial"/>
          <w:lang w:val="en-CA"/>
        </w:rPr>
        <w:t xml:space="preserve"> (the “</w:t>
      </w:r>
      <w:r w:rsidRPr="00B31983">
        <w:rPr>
          <w:rFonts w:cs="Arial"/>
          <w:bCs/>
          <w:lang w:val="en-CA"/>
        </w:rPr>
        <w:t>Subject Property</w:t>
      </w:r>
      <w:r w:rsidRPr="009B275C">
        <w:rPr>
          <w:rFonts w:cs="Arial"/>
          <w:lang w:val="en-CA"/>
        </w:rPr>
        <w:t>”) is hereby allowed</w:t>
      </w:r>
      <w:r w:rsidR="00831198">
        <w:rPr>
          <w:rFonts w:cs="Arial"/>
          <w:lang w:val="en-CA"/>
        </w:rPr>
        <w:t xml:space="preserve"> in part</w:t>
      </w:r>
      <w:r w:rsidR="00B31983">
        <w:rPr>
          <w:rFonts w:cs="Arial"/>
          <w:lang w:val="en-CA"/>
        </w:rPr>
        <w:t>.</w:t>
      </w:r>
    </w:p>
    <w:p w14:paraId="543C6B3C" w14:textId="77777777" w:rsidR="00071B0F" w:rsidRPr="009B275C" w:rsidRDefault="00071B0F" w:rsidP="00071B0F">
      <w:pPr>
        <w:rPr>
          <w:rFonts w:cs="Arial"/>
          <w:lang w:val="en-CA"/>
        </w:rPr>
      </w:pPr>
    </w:p>
    <w:p w14:paraId="077BED24" w14:textId="370E7B8C" w:rsidR="00071B0F" w:rsidRPr="009B275C" w:rsidRDefault="00E8184A" w:rsidP="0071525F">
      <w:pPr>
        <w:numPr>
          <w:ilvl w:val="0"/>
          <w:numId w:val="1"/>
        </w:numPr>
        <w:ind w:left="0" w:firstLine="0"/>
        <w:rPr>
          <w:rFonts w:cs="Arial"/>
          <w:lang w:val="en-CA"/>
        </w:rPr>
      </w:pPr>
      <w:r w:rsidRPr="009B275C">
        <w:rPr>
          <w:rFonts w:cs="Arial"/>
          <w:b/>
          <w:lang w:val="en-CA"/>
        </w:rPr>
        <w:t>THE TRIBUNAL FURTHER ORDERS</w:t>
      </w:r>
      <w:r w:rsidRPr="009B275C">
        <w:rPr>
          <w:rFonts w:cs="Arial"/>
          <w:lang w:val="en-CA"/>
        </w:rPr>
        <w:t xml:space="preserve"> that the application for zoning by-law amendment filed in respect of the Subject Property is approved and City of Hamilton Zoning By-law No. 6593 is hereby amended in accordance with the Zoning By-law Amendment attached as </w:t>
      </w:r>
      <w:r w:rsidRPr="00B31983">
        <w:rPr>
          <w:rFonts w:cs="Arial"/>
          <w:bCs/>
          <w:lang w:val="en-CA"/>
        </w:rPr>
        <w:t>Schedule “A”.</w:t>
      </w:r>
    </w:p>
    <w:p w14:paraId="49E4052A" w14:textId="77777777" w:rsidR="00071B0F" w:rsidRPr="009B275C" w:rsidRDefault="00071B0F" w:rsidP="00071B0F">
      <w:pPr>
        <w:pStyle w:val="ListParagraph"/>
        <w:rPr>
          <w:rFonts w:cs="Arial"/>
          <w:lang w:val="en-CA"/>
        </w:rPr>
      </w:pPr>
    </w:p>
    <w:p w14:paraId="54D81408" w14:textId="30F71392" w:rsidR="00E8184A" w:rsidRPr="00831198" w:rsidRDefault="00E8184A" w:rsidP="00071B0F">
      <w:pPr>
        <w:numPr>
          <w:ilvl w:val="0"/>
          <w:numId w:val="1"/>
        </w:numPr>
        <w:ind w:left="0" w:firstLine="0"/>
        <w:rPr>
          <w:rFonts w:cs="Arial"/>
          <w:lang w:val="en-CA"/>
        </w:rPr>
      </w:pPr>
      <w:r w:rsidRPr="009B275C">
        <w:rPr>
          <w:rFonts w:cs="Arial"/>
          <w:b/>
          <w:bCs/>
          <w:lang w:val="en-CA"/>
        </w:rPr>
        <w:lastRenderedPageBreak/>
        <w:t xml:space="preserve">AND THE TRIBUNAL FURTHER ORDERS </w:t>
      </w:r>
      <w:r w:rsidRPr="009B275C">
        <w:rPr>
          <w:rFonts w:cs="Arial"/>
          <w:lang w:val="en-CA"/>
        </w:rPr>
        <w:t>that no costs shall be sought or paid by or to any party in respect of this matter.  For further certainty, each party will bear its own legal and consulting costs in relation to this matter.</w:t>
      </w:r>
    </w:p>
    <w:p w14:paraId="1973F327" w14:textId="77777777" w:rsidR="00E8184A" w:rsidRPr="009B275C" w:rsidRDefault="00E8184A" w:rsidP="00071B0F">
      <w:pPr>
        <w:pStyle w:val="ListParagraph"/>
        <w:rPr>
          <w:rFonts w:cs="Arial"/>
          <w:lang w:val="en-CA"/>
        </w:rPr>
      </w:pPr>
    </w:p>
    <w:p w14:paraId="6BEF338B" w14:textId="1F2D3CDE" w:rsidR="00071B0F" w:rsidRPr="009B275C" w:rsidRDefault="00E8184A" w:rsidP="0071525F">
      <w:pPr>
        <w:numPr>
          <w:ilvl w:val="0"/>
          <w:numId w:val="1"/>
        </w:numPr>
        <w:ind w:left="0" w:firstLine="0"/>
        <w:rPr>
          <w:rFonts w:cs="Arial"/>
          <w:lang w:val="en-CA"/>
        </w:rPr>
      </w:pPr>
      <w:r w:rsidRPr="009B275C">
        <w:rPr>
          <w:rFonts w:cs="Arial"/>
          <w:lang w:val="en-CA" w:eastAsia="en-CA"/>
        </w:rPr>
        <w:t xml:space="preserve">The Member may be spoken to, at a time that is convenient to the Tribunal and the Parties, should any difficulties arise in finalizing the items set out in Schedule </w:t>
      </w:r>
      <w:r w:rsidR="00B31983">
        <w:rPr>
          <w:rFonts w:cs="Arial"/>
          <w:lang w:val="en-CA" w:eastAsia="en-CA"/>
        </w:rPr>
        <w:t>“</w:t>
      </w:r>
      <w:r w:rsidRPr="009B275C">
        <w:rPr>
          <w:rFonts w:cs="Arial"/>
          <w:lang w:val="en-CA" w:eastAsia="en-CA"/>
        </w:rPr>
        <w:t>A</w:t>
      </w:r>
      <w:r w:rsidR="00B31983">
        <w:rPr>
          <w:rFonts w:cs="Arial"/>
          <w:lang w:val="en-CA" w:eastAsia="en-CA"/>
        </w:rPr>
        <w:t>”</w:t>
      </w:r>
      <w:r w:rsidRPr="009B275C">
        <w:rPr>
          <w:rFonts w:cs="Arial"/>
          <w:lang w:val="en-CA" w:eastAsia="en-CA"/>
        </w:rPr>
        <w:t>.</w:t>
      </w:r>
    </w:p>
    <w:p w14:paraId="323A3BF9" w14:textId="4498C58F" w:rsidR="0071525F" w:rsidRPr="009B275C" w:rsidRDefault="0071525F" w:rsidP="0071525F">
      <w:pPr>
        <w:rPr>
          <w:rFonts w:cs="Arial"/>
          <w:lang w:val="en-CA"/>
        </w:rPr>
      </w:pPr>
    </w:p>
    <w:p w14:paraId="0D6EA94B" w14:textId="01B73376" w:rsidR="003609A7" w:rsidRPr="009B275C" w:rsidRDefault="003609A7" w:rsidP="009214DE">
      <w:pPr>
        <w:pStyle w:val="ListParagraph"/>
        <w:rPr>
          <w:rFonts w:cs="Arial"/>
          <w:lang w:val="en-CA"/>
        </w:rPr>
      </w:pPr>
    </w:p>
    <w:p w14:paraId="6C3DF70D" w14:textId="77777777" w:rsidR="000F4879" w:rsidRPr="009B275C" w:rsidRDefault="000F4879" w:rsidP="009214DE">
      <w:pPr>
        <w:pStyle w:val="ListParagraph"/>
        <w:rPr>
          <w:rFonts w:cs="Arial"/>
          <w:lang w:val="en-CA"/>
        </w:rPr>
      </w:pPr>
    </w:p>
    <w:bookmarkEnd w:id="2"/>
    <w:p w14:paraId="5F299044" w14:textId="347BFA9A" w:rsidR="000947B2" w:rsidRPr="009B275C" w:rsidRDefault="004F7948" w:rsidP="000947B2">
      <w:pPr>
        <w:spacing w:line="240" w:lineRule="auto"/>
        <w:jc w:val="right"/>
        <w:rPr>
          <w:rFonts w:cs="Arial"/>
          <w:i/>
          <w:lang w:val="en-CA"/>
        </w:rPr>
      </w:pPr>
      <w:r w:rsidRPr="009B275C">
        <w:rPr>
          <w:rFonts w:cs="Arial"/>
          <w:i/>
          <w:lang w:val="en-CA"/>
        </w:rPr>
        <w:t>“</w:t>
      </w:r>
      <w:r w:rsidR="007437DE" w:rsidRPr="009B275C">
        <w:rPr>
          <w:rFonts w:cs="Arial"/>
          <w:i/>
          <w:lang w:val="en-CA"/>
        </w:rPr>
        <w:t>M. Russo</w:t>
      </w:r>
      <w:r w:rsidR="000947B2" w:rsidRPr="009B275C">
        <w:rPr>
          <w:rFonts w:cs="Arial"/>
          <w:i/>
          <w:lang w:val="en-CA"/>
        </w:rPr>
        <w:t>”</w:t>
      </w:r>
    </w:p>
    <w:p w14:paraId="70E138CF" w14:textId="0DF91E0F" w:rsidR="000724B2" w:rsidRPr="009B275C" w:rsidRDefault="000724B2" w:rsidP="000947B2">
      <w:pPr>
        <w:spacing w:line="240" w:lineRule="auto"/>
        <w:jc w:val="right"/>
        <w:rPr>
          <w:rFonts w:cs="Arial"/>
          <w:lang w:val="en-CA"/>
        </w:rPr>
      </w:pPr>
    </w:p>
    <w:p w14:paraId="2902D0AF" w14:textId="77777777" w:rsidR="003609A7" w:rsidRPr="009B275C" w:rsidRDefault="003609A7" w:rsidP="000947B2">
      <w:pPr>
        <w:spacing w:line="240" w:lineRule="auto"/>
        <w:jc w:val="right"/>
        <w:rPr>
          <w:rFonts w:cs="Arial"/>
          <w:lang w:val="en-CA"/>
        </w:rPr>
      </w:pPr>
    </w:p>
    <w:p w14:paraId="0702F2AA" w14:textId="77777777" w:rsidR="007F2E38" w:rsidRPr="009B275C" w:rsidRDefault="007F2E38" w:rsidP="000947B2">
      <w:pPr>
        <w:spacing w:line="240" w:lineRule="auto"/>
        <w:jc w:val="right"/>
        <w:rPr>
          <w:rFonts w:cs="Arial"/>
          <w:lang w:val="en-CA"/>
        </w:rPr>
      </w:pPr>
    </w:p>
    <w:p w14:paraId="1724192F" w14:textId="3076A44F" w:rsidR="000947B2" w:rsidRPr="009B275C" w:rsidRDefault="007437DE" w:rsidP="000947B2">
      <w:pPr>
        <w:spacing w:line="240" w:lineRule="auto"/>
        <w:jc w:val="right"/>
        <w:rPr>
          <w:rFonts w:cs="Arial"/>
          <w:iCs/>
          <w:lang w:val="en-CA"/>
        </w:rPr>
      </w:pPr>
      <w:r w:rsidRPr="009B275C">
        <w:rPr>
          <w:caps/>
          <w:lang w:val="en-CA"/>
        </w:rPr>
        <w:t>m. russo</w:t>
      </w:r>
    </w:p>
    <w:p w14:paraId="5EE6E71B" w14:textId="2252AADA" w:rsidR="000947B2" w:rsidRPr="009B275C" w:rsidRDefault="00D3545F" w:rsidP="000947B2">
      <w:pPr>
        <w:spacing w:line="240" w:lineRule="auto"/>
        <w:jc w:val="right"/>
        <w:rPr>
          <w:rFonts w:cs="Arial"/>
          <w:lang w:val="en-CA"/>
        </w:rPr>
      </w:pPr>
      <w:r w:rsidRPr="009B275C">
        <w:rPr>
          <w:rFonts w:cs="Arial"/>
          <w:lang w:val="en-CA"/>
        </w:rPr>
        <w:t>MEMBER</w:t>
      </w:r>
    </w:p>
    <w:p w14:paraId="37E20E8D" w14:textId="3A2EA343" w:rsidR="0018443F" w:rsidRPr="009B275C" w:rsidRDefault="0018443F" w:rsidP="00753561">
      <w:pPr>
        <w:spacing w:line="240" w:lineRule="auto"/>
        <w:rPr>
          <w:rFonts w:cs="Arial"/>
          <w:lang w:val="en-CA"/>
        </w:rPr>
      </w:pPr>
    </w:p>
    <w:p w14:paraId="13AD13CE" w14:textId="71DD909D" w:rsidR="00AF3049" w:rsidRPr="009B275C" w:rsidRDefault="00AF3049" w:rsidP="00753561">
      <w:pPr>
        <w:spacing w:line="240" w:lineRule="auto"/>
        <w:rPr>
          <w:rFonts w:cs="Arial"/>
          <w:lang w:val="en-CA"/>
        </w:rPr>
      </w:pPr>
    </w:p>
    <w:p w14:paraId="5C01BB83" w14:textId="498380C2" w:rsidR="00AF3049" w:rsidRPr="009B275C" w:rsidRDefault="00AF3049" w:rsidP="00753561">
      <w:pPr>
        <w:spacing w:line="240" w:lineRule="auto"/>
        <w:rPr>
          <w:rFonts w:cs="Arial"/>
          <w:lang w:val="en-CA"/>
        </w:rPr>
      </w:pPr>
    </w:p>
    <w:p w14:paraId="54EF6918" w14:textId="7F9F96A8" w:rsidR="00AF3049" w:rsidRPr="009B275C" w:rsidRDefault="00AF3049" w:rsidP="00753561">
      <w:pPr>
        <w:spacing w:line="240" w:lineRule="auto"/>
        <w:rPr>
          <w:rFonts w:cs="Arial"/>
          <w:lang w:val="en-CA"/>
        </w:rPr>
      </w:pPr>
    </w:p>
    <w:p w14:paraId="28639C2D" w14:textId="1B0B8C06" w:rsidR="00AF3049" w:rsidRPr="009B275C" w:rsidRDefault="00AF3049" w:rsidP="00753561">
      <w:pPr>
        <w:spacing w:line="240" w:lineRule="auto"/>
        <w:rPr>
          <w:rFonts w:cs="Arial"/>
          <w:lang w:val="en-CA"/>
        </w:rPr>
      </w:pPr>
    </w:p>
    <w:p w14:paraId="250782FF" w14:textId="2C3928AF" w:rsidR="00350B15" w:rsidRPr="009B275C" w:rsidRDefault="00350B15" w:rsidP="00753561">
      <w:pPr>
        <w:spacing w:line="240" w:lineRule="auto"/>
        <w:rPr>
          <w:rFonts w:cs="Arial"/>
          <w:lang w:val="en-CA"/>
        </w:rPr>
      </w:pPr>
    </w:p>
    <w:p w14:paraId="48260E07" w14:textId="76F4F902" w:rsidR="000F4879" w:rsidRPr="009B275C" w:rsidRDefault="000F4879" w:rsidP="00753561">
      <w:pPr>
        <w:spacing w:line="240" w:lineRule="auto"/>
        <w:rPr>
          <w:rFonts w:cs="Arial"/>
          <w:lang w:val="en-CA"/>
        </w:rPr>
      </w:pPr>
    </w:p>
    <w:p w14:paraId="2F01B318" w14:textId="6F4072D0" w:rsidR="000F4879" w:rsidRPr="009B275C" w:rsidRDefault="000F4879" w:rsidP="00753561">
      <w:pPr>
        <w:spacing w:line="240" w:lineRule="auto"/>
        <w:rPr>
          <w:rFonts w:cs="Arial"/>
          <w:lang w:val="en-CA"/>
        </w:rPr>
      </w:pPr>
    </w:p>
    <w:p w14:paraId="16818043" w14:textId="012256FF" w:rsidR="000F4879" w:rsidRPr="009B275C" w:rsidRDefault="000F4879" w:rsidP="00753561">
      <w:pPr>
        <w:spacing w:line="240" w:lineRule="auto"/>
        <w:rPr>
          <w:rFonts w:cs="Arial"/>
          <w:lang w:val="en-CA"/>
        </w:rPr>
      </w:pPr>
    </w:p>
    <w:p w14:paraId="1D702126" w14:textId="71B45E3C" w:rsidR="000F4879" w:rsidRPr="009B275C" w:rsidRDefault="000F4879" w:rsidP="00753561">
      <w:pPr>
        <w:spacing w:line="240" w:lineRule="auto"/>
        <w:rPr>
          <w:rFonts w:cs="Arial"/>
          <w:lang w:val="en-CA"/>
        </w:rPr>
      </w:pPr>
    </w:p>
    <w:p w14:paraId="2F900851" w14:textId="439BC57F" w:rsidR="000F4879" w:rsidRPr="009B275C" w:rsidRDefault="000F4879" w:rsidP="00753561">
      <w:pPr>
        <w:spacing w:line="240" w:lineRule="auto"/>
        <w:rPr>
          <w:rFonts w:cs="Arial"/>
          <w:lang w:val="en-CA"/>
        </w:rPr>
      </w:pPr>
    </w:p>
    <w:p w14:paraId="49F46A35" w14:textId="77777777" w:rsidR="000F4879" w:rsidRPr="009B275C" w:rsidRDefault="000F4879" w:rsidP="00753561">
      <w:pPr>
        <w:spacing w:line="240" w:lineRule="auto"/>
        <w:rPr>
          <w:rFonts w:cs="Arial"/>
          <w:lang w:val="en-CA"/>
        </w:rPr>
      </w:pPr>
    </w:p>
    <w:p w14:paraId="406A08BD" w14:textId="409B61A0" w:rsidR="003609A7" w:rsidRPr="009B275C" w:rsidRDefault="003609A7" w:rsidP="00753561">
      <w:pPr>
        <w:spacing w:line="240" w:lineRule="auto"/>
        <w:rPr>
          <w:rFonts w:cs="Arial"/>
          <w:lang w:val="en-CA"/>
        </w:rPr>
      </w:pPr>
    </w:p>
    <w:p w14:paraId="1472EDDD" w14:textId="181BF5C7" w:rsidR="006B31BF" w:rsidRPr="009B275C" w:rsidRDefault="006B31BF" w:rsidP="00753561">
      <w:pPr>
        <w:spacing w:line="240" w:lineRule="auto"/>
        <w:rPr>
          <w:rFonts w:cs="Arial"/>
          <w:lang w:val="en-CA"/>
        </w:rPr>
      </w:pPr>
    </w:p>
    <w:p w14:paraId="03B09981" w14:textId="1043CD07" w:rsidR="006B31BF" w:rsidRPr="009B275C" w:rsidRDefault="006B31BF" w:rsidP="00753561">
      <w:pPr>
        <w:spacing w:line="240" w:lineRule="auto"/>
        <w:rPr>
          <w:rFonts w:cs="Arial"/>
          <w:lang w:val="en-CA"/>
        </w:rPr>
      </w:pPr>
    </w:p>
    <w:p w14:paraId="25AC3738" w14:textId="151BFB19" w:rsidR="006B31BF" w:rsidRDefault="006B31BF" w:rsidP="00753561">
      <w:pPr>
        <w:spacing w:line="240" w:lineRule="auto"/>
        <w:rPr>
          <w:rFonts w:cs="Arial"/>
          <w:lang w:val="en-CA"/>
        </w:rPr>
      </w:pPr>
    </w:p>
    <w:p w14:paraId="6D7CBD5B" w14:textId="77777777" w:rsidR="00C3189B" w:rsidRPr="009B275C" w:rsidRDefault="00C3189B" w:rsidP="00753561">
      <w:pPr>
        <w:spacing w:line="240" w:lineRule="auto"/>
        <w:rPr>
          <w:rFonts w:cs="Arial"/>
          <w:lang w:val="en-CA"/>
        </w:rPr>
      </w:pPr>
    </w:p>
    <w:p w14:paraId="55DDEAC7" w14:textId="3D84BBFF" w:rsidR="006B31BF" w:rsidRPr="009B275C" w:rsidRDefault="006B31BF" w:rsidP="00753561">
      <w:pPr>
        <w:spacing w:line="240" w:lineRule="auto"/>
        <w:rPr>
          <w:rFonts w:cs="Arial"/>
          <w:lang w:val="en-CA"/>
        </w:rPr>
      </w:pPr>
    </w:p>
    <w:p w14:paraId="31C9875E" w14:textId="77777777" w:rsidR="005A6B29" w:rsidRPr="009B275C" w:rsidRDefault="009B3F63" w:rsidP="00753561">
      <w:pPr>
        <w:spacing w:line="240" w:lineRule="auto"/>
        <w:jc w:val="center"/>
        <w:rPr>
          <w:rFonts w:cs="Arial"/>
          <w:b/>
          <w:lang w:val="en-CA"/>
        </w:rPr>
      </w:pPr>
      <w:r w:rsidRPr="009B275C">
        <w:rPr>
          <w:rFonts w:cs="Arial"/>
          <w:b/>
          <w:lang w:val="en-CA"/>
        </w:rPr>
        <w:t>Ontario Land Tribunal</w:t>
      </w:r>
    </w:p>
    <w:p w14:paraId="1B5AE63C" w14:textId="77777777" w:rsidR="005A6B29" w:rsidRPr="009B275C" w:rsidRDefault="003B76BB" w:rsidP="00753561">
      <w:pPr>
        <w:spacing w:line="240" w:lineRule="auto"/>
        <w:jc w:val="center"/>
        <w:rPr>
          <w:rFonts w:cs="Arial"/>
          <w:lang w:val="en-CA"/>
        </w:rPr>
      </w:pPr>
      <w:r w:rsidRPr="009B275C">
        <w:rPr>
          <w:rFonts w:cs="Arial"/>
          <w:lang w:val="en-CA"/>
        </w:rPr>
        <w:t xml:space="preserve">Website: </w:t>
      </w:r>
      <w:hyperlink r:id="rId12" w:history="1">
        <w:r w:rsidRPr="009B275C">
          <w:rPr>
            <w:rStyle w:val="Hyperlink"/>
            <w:rFonts w:cs="Arial"/>
            <w:color w:val="auto"/>
            <w:lang w:val="en-CA"/>
          </w:rPr>
          <w:t>www.olt.gov.on.ca</w:t>
        </w:r>
      </w:hyperlink>
      <w:r w:rsidRPr="009B275C">
        <w:rPr>
          <w:rFonts w:cs="Arial"/>
          <w:lang w:val="en-CA"/>
        </w:rPr>
        <w:t xml:space="preserve">   Telephone: 416-212-6349   Toll Free: 1-866-448-2248</w:t>
      </w:r>
    </w:p>
    <w:p w14:paraId="6DC2B7EA" w14:textId="5CB87E98" w:rsidR="004E4BDE" w:rsidRPr="009B275C" w:rsidRDefault="004E4BDE" w:rsidP="009B3F63">
      <w:pPr>
        <w:spacing w:line="240" w:lineRule="auto"/>
        <w:jc w:val="center"/>
        <w:rPr>
          <w:rFonts w:cs="Arial"/>
          <w:lang w:val="en-CA"/>
        </w:rPr>
      </w:pPr>
    </w:p>
    <w:p w14:paraId="2CDD869B" w14:textId="77777777" w:rsidR="003609A7" w:rsidRPr="009B275C" w:rsidRDefault="003609A7" w:rsidP="009B3F63">
      <w:pPr>
        <w:spacing w:line="240" w:lineRule="auto"/>
        <w:jc w:val="center"/>
        <w:rPr>
          <w:rFonts w:cs="Arial"/>
          <w:lang w:val="en-CA"/>
        </w:rPr>
      </w:pPr>
    </w:p>
    <w:p w14:paraId="24DA10C5" w14:textId="25ED3FD6" w:rsidR="00E8184A" w:rsidRPr="009B275C" w:rsidRDefault="00796C2A" w:rsidP="00F33467">
      <w:pPr>
        <w:spacing w:line="240" w:lineRule="auto"/>
        <w:jc w:val="both"/>
        <w:rPr>
          <w:rFonts w:cs="Arial"/>
          <w:lang w:val="en-CA"/>
        </w:rPr>
      </w:pPr>
      <w:r w:rsidRPr="009B275C">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r w:rsidR="00E8184A" w:rsidRPr="009B275C">
        <w:rPr>
          <w:rFonts w:cs="Arial"/>
          <w:lang w:val="en-CA"/>
        </w:rPr>
        <w:br w:type="page"/>
      </w:r>
    </w:p>
    <w:p w14:paraId="19B6A8E5" w14:textId="4187F23C" w:rsidR="00BB3D35" w:rsidRPr="009B275C" w:rsidRDefault="00E8184A" w:rsidP="00921A6F">
      <w:pPr>
        <w:spacing w:line="240" w:lineRule="auto"/>
        <w:jc w:val="right"/>
        <w:rPr>
          <w:rFonts w:cs="Arial"/>
          <w:b/>
          <w:bCs/>
          <w:lang w:val="en-CA"/>
        </w:rPr>
      </w:pPr>
      <w:r w:rsidRPr="009B275C">
        <w:rPr>
          <w:rFonts w:cs="Arial"/>
          <w:b/>
          <w:bCs/>
          <w:lang w:val="en-CA"/>
        </w:rPr>
        <w:lastRenderedPageBreak/>
        <w:t>PL171389 – Schedule A</w:t>
      </w:r>
    </w:p>
    <w:p w14:paraId="1764C78F" w14:textId="104871AC" w:rsidR="00921A6F" w:rsidRPr="009B275C" w:rsidRDefault="00921A6F" w:rsidP="00F33467">
      <w:pPr>
        <w:spacing w:line="240" w:lineRule="auto"/>
        <w:jc w:val="both"/>
        <w:rPr>
          <w:rFonts w:cs="Arial"/>
          <w:lang w:val="en-CA"/>
        </w:rPr>
      </w:pPr>
    </w:p>
    <w:p w14:paraId="6FB85FFF" w14:textId="77777777" w:rsidR="00AC3E17" w:rsidRPr="009B275C" w:rsidRDefault="00AC3E17" w:rsidP="00AC3E17">
      <w:pPr>
        <w:pStyle w:val="Title"/>
        <w:spacing w:before="240" w:after="0"/>
        <w:jc w:val="center"/>
        <w:rPr>
          <w:sz w:val="24"/>
          <w:szCs w:val="24"/>
        </w:rPr>
      </w:pPr>
      <w:r w:rsidRPr="009B275C">
        <w:rPr>
          <w:sz w:val="24"/>
          <w:szCs w:val="24"/>
        </w:rPr>
        <w:t>CITY OF HAMILTON</w:t>
      </w:r>
    </w:p>
    <w:p w14:paraId="0F47BCC4" w14:textId="77777777" w:rsidR="00AC3E17" w:rsidRPr="009B275C" w:rsidRDefault="00AC3E17" w:rsidP="00AC3E17">
      <w:pPr>
        <w:pStyle w:val="Title"/>
        <w:spacing w:before="240" w:after="0"/>
        <w:jc w:val="center"/>
        <w:rPr>
          <w:sz w:val="24"/>
          <w:szCs w:val="24"/>
        </w:rPr>
      </w:pPr>
      <w:r w:rsidRPr="009B275C">
        <w:rPr>
          <w:sz w:val="24"/>
          <w:szCs w:val="24"/>
        </w:rPr>
        <w:t>BY- LAW NO. 21-XX-OLT</w:t>
      </w:r>
    </w:p>
    <w:p w14:paraId="4E2159E2" w14:textId="77777777" w:rsidR="00AC3E17" w:rsidRPr="009B275C" w:rsidRDefault="00AC3E17" w:rsidP="001A4ED7">
      <w:pPr>
        <w:pStyle w:val="BodyTextIndent"/>
        <w:spacing w:before="240" w:line="240" w:lineRule="auto"/>
        <w:ind w:left="357"/>
        <w:contextualSpacing/>
        <w:jc w:val="center"/>
        <w:rPr>
          <w:b/>
          <w:bCs/>
          <w:lang w:val="en-CA"/>
        </w:rPr>
      </w:pPr>
      <w:r w:rsidRPr="009B275C">
        <w:rPr>
          <w:b/>
          <w:bCs/>
          <w:lang w:val="en-CA"/>
        </w:rPr>
        <w:t>To Amend Zoning By-law No. 6593</w:t>
      </w:r>
    </w:p>
    <w:p w14:paraId="70821328" w14:textId="77777777" w:rsidR="00AC3E17" w:rsidRPr="009B275C" w:rsidRDefault="00AC3E17" w:rsidP="001A4ED7">
      <w:pPr>
        <w:pStyle w:val="BodyTextIndent"/>
        <w:spacing w:before="240" w:line="240" w:lineRule="auto"/>
        <w:ind w:left="357"/>
        <w:contextualSpacing/>
        <w:jc w:val="center"/>
        <w:rPr>
          <w:b/>
          <w:bCs/>
          <w:lang w:val="en-CA"/>
        </w:rPr>
      </w:pPr>
      <w:r w:rsidRPr="009B275C">
        <w:rPr>
          <w:b/>
          <w:bCs/>
          <w:lang w:val="en-CA"/>
        </w:rPr>
        <w:t>Respecting Lands Located at 195 Wellington Street South, Hamilton</w:t>
      </w:r>
    </w:p>
    <w:p w14:paraId="4925E07D" w14:textId="77777777" w:rsidR="00AC3E17" w:rsidRPr="009B275C" w:rsidRDefault="00AC3E17" w:rsidP="001A4ED7">
      <w:pPr>
        <w:spacing w:before="240" w:line="240" w:lineRule="auto"/>
        <w:rPr>
          <w:lang w:val="en-CA"/>
        </w:rPr>
      </w:pPr>
      <w:r w:rsidRPr="009B275C">
        <w:rPr>
          <w:b/>
          <w:bCs/>
          <w:lang w:val="en-CA"/>
        </w:rPr>
        <w:t xml:space="preserve">WHEREAS </w:t>
      </w:r>
      <w:r w:rsidRPr="009B275C">
        <w:rPr>
          <w:spacing w:val="-3"/>
          <w:lang w:val="en-CA"/>
        </w:rPr>
        <w:t xml:space="preserve">the </w:t>
      </w:r>
      <w:r w:rsidRPr="009B275C">
        <w:rPr>
          <w:i/>
          <w:iCs/>
          <w:spacing w:val="-3"/>
          <w:lang w:val="en-CA"/>
        </w:rPr>
        <w:t>City of Hamilton Act, 1999</w:t>
      </w:r>
      <w:r w:rsidRPr="009B275C">
        <w:rPr>
          <w:spacing w:val="-3"/>
          <w:lang w:val="en-CA"/>
        </w:rPr>
        <w:t>, Statutes of Ontario, 1999 Chap. 14, Schedule C. did incorporate, as of January 1, 2001, the municipality “City of Hamilton</w:t>
      </w:r>
      <w:proofErr w:type="gramStart"/>
      <w:r w:rsidRPr="009B275C">
        <w:rPr>
          <w:spacing w:val="-3"/>
          <w:lang w:val="en-CA"/>
        </w:rPr>
        <w:t>”</w:t>
      </w:r>
      <w:r w:rsidRPr="009B275C">
        <w:rPr>
          <w:lang w:val="en-CA"/>
        </w:rPr>
        <w:t>;</w:t>
      </w:r>
      <w:proofErr w:type="gramEnd"/>
    </w:p>
    <w:p w14:paraId="4D21F819" w14:textId="77777777" w:rsidR="00AC3E17" w:rsidRPr="009B275C" w:rsidRDefault="00AC3E17" w:rsidP="001A4ED7">
      <w:pPr>
        <w:spacing w:before="240" w:line="240" w:lineRule="auto"/>
        <w:rPr>
          <w:lang w:val="en-CA"/>
        </w:rPr>
      </w:pPr>
      <w:r w:rsidRPr="009B275C">
        <w:rPr>
          <w:b/>
          <w:bCs/>
          <w:lang w:val="en-CA"/>
        </w:rPr>
        <w:t>AND WHEREAS</w:t>
      </w:r>
      <w:r w:rsidRPr="009B275C">
        <w:rPr>
          <w:lang w:val="en-CA"/>
        </w:rPr>
        <w:t xml:space="preserve"> </w:t>
      </w:r>
      <w:r w:rsidRPr="009B275C">
        <w:rPr>
          <w:spacing w:val="-3"/>
          <w:lang w:val="en-CA"/>
        </w:rPr>
        <w:t>the City of Hamilton is the successor to certain area municipalities, including the former municipality known as the “The Corporation of the City of Hamilton” and is the successor to the former regional municipality, namely, “The Regional Municipality of Hamilton-Wentworth”</w:t>
      </w:r>
      <w:r w:rsidRPr="009B275C">
        <w:rPr>
          <w:lang w:val="en-CA"/>
        </w:rPr>
        <w:t>;</w:t>
      </w:r>
    </w:p>
    <w:p w14:paraId="2B37A502" w14:textId="77777777" w:rsidR="00AC3E17" w:rsidRPr="009B275C" w:rsidRDefault="00AC3E17" w:rsidP="001A4ED7">
      <w:pPr>
        <w:spacing w:before="240" w:line="240" w:lineRule="auto"/>
        <w:rPr>
          <w:lang w:val="en-CA"/>
        </w:rPr>
      </w:pPr>
      <w:r w:rsidRPr="009B275C">
        <w:rPr>
          <w:b/>
          <w:bCs/>
          <w:lang w:val="en-CA"/>
        </w:rPr>
        <w:t>AND WHEREAS</w:t>
      </w:r>
      <w:r w:rsidRPr="009B275C">
        <w:rPr>
          <w:lang w:val="en-CA"/>
        </w:rPr>
        <w:t xml:space="preserve"> </w:t>
      </w:r>
      <w:r w:rsidRPr="009B275C">
        <w:rPr>
          <w:spacing w:val="-3"/>
          <w:lang w:val="en-CA"/>
        </w:rPr>
        <w:t xml:space="preserve">the </w:t>
      </w:r>
      <w:r w:rsidRPr="009B275C">
        <w:rPr>
          <w:i/>
          <w:iCs/>
          <w:spacing w:val="-3"/>
          <w:lang w:val="en-CA"/>
        </w:rPr>
        <w:t>City of Hamilton Act, 1999</w:t>
      </w:r>
      <w:r w:rsidRPr="009B275C">
        <w:rPr>
          <w:spacing w:val="-3"/>
          <w:lang w:val="en-CA"/>
        </w:rPr>
        <w:t xml:space="preserve"> provides that the Zoning By-laws and Official Plans of the former area municipalities and the Official Plan of the former regional municipality continue in force in the City of Hamilton until subsequently amended or repealed by the Council of the City of Hamilton;</w:t>
      </w:r>
    </w:p>
    <w:p w14:paraId="10C213F9" w14:textId="77777777" w:rsidR="00AC3E17" w:rsidRPr="009B275C" w:rsidRDefault="00AC3E17" w:rsidP="001A4ED7">
      <w:pPr>
        <w:spacing w:before="240" w:line="240" w:lineRule="auto"/>
        <w:rPr>
          <w:spacing w:val="-3"/>
          <w:lang w:val="en-CA"/>
        </w:rPr>
      </w:pPr>
      <w:r w:rsidRPr="009B275C">
        <w:rPr>
          <w:b/>
          <w:bCs/>
          <w:lang w:val="en-CA"/>
        </w:rPr>
        <w:t xml:space="preserve">AND WHEREAS </w:t>
      </w:r>
      <w:r w:rsidRPr="009B275C">
        <w:rPr>
          <w:spacing w:val="-3"/>
          <w:lang w:val="en-CA"/>
        </w:rPr>
        <w:t>the Council of The Corporation of the City of Hamilton passed Zoning By-law No. 6593 (Hamilton) on the 25th day of July 1950, which By-law was approved by the Ontario Municipal Board by Order dated the 7th day of December 1951 (File No. P.F.C. 3821);</w:t>
      </w:r>
    </w:p>
    <w:p w14:paraId="0084ED8F" w14:textId="77777777" w:rsidR="00AC3E17" w:rsidRPr="009B275C" w:rsidRDefault="00AC3E17" w:rsidP="001A4ED7">
      <w:pPr>
        <w:spacing w:before="240" w:line="240" w:lineRule="auto"/>
        <w:rPr>
          <w:spacing w:val="-3"/>
          <w:lang w:val="en-CA"/>
        </w:rPr>
      </w:pPr>
      <w:r w:rsidRPr="009B275C">
        <w:rPr>
          <w:b/>
          <w:bCs/>
          <w:lang w:val="en-CA"/>
        </w:rPr>
        <w:t>AND WHEREAS</w:t>
      </w:r>
      <w:r w:rsidRPr="009B275C">
        <w:rPr>
          <w:spacing w:val="-3"/>
          <w:lang w:val="en-CA"/>
        </w:rPr>
        <w:t xml:space="preserve"> the Ontario Land Tribunal, in its Decision/Order No. PL171389, dated the • day of •, 2021, approved the amendment to Zoning By-law No. 6593 (Hamilton), as herein provided.</w:t>
      </w:r>
    </w:p>
    <w:p w14:paraId="069A3FF9" w14:textId="77777777" w:rsidR="00AC3E17" w:rsidRPr="009B275C" w:rsidRDefault="00AC3E17" w:rsidP="001A4ED7">
      <w:pPr>
        <w:spacing w:before="240" w:line="240" w:lineRule="auto"/>
        <w:rPr>
          <w:spacing w:val="-3"/>
          <w:lang w:val="en-CA"/>
        </w:rPr>
      </w:pPr>
      <w:r w:rsidRPr="009B275C">
        <w:rPr>
          <w:b/>
          <w:bCs/>
          <w:lang w:val="en-CA"/>
        </w:rPr>
        <w:t xml:space="preserve">AND WHEREAS </w:t>
      </w:r>
      <w:r w:rsidRPr="009B275C">
        <w:rPr>
          <w:lang w:val="en-CA"/>
        </w:rPr>
        <w:t xml:space="preserve">this By-law is in conformity with the Urban Hamilton Official Plan of the City of </w:t>
      </w:r>
      <w:proofErr w:type="gramStart"/>
      <w:r w:rsidRPr="009B275C">
        <w:rPr>
          <w:lang w:val="en-CA"/>
        </w:rPr>
        <w:t>Hamilton;</w:t>
      </w:r>
      <w:proofErr w:type="gramEnd"/>
      <w:r w:rsidRPr="009B275C">
        <w:rPr>
          <w:lang w:val="en-CA"/>
        </w:rPr>
        <w:t xml:space="preserve"> </w:t>
      </w:r>
    </w:p>
    <w:p w14:paraId="6694EFB3" w14:textId="77777777" w:rsidR="00AC3E17" w:rsidRPr="009B275C" w:rsidRDefault="00AC3E17" w:rsidP="00AC3E17">
      <w:pPr>
        <w:spacing w:before="240"/>
        <w:rPr>
          <w:spacing w:val="-3"/>
          <w:lang w:val="en-CA"/>
        </w:rPr>
      </w:pPr>
      <w:r w:rsidRPr="009B275C">
        <w:rPr>
          <w:b/>
          <w:bCs/>
          <w:lang w:val="en-CA"/>
        </w:rPr>
        <w:t xml:space="preserve">NOW THEREFORE </w:t>
      </w:r>
      <w:r w:rsidRPr="009B275C">
        <w:rPr>
          <w:lang w:val="en-CA"/>
        </w:rPr>
        <w:t>the Ontario Land Tribunal enacts as follows:</w:t>
      </w:r>
    </w:p>
    <w:p w14:paraId="7ABC8CDC" w14:textId="77777777" w:rsidR="00AC3E17" w:rsidRPr="009B275C" w:rsidRDefault="00AC3E17" w:rsidP="001A4ED7">
      <w:pPr>
        <w:pStyle w:val="BodyTextIndent2"/>
        <w:numPr>
          <w:ilvl w:val="0"/>
          <w:numId w:val="34"/>
        </w:numPr>
        <w:suppressAutoHyphens/>
        <w:spacing w:before="240" w:after="0" w:line="240" w:lineRule="auto"/>
        <w:ind w:hanging="720"/>
        <w:rPr>
          <w:lang w:val="en-CA"/>
        </w:rPr>
      </w:pPr>
      <w:r w:rsidRPr="009B275C">
        <w:rPr>
          <w:lang w:val="en-CA"/>
        </w:rPr>
        <w:t>That Sheet No. E-6 of the District maps, appended to and forming part of Zoning By-law No. 6593 (Hamilton), as amended, is further amended by changing the zoning from the “E” (Multiple Dwellings, Lodges, Clubs, Etc.) District to the “E/S -1815 - H” (Multiple Dwellings, Lodges, Clubs, Etc.) District, Modified, Holding, on the lands, the extent and boundaries of which are shown on a plan hereto annexed as Schedule “A</w:t>
      </w:r>
      <w:proofErr w:type="gramStart"/>
      <w:r w:rsidRPr="009B275C">
        <w:rPr>
          <w:lang w:val="en-CA"/>
        </w:rPr>
        <w:t>”;</w:t>
      </w:r>
      <w:proofErr w:type="gramEnd"/>
    </w:p>
    <w:p w14:paraId="2E74C4EA" w14:textId="77777777" w:rsidR="00AC3E17" w:rsidRPr="009B275C" w:rsidRDefault="00AC3E17" w:rsidP="001A4ED7">
      <w:pPr>
        <w:pStyle w:val="BodyTextIndent2"/>
        <w:numPr>
          <w:ilvl w:val="0"/>
          <w:numId w:val="34"/>
        </w:numPr>
        <w:suppressAutoHyphens/>
        <w:spacing w:before="240" w:after="0" w:line="240" w:lineRule="auto"/>
        <w:ind w:hanging="720"/>
        <w:rPr>
          <w:lang w:val="en-CA"/>
        </w:rPr>
      </w:pPr>
      <w:r w:rsidRPr="009B275C">
        <w:rPr>
          <w:lang w:val="en-CA"/>
        </w:rPr>
        <w:t>That the “E” (Multiple Dwellings, Lodges, Clubs, Etc.) District provisions, as contained in Section 11 of Zoning By-law No. 6593 (Hamilton) be modified to include the following special requirements:</w:t>
      </w:r>
    </w:p>
    <w:p w14:paraId="50B31B8D" w14:textId="7777777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lastRenderedPageBreak/>
        <w:t xml:space="preserve">Notwithstanding Section 2.(2)J.(ix), “Height” shall mean the vertical distance from sea level to the uppermost point of the building but not including any mechanical penthouse or any portion of a building designed, adapted or used for such features as </w:t>
      </w:r>
      <w:r w:rsidRPr="009B275C">
        <w:rPr>
          <w:iCs/>
          <w:lang w:val="en-CA"/>
        </w:rPr>
        <w:t xml:space="preserve">a chimney, smokestack, fire wall, stair tower, fire tower, water tower, tank, elevator bulkhead, ventilator, skylight, cooling tower, derrick, conveyor, antenna, or any such requisite appurtenance, or a flagpole, display sign, ornamental figure, parapet, bell tower or other similar structure; </w:t>
      </w:r>
    </w:p>
    <w:p w14:paraId="0234C233" w14:textId="7777777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Notwithstanding Section </w:t>
      </w:r>
      <w:proofErr w:type="gramStart"/>
      <w:r w:rsidRPr="009B275C">
        <w:rPr>
          <w:lang w:val="en-CA"/>
        </w:rPr>
        <w:t>2.(</w:t>
      </w:r>
      <w:proofErr w:type="gramEnd"/>
      <w:r w:rsidRPr="009B275C">
        <w:rPr>
          <w:lang w:val="en-CA"/>
        </w:rPr>
        <w:t>2)J.(xiii), “Lot-Line Front” shall mean the boundary line along Charlton Avenue East;</w:t>
      </w:r>
    </w:p>
    <w:p w14:paraId="3D0AC710" w14:textId="7777777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Notwithstanding Section </w:t>
      </w:r>
      <w:proofErr w:type="gramStart"/>
      <w:r w:rsidRPr="009B275C">
        <w:rPr>
          <w:lang w:val="en-CA"/>
        </w:rPr>
        <w:t>11.(</w:t>
      </w:r>
      <w:proofErr w:type="gramEnd"/>
      <w:r w:rsidRPr="009B275C">
        <w:rPr>
          <w:lang w:val="en-CA"/>
        </w:rPr>
        <w:t xml:space="preserve">2) </w:t>
      </w:r>
      <w:r w:rsidRPr="009B275C">
        <w:rPr>
          <w:color w:val="000000"/>
          <w:lang w:val="en-CA"/>
        </w:rPr>
        <w:t>and 18.(2)(iii)</w:t>
      </w:r>
      <w:r w:rsidRPr="009B275C">
        <w:rPr>
          <w:lang w:val="en-CA"/>
        </w:rPr>
        <w:t>, the height of a building or structure shall not exceed nine storeys or 126.7 metres above sea level in height;</w:t>
      </w:r>
    </w:p>
    <w:p w14:paraId="618394EB" w14:textId="7777777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Notwithstanding Section </w:t>
      </w:r>
      <w:proofErr w:type="gramStart"/>
      <w:r w:rsidRPr="009B275C">
        <w:rPr>
          <w:lang w:val="en-CA"/>
        </w:rPr>
        <w:t>11.(</w:t>
      </w:r>
      <w:proofErr w:type="gramEnd"/>
      <w:r w:rsidRPr="009B275C">
        <w:rPr>
          <w:lang w:val="en-CA"/>
        </w:rPr>
        <w:t>3), the following yards shall be provided and maintained:</w:t>
      </w:r>
    </w:p>
    <w:p w14:paraId="0FF4DFA1" w14:textId="77777777" w:rsidR="00AC3E17" w:rsidRPr="009B275C" w:rsidRDefault="00AC3E17" w:rsidP="001A4ED7">
      <w:pPr>
        <w:pStyle w:val="BodyTextIndent2"/>
        <w:numPr>
          <w:ilvl w:val="0"/>
          <w:numId w:val="36"/>
        </w:numPr>
        <w:suppressAutoHyphens/>
        <w:spacing w:before="240" w:after="0" w:line="240" w:lineRule="auto"/>
        <w:ind w:left="2160" w:hanging="747"/>
        <w:rPr>
          <w:lang w:val="en-CA"/>
        </w:rPr>
      </w:pPr>
      <w:r w:rsidRPr="009B275C">
        <w:rPr>
          <w:lang w:val="en-CA"/>
        </w:rPr>
        <w:t xml:space="preserve">Minimum Front Yard Depth: 3.0 </w:t>
      </w:r>
      <w:proofErr w:type="gramStart"/>
      <w:r w:rsidRPr="009B275C">
        <w:rPr>
          <w:lang w:val="en-CA"/>
        </w:rPr>
        <w:t>metres;</w:t>
      </w:r>
      <w:proofErr w:type="gramEnd"/>
    </w:p>
    <w:p w14:paraId="4033D850" w14:textId="77777777" w:rsidR="00AC3E17" w:rsidRPr="009B275C" w:rsidRDefault="00AC3E17" w:rsidP="001A4ED7">
      <w:pPr>
        <w:pStyle w:val="BodyTextIndent2"/>
        <w:numPr>
          <w:ilvl w:val="0"/>
          <w:numId w:val="36"/>
        </w:numPr>
        <w:suppressAutoHyphens/>
        <w:spacing w:before="240" w:after="0" w:line="240" w:lineRule="auto"/>
        <w:ind w:left="2160" w:hanging="747"/>
        <w:rPr>
          <w:lang w:val="en-CA"/>
        </w:rPr>
      </w:pPr>
      <w:r w:rsidRPr="009B275C">
        <w:rPr>
          <w:lang w:val="en-CA"/>
        </w:rPr>
        <w:t>Minimum Side Yard Depth: 2.6 metres; and,</w:t>
      </w:r>
    </w:p>
    <w:p w14:paraId="1FFE5114" w14:textId="77777777" w:rsidR="00AC3E17" w:rsidRPr="009B275C" w:rsidRDefault="00AC3E17" w:rsidP="001A4ED7">
      <w:pPr>
        <w:pStyle w:val="BodyTextIndent2"/>
        <w:numPr>
          <w:ilvl w:val="0"/>
          <w:numId w:val="36"/>
        </w:numPr>
        <w:suppressAutoHyphens/>
        <w:spacing w:before="240" w:after="0" w:line="240" w:lineRule="auto"/>
        <w:ind w:left="2160" w:hanging="747"/>
        <w:rPr>
          <w:lang w:val="en-CA"/>
        </w:rPr>
      </w:pPr>
      <w:r w:rsidRPr="009B275C">
        <w:rPr>
          <w:lang w:val="en-CA"/>
        </w:rPr>
        <w:t xml:space="preserve">Minimum Rear Yard Depth: 4.3 </w:t>
      </w:r>
      <w:proofErr w:type="gramStart"/>
      <w:r w:rsidRPr="009B275C">
        <w:rPr>
          <w:lang w:val="en-CA"/>
        </w:rPr>
        <w:t>metres;</w:t>
      </w:r>
      <w:proofErr w:type="gramEnd"/>
    </w:p>
    <w:p w14:paraId="7A7921D6" w14:textId="7777777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In addition to 2) d) above, no minimum yard depth shall apply to a daylight </w:t>
      </w:r>
      <w:proofErr w:type="gramStart"/>
      <w:r w:rsidRPr="009B275C">
        <w:rPr>
          <w:lang w:val="en-CA"/>
        </w:rPr>
        <w:t>triangle;</w:t>
      </w:r>
      <w:proofErr w:type="gramEnd"/>
    </w:p>
    <w:p w14:paraId="14140A14" w14:textId="29E114D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Notwithstanding Section </w:t>
      </w:r>
      <w:proofErr w:type="gramStart"/>
      <w:r w:rsidRPr="009B275C">
        <w:rPr>
          <w:lang w:val="en-CA"/>
        </w:rPr>
        <w:t>11.(</w:t>
      </w:r>
      <w:proofErr w:type="gramEnd"/>
      <w:r w:rsidRPr="009B275C">
        <w:rPr>
          <w:lang w:val="en-CA"/>
        </w:rPr>
        <w:t xml:space="preserve">5), the permitted gross floor area shall be no greater than the area of the lot multiplied by the floor area ratio factor of 2.85; </w:t>
      </w:r>
    </w:p>
    <w:p w14:paraId="5FD35424" w14:textId="7777777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Notwithstanding Section 18.(3)(vi)(e), a terrace, uncovered porch, platform or ornamental feature which does not extend more than 1.0 metre above the floor level of the first storey, may project into a required yard up to 0 metres from a street line; </w:t>
      </w:r>
    </w:p>
    <w:p w14:paraId="494FCFBB" w14:textId="7777777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Section </w:t>
      </w:r>
      <w:proofErr w:type="gramStart"/>
      <w:r w:rsidRPr="009B275C">
        <w:rPr>
          <w:lang w:val="en-CA"/>
        </w:rPr>
        <w:t>18.(</w:t>
      </w:r>
      <w:proofErr w:type="gramEnd"/>
      <w:r w:rsidRPr="009B275C">
        <w:rPr>
          <w:lang w:val="en-CA"/>
        </w:rPr>
        <w:t xml:space="preserve">8)(c)1. shall not </w:t>
      </w:r>
      <w:proofErr w:type="gramStart"/>
      <w:r w:rsidRPr="009B275C">
        <w:rPr>
          <w:lang w:val="en-CA"/>
        </w:rPr>
        <w:t>apply;</w:t>
      </w:r>
      <w:proofErr w:type="gramEnd"/>
    </w:p>
    <w:p w14:paraId="15E10CEE" w14:textId="6712ACEB"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Notwithstanding Section 18A.(1)(a) and Table 1, a minimum of 0.56 parking spaces per Class A dwelling unit shall be </w:t>
      </w:r>
      <w:proofErr w:type="gramStart"/>
      <w:r w:rsidRPr="009B275C">
        <w:rPr>
          <w:lang w:val="en-CA"/>
        </w:rPr>
        <w:t>provided;</w:t>
      </w:r>
      <w:proofErr w:type="gramEnd"/>
    </w:p>
    <w:p w14:paraId="75B9D1B0" w14:textId="52809500"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 xml:space="preserve">Section 18A.(1)(b) shall not </w:t>
      </w:r>
      <w:proofErr w:type="gramStart"/>
      <w:r w:rsidRPr="009B275C">
        <w:rPr>
          <w:lang w:val="en-CA"/>
        </w:rPr>
        <w:t>apply;</w:t>
      </w:r>
      <w:proofErr w:type="gramEnd"/>
    </w:p>
    <w:p w14:paraId="74AE34DC" w14:textId="77777777"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Notwithstanding Section 18A.(1)(c) and Table 3, one loading space shall be provided with a minimum size of:</w:t>
      </w:r>
    </w:p>
    <w:p w14:paraId="5A2ED9BA" w14:textId="77777777" w:rsidR="00AC3E17" w:rsidRPr="009B275C" w:rsidRDefault="00AC3E17" w:rsidP="001A4ED7">
      <w:pPr>
        <w:pStyle w:val="BodyTextIndent2"/>
        <w:numPr>
          <w:ilvl w:val="0"/>
          <w:numId w:val="37"/>
        </w:numPr>
        <w:suppressAutoHyphens/>
        <w:spacing w:before="240" w:after="0" w:line="240" w:lineRule="auto"/>
        <w:ind w:left="2160" w:hanging="720"/>
        <w:rPr>
          <w:lang w:val="en-CA"/>
        </w:rPr>
      </w:pPr>
      <w:r w:rsidRPr="009B275C">
        <w:rPr>
          <w:lang w:val="en-CA"/>
        </w:rPr>
        <w:lastRenderedPageBreak/>
        <w:t xml:space="preserve">Length: 13.0 </w:t>
      </w:r>
      <w:proofErr w:type="gramStart"/>
      <w:r w:rsidRPr="009B275C">
        <w:rPr>
          <w:lang w:val="en-CA"/>
        </w:rPr>
        <w:t>metres;</w:t>
      </w:r>
      <w:proofErr w:type="gramEnd"/>
    </w:p>
    <w:p w14:paraId="52638D82" w14:textId="77777777" w:rsidR="00AC3E17" w:rsidRPr="009B275C" w:rsidRDefault="00AC3E17" w:rsidP="001A4ED7">
      <w:pPr>
        <w:pStyle w:val="BodyTextIndent2"/>
        <w:numPr>
          <w:ilvl w:val="0"/>
          <w:numId w:val="37"/>
        </w:numPr>
        <w:suppressAutoHyphens/>
        <w:spacing w:before="240" w:after="0" w:line="240" w:lineRule="auto"/>
        <w:ind w:left="2160" w:hanging="720"/>
        <w:rPr>
          <w:lang w:val="en-CA"/>
        </w:rPr>
      </w:pPr>
      <w:r w:rsidRPr="009B275C">
        <w:rPr>
          <w:lang w:val="en-CA"/>
        </w:rPr>
        <w:t>Width: 4.0 metres; and,</w:t>
      </w:r>
    </w:p>
    <w:p w14:paraId="5038A55E" w14:textId="77777777" w:rsidR="00AC3E17" w:rsidRPr="009B275C" w:rsidRDefault="00AC3E17" w:rsidP="001A4ED7">
      <w:pPr>
        <w:pStyle w:val="BodyTextIndent2"/>
        <w:numPr>
          <w:ilvl w:val="0"/>
          <w:numId w:val="37"/>
        </w:numPr>
        <w:suppressAutoHyphens/>
        <w:spacing w:before="240" w:after="0" w:line="240" w:lineRule="auto"/>
        <w:ind w:left="2160" w:hanging="720"/>
        <w:rPr>
          <w:lang w:val="en-CA"/>
        </w:rPr>
      </w:pPr>
      <w:r w:rsidRPr="009B275C">
        <w:rPr>
          <w:lang w:val="en-CA"/>
        </w:rPr>
        <w:t xml:space="preserve">Height: 6.1 </w:t>
      </w:r>
      <w:proofErr w:type="gramStart"/>
      <w:r w:rsidRPr="009B275C">
        <w:rPr>
          <w:lang w:val="en-CA"/>
        </w:rPr>
        <w:t>metres;</w:t>
      </w:r>
      <w:proofErr w:type="gramEnd"/>
    </w:p>
    <w:p w14:paraId="282CEBA1" w14:textId="0B44BCFB" w:rsidR="00AC3E17" w:rsidRPr="009B275C" w:rsidRDefault="00AC3E17" w:rsidP="001A4ED7">
      <w:pPr>
        <w:pStyle w:val="BodyTextIndent2"/>
        <w:numPr>
          <w:ilvl w:val="0"/>
          <w:numId w:val="35"/>
        </w:numPr>
        <w:suppressAutoHyphens/>
        <w:spacing w:before="240" w:after="0" w:line="240" w:lineRule="auto"/>
        <w:ind w:left="1440" w:hanging="720"/>
        <w:rPr>
          <w:lang w:val="en-CA"/>
        </w:rPr>
      </w:pPr>
      <w:r w:rsidRPr="009B275C">
        <w:rPr>
          <w:lang w:val="en-CA"/>
        </w:rPr>
        <w:t>Notwithstanding Section 18A.(7), every required parking space located below ground shall have dimensions of not less than 2.8 metres wide and 5.8 metres long and every required parking space located above ground shall have dimensions of not less than 2.6 metres wide and 5.5 metres long;</w:t>
      </w:r>
    </w:p>
    <w:p w14:paraId="5E584937" w14:textId="77777777" w:rsidR="00AC3E17" w:rsidRPr="009B275C" w:rsidRDefault="00AC3E17" w:rsidP="001A4ED7">
      <w:pPr>
        <w:pStyle w:val="BodyTextIndent2"/>
        <w:numPr>
          <w:ilvl w:val="0"/>
          <w:numId w:val="34"/>
        </w:numPr>
        <w:suppressAutoHyphens/>
        <w:spacing w:before="240" w:after="0" w:line="240" w:lineRule="auto"/>
        <w:ind w:hanging="731"/>
        <w:rPr>
          <w:lang w:val="en-CA"/>
        </w:rPr>
      </w:pPr>
      <w:r w:rsidRPr="009B275C">
        <w:rPr>
          <w:snapToGrid w:val="0"/>
          <w:lang w:val="en-CA"/>
        </w:rPr>
        <w:t>That the ‘H’ symbol applicable to the lands referred to in Section 1 of this By-law, shall be removed conditional upon:</w:t>
      </w:r>
    </w:p>
    <w:p w14:paraId="7BFDB8FD" w14:textId="77777777" w:rsidR="00AC3E17" w:rsidRPr="009B275C" w:rsidRDefault="00AC3E17" w:rsidP="001A4ED7">
      <w:pPr>
        <w:pStyle w:val="BodyTextIndent2"/>
        <w:numPr>
          <w:ilvl w:val="1"/>
          <w:numId w:val="34"/>
        </w:numPr>
        <w:suppressAutoHyphens/>
        <w:spacing w:before="240" w:after="0" w:line="240" w:lineRule="auto"/>
        <w:ind w:hanging="720"/>
        <w:rPr>
          <w:lang w:val="en-CA"/>
        </w:rPr>
      </w:pPr>
      <w:r w:rsidRPr="009B275C">
        <w:rPr>
          <w:lang w:val="en-CA"/>
        </w:rPr>
        <w:t>The Holding Provision “E/S-1815-H” (Multiple Dwelling, Lodges, Clubs, etc.) District Modified, Holding be removed conditional upon:</w:t>
      </w:r>
    </w:p>
    <w:p w14:paraId="4FAEC555" w14:textId="15FA200D" w:rsidR="00AC3E17" w:rsidRPr="009B275C" w:rsidRDefault="00AC3E17" w:rsidP="001A4ED7">
      <w:pPr>
        <w:pStyle w:val="BodyTextIndent2"/>
        <w:numPr>
          <w:ilvl w:val="2"/>
          <w:numId w:val="34"/>
        </w:numPr>
        <w:suppressAutoHyphens/>
        <w:spacing w:before="240" w:after="0" w:line="240" w:lineRule="auto"/>
        <w:ind w:hanging="720"/>
        <w:rPr>
          <w:lang w:val="en-CA"/>
        </w:rPr>
      </w:pPr>
      <w:r w:rsidRPr="009B275C">
        <w:rPr>
          <w:lang w:val="en-CA"/>
        </w:rPr>
        <w:t xml:space="preserve">The Owner submit, receive approval and implement a Functional Servicing Report to the satisfaction of the Manager of Development Engineering </w:t>
      </w:r>
      <w:proofErr w:type="gramStart"/>
      <w:r w:rsidRPr="009B275C">
        <w:rPr>
          <w:lang w:val="en-CA"/>
        </w:rPr>
        <w:t>Approvals;</w:t>
      </w:r>
      <w:proofErr w:type="gramEnd"/>
    </w:p>
    <w:p w14:paraId="7ED53ECB" w14:textId="37AC441A" w:rsidR="00AC3E17" w:rsidRPr="009B275C" w:rsidRDefault="00AC3E17" w:rsidP="001A4ED7">
      <w:pPr>
        <w:pStyle w:val="BodyTextIndent2"/>
        <w:numPr>
          <w:ilvl w:val="2"/>
          <w:numId w:val="34"/>
        </w:numPr>
        <w:suppressAutoHyphens/>
        <w:spacing w:before="240" w:after="0" w:line="240" w:lineRule="auto"/>
        <w:ind w:hanging="720"/>
        <w:rPr>
          <w:lang w:val="en-CA"/>
        </w:rPr>
      </w:pPr>
      <w:r w:rsidRPr="009B275C">
        <w:rPr>
          <w:lang w:val="en-CA"/>
        </w:rPr>
        <w:t xml:space="preserve">The Owner submit, receive </w:t>
      </w:r>
      <w:proofErr w:type="gramStart"/>
      <w:r w:rsidRPr="009B275C">
        <w:rPr>
          <w:lang w:val="en-CA"/>
        </w:rPr>
        <w:t>approval</w:t>
      </w:r>
      <w:proofErr w:type="gramEnd"/>
      <w:r w:rsidRPr="009B275C">
        <w:rPr>
          <w:lang w:val="en-CA"/>
        </w:rPr>
        <w:t xml:space="preserve"> and implement a Storm Water Management Plan to the satisfaction of the Manager of Development Engineering Approvals; and,</w:t>
      </w:r>
    </w:p>
    <w:p w14:paraId="55D6E7AF" w14:textId="66BD67D1" w:rsidR="00AC3E17" w:rsidRPr="009B275C" w:rsidRDefault="00AC3E17" w:rsidP="001A4ED7">
      <w:pPr>
        <w:pStyle w:val="BodyTextIndent2"/>
        <w:numPr>
          <w:ilvl w:val="2"/>
          <w:numId w:val="34"/>
        </w:numPr>
        <w:suppressAutoHyphens/>
        <w:spacing w:before="240" w:after="0" w:line="240" w:lineRule="auto"/>
        <w:ind w:hanging="720"/>
        <w:rPr>
          <w:rFonts w:ascii="Calibri" w:hAnsi="Calibri" w:cs="Calibri"/>
          <w:sz w:val="22"/>
          <w:szCs w:val="22"/>
          <w:lang w:val="en-CA"/>
        </w:rPr>
      </w:pPr>
      <w:r w:rsidRPr="009B275C">
        <w:rPr>
          <w:lang w:val="en-CA"/>
        </w:rPr>
        <w:t xml:space="preserve">The Owner submit, receive approval and implement a Traffic Impact Study to the satisfaction of the Manager of Transportation </w:t>
      </w:r>
      <w:proofErr w:type="gramStart"/>
      <w:r w:rsidRPr="009B275C">
        <w:rPr>
          <w:lang w:val="en-CA"/>
        </w:rPr>
        <w:t>Planning;</w:t>
      </w:r>
      <w:proofErr w:type="gramEnd"/>
    </w:p>
    <w:p w14:paraId="3082FAD1" w14:textId="77777777" w:rsidR="00AC3E17" w:rsidRPr="009B275C" w:rsidRDefault="00AC3E17" w:rsidP="001A4ED7">
      <w:pPr>
        <w:pStyle w:val="BodyTextIndent2"/>
        <w:numPr>
          <w:ilvl w:val="2"/>
          <w:numId w:val="34"/>
        </w:numPr>
        <w:suppressAutoHyphens/>
        <w:spacing w:before="240" w:after="0" w:line="240" w:lineRule="auto"/>
        <w:ind w:hanging="720"/>
        <w:rPr>
          <w:rFonts w:ascii="Calibri" w:hAnsi="Calibri" w:cs="Calibri"/>
          <w:sz w:val="22"/>
          <w:szCs w:val="22"/>
          <w:lang w:val="en-CA"/>
        </w:rPr>
      </w:pPr>
      <w:r w:rsidRPr="009B275C">
        <w:rPr>
          <w:lang w:val="en-CA"/>
        </w:rPr>
        <w:t>That the Owner submit and implement a Tenant Relocation Plan once it has been approved by the City Solicitor, Ward Councillor and Director of Planning and Chief Planner.</w:t>
      </w:r>
    </w:p>
    <w:p w14:paraId="2BDD0064" w14:textId="77777777" w:rsidR="00AC3E17" w:rsidRPr="009B275C" w:rsidRDefault="00AC3E17" w:rsidP="00AC3E17">
      <w:pPr>
        <w:pStyle w:val="BodyTextIndent2"/>
        <w:numPr>
          <w:ilvl w:val="0"/>
          <w:numId w:val="34"/>
        </w:numPr>
        <w:suppressAutoHyphens/>
        <w:spacing w:before="240" w:after="0" w:line="240" w:lineRule="auto"/>
        <w:ind w:left="709" w:hanging="720"/>
        <w:rPr>
          <w:lang w:val="en-CA"/>
        </w:rPr>
      </w:pPr>
      <w:r w:rsidRPr="009B275C">
        <w:rPr>
          <w:lang w:val="en-CA"/>
        </w:rPr>
        <w:t xml:space="preserve">That no building or structure shall be erected, altered, extended, or enlarged, nor shall any building or structure or part thereof be used, nor shall any land be used, except in accordance with the “E” (Multiple Dwellings, Lodges, Clubs, Etc.) District provisions, subject to the special requirements referred to in Section 2 of this </w:t>
      </w:r>
      <w:proofErr w:type="gramStart"/>
      <w:r w:rsidRPr="009B275C">
        <w:rPr>
          <w:lang w:val="en-CA"/>
        </w:rPr>
        <w:t>By-law;</w:t>
      </w:r>
      <w:proofErr w:type="gramEnd"/>
    </w:p>
    <w:p w14:paraId="5864B559" w14:textId="77777777" w:rsidR="00AC3E17" w:rsidRPr="009B275C" w:rsidRDefault="00AC3E17" w:rsidP="00AC3E17">
      <w:pPr>
        <w:numPr>
          <w:ilvl w:val="0"/>
          <w:numId w:val="34"/>
        </w:numPr>
        <w:spacing w:before="240" w:line="240" w:lineRule="auto"/>
        <w:ind w:left="709" w:hanging="720"/>
        <w:rPr>
          <w:spacing w:val="-3"/>
          <w:lang w:val="en-CA"/>
        </w:rPr>
      </w:pPr>
      <w:r w:rsidRPr="009B275C">
        <w:rPr>
          <w:spacing w:val="-3"/>
          <w:lang w:val="en-CA"/>
        </w:rPr>
        <w:t xml:space="preserve">That Sheet No. E-6 of the District Maps is amended by marking the lands </w:t>
      </w:r>
      <w:r w:rsidRPr="009B275C">
        <w:rPr>
          <w:spacing w:val="-3"/>
          <w:lang w:val="en-CA"/>
        </w:rPr>
        <w:tab/>
        <w:t>referred to in Section 1 of this By-law as “</w:t>
      </w:r>
      <w:r w:rsidRPr="009B275C">
        <w:rPr>
          <w:lang w:val="en-CA"/>
        </w:rPr>
        <w:t>E/S-1815-H</w:t>
      </w:r>
      <w:proofErr w:type="gramStart"/>
      <w:r w:rsidRPr="009B275C">
        <w:rPr>
          <w:spacing w:val="-3"/>
          <w:lang w:val="en-CA"/>
        </w:rPr>
        <w:t>”;</w:t>
      </w:r>
      <w:proofErr w:type="gramEnd"/>
    </w:p>
    <w:p w14:paraId="2A8DF9F0" w14:textId="77777777" w:rsidR="00AC3E17" w:rsidRPr="009B275C" w:rsidRDefault="00AC3E17" w:rsidP="00AC3E17">
      <w:pPr>
        <w:numPr>
          <w:ilvl w:val="0"/>
          <w:numId w:val="34"/>
        </w:numPr>
        <w:spacing w:before="240" w:line="240" w:lineRule="auto"/>
        <w:ind w:left="709" w:hanging="720"/>
        <w:rPr>
          <w:spacing w:val="-3"/>
          <w:lang w:val="en-CA"/>
        </w:rPr>
      </w:pPr>
      <w:r w:rsidRPr="009B275C">
        <w:rPr>
          <w:lang w:val="en-CA"/>
        </w:rPr>
        <w:t>That By-law No. 6593 (Hamilton) is amended by adding this By-law to Section 19B as Schedule S-</w:t>
      </w:r>
      <w:r w:rsidRPr="009B275C">
        <w:rPr>
          <w:spacing w:val="-3"/>
          <w:lang w:val="en-CA"/>
        </w:rPr>
        <w:t>1815</w:t>
      </w:r>
      <w:r w:rsidRPr="009B275C">
        <w:rPr>
          <w:lang w:val="en-CA"/>
        </w:rPr>
        <w:t>; and,</w:t>
      </w:r>
    </w:p>
    <w:p w14:paraId="23BA4787" w14:textId="77777777" w:rsidR="00AC3E17" w:rsidRPr="009B275C" w:rsidRDefault="00AC3E17" w:rsidP="00AC3E17">
      <w:pPr>
        <w:numPr>
          <w:ilvl w:val="0"/>
          <w:numId w:val="34"/>
        </w:numPr>
        <w:spacing w:before="240" w:line="240" w:lineRule="auto"/>
        <w:ind w:left="709" w:hanging="720"/>
        <w:rPr>
          <w:spacing w:val="-3"/>
          <w:lang w:val="en-CA"/>
        </w:rPr>
      </w:pPr>
      <w:r w:rsidRPr="009B275C">
        <w:rPr>
          <w:lang w:val="en-CA"/>
        </w:rPr>
        <w:lastRenderedPageBreak/>
        <w:t>That this By-law No. 21-</w:t>
      </w:r>
      <w:r w:rsidRPr="009B275C">
        <w:rPr>
          <w:spacing w:val="-3"/>
          <w:lang w:val="en-CA"/>
        </w:rPr>
        <w:t xml:space="preserve">XX-OLT shall come into force and be deemed to come into force in accordance with Sub-section 34(21) of the </w:t>
      </w:r>
      <w:r w:rsidRPr="009B275C">
        <w:rPr>
          <w:i/>
          <w:iCs/>
          <w:spacing w:val="-3"/>
          <w:lang w:val="en-CA"/>
        </w:rPr>
        <w:t xml:space="preserve">Planning Act, </w:t>
      </w:r>
      <w:r w:rsidRPr="009B275C">
        <w:rPr>
          <w:spacing w:val="-3"/>
          <w:lang w:val="en-CA"/>
        </w:rPr>
        <w:t>either upon the date of passage of this By-law or as otherwise provided by the said Sub-section.</w:t>
      </w:r>
    </w:p>
    <w:p w14:paraId="05FAD588" w14:textId="77777777" w:rsidR="00F55840" w:rsidRDefault="00F55840" w:rsidP="00AC3E17">
      <w:pPr>
        <w:spacing w:before="240"/>
        <w:rPr>
          <w:b/>
          <w:bCs/>
          <w:lang w:val="en-CA"/>
        </w:rPr>
      </w:pPr>
    </w:p>
    <w:p w14:paraId="3C56C9A1" w14:textId="4B8D4773" w:rsidR="00AC3E17" w:rsidRPr="009B275C" w:rsidRDefault="00AC3E17" w:rsidP="00AC3E17">
      <w:pPr>
        <w:spacing w:before="240"/>
        <w:rPr>
          <w:lang w:val="en-CA"/>
        </w:rPr>
      </w:pPr>
      <w:r w:rsidRPr="009B275C">
        <w:rPr>
          <w:b/>
          <w:bCs/>
          <w:lang w:val="en-CA"/>
        </w:rPr>
        <w:t>APPROVED</w:t>
      </w:r>
      <w:r w:rsidRPr="009B275C">
        <w:rPr>
          <w:lang w:val="en-CA"/>
        </w:rPr>
        <w:t xml:space="preserve"> this </w:t>
      </w:r>
      <w:r w:rsidRPr="009B275C">
        <w:rPr>
          <w:spacing w:val="-3"/>
          <w:lang w:val="en-CA"/>
        </w:rPr>
        <w:t>•</w:t>
      </w:r>
      <w:r w:rsidRPr="009B275C">
        <w:rPr>
          <w:lang w:val="en-CA"/>
        </w:rPr>
        <w:t xml:space="preserve"> day of </w:t>
      </w:r>
      <w:r w:rsidRPr="009B275C">
        <w:rPr>
          <w:spacing w:val="-3"/>
          <w:lang w:val="en-CA"/>
        </w:rPr>
        <w:t>•</w:t>
      </w:r>
      <w:r w:rsidRPr="009B275C">
        <w:rPr>
          <w:lang w:val="en-CA"/>
        </w:rPr>
        <w:t>, 2021.</w:t>
      </w:r>
    </w:p>
    <w:p w14:paraId="463D9A37" w14:textId="327A9C3E" w:rsidR="00921A6F" w:rsidRPr="009B275C" w:rsidRDefault="00AC3E17" w:rsidP="001A4ED7">
      <w:pPr>
        <w:rPr>
          <w:lang w:val="en-CA"/>
        </w:rPr>
      </w:pPr>
      <w:r w:rsidRPr="009B275C">
        <w:rPr>
          <w:noProof/>
          <w:lang w:val="en-CA"/>
        </w:rPr>
        <w:lastRenderedPageBreak/>
        <w:drawing>
          <wp:anchor distT="0" distB="0" distL="114300" distR="114300" simplePos="0" relativeHeight="251659776" behindDoc="1" locked="0" layoutInCell="1" allowOverlap="1" wp14:anchorId="24411466" wp14:editId="4E4AD67B">
            <wp:simplePos x="0" y="0"/>
            <wp:positionH relativeFrom="margin">
              <wp:align>center</wp:align>
            </wp:positionH>
            <wp:positionV relativeFrom="paragraph">
              <wp:posOffset>0</wp:posOffset>
            </wp:positionV>
            <wp:extent cx="6394450" cy="7924800"/>
            <wp:effectExtent l="0" t="0" r="6350" b="0"/>
            <wp:wrapTight wrapText="bothSides">
              <wp:wrapPolygon edited="0">
                <wp:start x="0" y="0"/>
                <wp:lineTo x="0" y="21548"/>
                <wp:lineTo x="21557" y="21548"/>
                <wp:lineTo x="215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4450" cy="7924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1A6F" w:rsidRPr="009B275C" w:rsidSect="00B531F0">
      <w:headerReference w:type="default" r:id="rId14"/>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3458" w14:textId="77777777" w:rsidR="00557BA9" w:rsidRDefault="00557BA9">
      <w:r>
        <w:separator/>
      </w:r>
    </w:p>
  </w:endnote>
  <w:endnote w:type="continuationSeparator" w:id="0">
    <w:p w14:paraId="154066F8" w14:textId="77777777" w:rsidR="00557BA9" w:rsidRDefault="0055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AFEF1" w14:textId="77777777" w:rsidR="00557BA9" w:rsidRDefault="00557BA9">
      <w:r>
        <w:separator/>
      </w:r>
    </w:p>
  </w:footnote>
  <w:footnote w:type="continuationSeparator" w:id="0">
    <w:p w14:paraId="4A47078E" w14:textId="77777777" w:rsidR="00557BA9" w:rsidRDefault="0055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531D" w14:textId="0B21BAA2" w:rsidR="00365017" w:rsidRDefault="00365017" w:rsidP="00051849">
    <w:pPr>
      <w:pStyle w:val="Header"/>
      <w:tabs>
        <w:tab w:val="clear" w:pos="4320"/>
        <w:tab w:val="clear" w:pos="8640"/>
        <w:tab w:val="center" w:pos="4680"/>
        <w:tab w:val="right" w:pos="9360"/>
      </w:tabs>
      <w:jc w:val="center"/>
    </w:pPr>
    <w:r>
      <w:tab/>
    </w:r>
    <w:r>
      <w:fldChar w:fldCharType="begin"/>
    </w:r>
    <w:r>
      <w:instrText xml:space="preserve"> PAGE   \* MERGEFORMAT </w:instrText>
    </w:r>
    <w:r>
      <w:fldChar w:fldCharType="separate"/>
    </w:r>
    <w:r>
      <w:rPr>
        <w:noProof/>
      </w:rPr>
      <w:t>2</w:t>
    </w:r>
    <w:r>
      <w:rPr>
        <w:noProof/>
      </w:rPr>
      <w:fldChar w:fldCharType="end"/>
    </w:r>
    <w:r>
      <w:rPr>
        <w:noProof/>
      </w:rPr>
      <w:tab/>
    </w:r>
    <w:r w:rsidR="00F33467">
      <w:rPr>
        <w:noProof/>
      </w:rPr>
      <w:t>PL171389</w:t>
    </w:r>
  </w:p>
  <w:p w14:paraId="25DD59E6" w14:textId="52CF0962" w:rsidR="00365017" w:rsidRDefault="00365017" w:rsidP="00051849">
    <w:pPr>
      <w:pStyle w:val="Header"/>
      <w:tabs>
        <w:tab w:val="clear" w:pos="4320"/>
        <w:tab w:val="clear" w:pos="8640"/>
        <w:tab w:val="center" w:pos="4680"/>
        <w:tab w:val="right" w:pos="9360"/>
      </w:tabs>
      <w:spacing w:line="240" w:lineRule="auto"/>
      <w:rPr>
        <w:rFonts w:cs="Arial"/>
        <w:bCs/>
      </w:rPr>
    </w:pPr>
  </w:p>
  <w:p w14:paraId="6BA7CFB6" w14:textId="77777777" w:rsidR="00365017" w:rsidRDefault="00365017" w:rsidP="00051849">
    <w:pPr>
      <w:pStyle w:val="Header"/>
      <w:tabs>
        <w:tab w:val="clear" w:pos="4320"/>
        <w:tab w:val="clear" w:pos="8640"/>
        <w:tab w:val="center" w:pos="4680"/>
        <w:tab w:val="right" w:pos="9360"/>
      </w:tabs>
      <w:spacing w:line="240" w:lineRule="auto"/>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3B3E"/>
    <w:multiLevelType w:val="hybridMultilevel"/>
    <w:tmpl w:val="0888A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239E2"/>
    <w:multiLevelType w:val="hybridMultilevel"/>
    <w:tmpl w:val="4B7C36B0"/>
    <w:lvl w:ilvl="0" w:tplc="ED067D10">
      <w:start w:val="1"/>
      <w:numFmt w:val="lowerRoman"/>
      <w:lvlText w:val="%1."/>
      <w:lvlJc w:val="left"/>
      <w:pPr>
        <w:ind w:left="1440" w:hanging="720"/>
      </w:pPr>
      <w:rPr>
        <w:rFonts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E12F76"/>
    <w:multiLevelType w:val="hybridMultilevel"/>
    <w:tmpl w:val="1F849344"/>
    <w:lvl w:ilvl="0" w:tplc="6F2EAAFA">
      <w:start w:val="1"/>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0F3D92"/>
    <w:multiLevelType w:val="hybridMultilevel"/>
    <w:tmpl w:val="97EE1A3A"/>
    <w:lvl w:ilvl="0" w:tplc="C0227F7A">
      <w:start w:val="1"/>
      <w:numFmt w:val="decimal"/>
      <w:lvlText w:val="[%1]"/>
      <w:lvlJc w:val="left"/>
      <w:pPr>
        <w:ind w:left="720" w:hanging="360"/>
      </w:pPr>
      <w:rPr>
        <w:rFonts w:hint="default"/>
        <w:i w:val="0"/>
        <w:iCs/>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8C618F"/>
    <w:multiLevelType w:val="hybridMultilevel"/>
    <w:tmpl w:val="F93E4DC4"/>
    <w:lvl w:ilvl="0" w:tplc="3E00E0B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D034F"/>
    <w:multiLevelType w:val="hybridMultilevel"/>
    <w:tmpl w:val="14CAD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0A2399"/>
    <w:multiLevelType w:val="hybridMultilevel"/>
    <w:tmpl w:val="4B7C36B0"/>
    <w:lvl w:ilvl="0" w:tplc="ED067D10">
      <w:start w:val="1"/>
      <w:numFmt w:val="lowerRoman"/>
      <w:lvlText w:val="%1."/>
      <w:lvlJc w:val="left"/>
      <w:pPr>
        <w:ind w:left="1440" w:hanging="720"/>
      </w:pPr>
      <w:rPr>
        <w:rFonts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67654A"/>
    <w:multiLevelType w:val="hybridMultilevel"/>
    <w:tmpl w:val="17FA39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724F6D"/>
    <w:multiLevelType w:val="hybridMultilevel"/>
    <w:tmpl w:val="2454FC56"/>
    <w:lvl w:ilvl="0" w:tplc="AB6A93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571F4C"/>
    <w:multiLevelType w:val="hybridMultilevel"/>
    <w:tmpl w:val="D3D64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033A9D"/>
    <w:multiLevelType w:val="hybridMultilevel"/>
    <w:tmpl w:val="AE882546"/>
    <w:lvl w:ilvl="0" w:tplc="1D9C318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C336B99"/>
    <w:multiLevelType w:val="hybridMultilevel"/>
    <w:tmpl w:val="3C029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00F61"/>
    <w:multiLevelType w:val="multilevel"/>
    <w:tmpl w:val="7C4A95A2"/>
    <w:lvl w:ilvl="0">
      <w:start w:val="1"/>
      <w:numFmt w:val="decimal"/>
      <w:pStyle w:val="DecimalNumbers"/>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53D33D7"/>
    <w:multiLevelType w:val="hybridMultilevel"/>
    <w:tmpl w:val="16C26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3F2257"/>
    <w:multiLevelType w:val="hybridMultilevel"/>
    <w:tmpl w:val="C66CA724"/>
    <w:lvl w:ilvl="0" w:tplc="ECE6F59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6B6494"/>
    <w:multiLevelType w:val="hybridMultilevel"/>
    <w:tmpl w:val="9AD09E02"/>
    <w:lvl w:ilvl="0" w:tplc="1FD69B80">
      <w:start w:val="1"/>
      <w:numFmt w:val="decimal"/>
      <w:lvlText w:val="[%1]"/>
      <w:lvlJc w:val="left"/>
      <w:pPr>
        <w:ind w:left="720" w:hanging="360"/>
      </w:pPr>
      <w:rPr>
        <w:rFonts w:hint="default"/>
      </w:rPr>
    </w:lvl>
    <w:lvl w:ilvl="1" w:tplc="7B282598">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8A049E"/>
    <w:multiLevelType w:val="hybridMultilevel"/>
    <w:tmpl w:val="B8C61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DE1CF0"/>
    <w:multiLevelType w:val="hybridMultilevel"/>
    <w:tmpl w:val="EB0E3160"/>
    <w:lvl w:ilvl="0" w:tplc="C584040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14D7AA6"/>
    <w:multiLevelType w:val="hybridMultilevel"/>
    <w:tmpl w:val="D5BE6D88"/>
    <w:lvl w:ilvl="0" w:tplc="108AD28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52A13F8"/>
    <w:multiLevelType w:val="hybridMultilevel"/>
    <w:tmpl w:val="9312A8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D9A579C"/>
    <w:multiLevelType w:val="multilevel"/>
    <w:tmpl w:val="E0162F76"/>
    <w:lvl w:ilvl="0">
      <w:start w:val="1"/>
      <w:numFmt w:val="decimal"/>
      <w:lvlText w:val="%1."/>
      <w:lvlJc w:val="left"/>
      <w:pPr>
        <w:tabs>
          <w:tab w:val="num" w:pos="720"/>
        </w:tabs>
        <w:ind w:left="720" w:hanging="720"/>
      </w:pPr>
      <w:rPr>
        <w:rFonts w:hint="default"/>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22" w15:restartNumberingAfterBreak="0">
    <w:nsid w:val="51FB4DA7"/>
    <w:multiLevelType w:val="hybridMultilevel"/>
    <w:tmpl w:val="AE6C0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C247BE"/>
    <w:multiLevelType w:val="hybridMultilevel"/>
    <w:tmpl w:val="1CC4DAB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4525EB"/>
    <w:multiLevelType w:val="hybridMultilevel"/>
    <w:tmpl w:val="A256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60955"/>
    <w:multiLevelType w:val="hybridMultilevel"/>
    <w:tmpl w:val="8D8E2172"/>
    <w:lvl w:ilvl="0" w:tplc="2BC228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2A22403"/>
    <w:multiLevelType w:val="hybridMultilevel"/>
    <w:tmpl w:val="89A63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0D645F"/>
    <w:multiLevelType w:val="hybridMultilevel"/>
    <w:tmpl w:val="7A00F66C"/>
    <w:lvl w:ilvl="0" w:tplc="612AE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984AB3"/>
    <w:multiLevelType w:val="hybridMultilevel"/>
    <w:tmpl w:val="035E95C2"/>
    <w:lvl w:ilvl="0" w:tplc="434E6F5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9B50369"/>
    <w:multiLevelType w:val="hybridMultilevel"/>
    <w:tmpl w:val="FADEA182"/>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B2F18"/>
    <w:multiLevelType w:val="hybridMultilevel"/>
    <w:tmpl w:val="99AA81E0"/>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3E00E0B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70226"/>
    <w:multiLevelType w:val="hybridMultilevel"/>
    <w:tmpl w:val="E7066E5E"/>
    <w:lvl w:ilvl="0" w:tplc="6F2EAAFA">
      <w:start w:val="1"/>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2" w15:restartNumberingAfterBreak="0">
    <w:nsid w:val="6F9F6F46"/>
    <w:multiLevelType w:val="hybridMultilevel"/>
    <w:tmpl w:val="5CC67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3B261C"/>
    <w:multiLevelType w:val="hybridMultilevel"/>
    <w:tmpl w:val="9440D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B369D4"/>
    <w:multiLevelType w:val="hybridMultilevel"/>
    <w:tmpl w:val="7EB0B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AE5B93"/>
    <w:multiLevelType w:val="hybridMultilevel"/>
    <w:tmpl w:val="E37EF10A"/>
    <w:lvl w:ilvl="0" w:tplc="3E00E0B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022E1"/>
    <w:multiLevelType w:val="hybridMultilevel"/>
    <w:tmpl w:val="BC208F92"/>
    <w:lvl w:ilvl="0" w:tplc="8790024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2"/>
  </w:num>
  <w:num w:numId="3">
    <w:abstractNumId w:val="21"/>
  </w:num>
  <w:num w:numId="4">
    <w:abstractNumId w:val="13"/>
  </w:num>
  <w:num w:numId="5">
    <w:abstractNumId w:val="15"/>
  </w:num>
  <w:num w:numId="6">
    <w:abstractNumId w:val="20"/>
  </w:num>
  <w:num w:numId="7">
    <w:abstractNumId w:val="17"/>
  </w:num>
  <w:num w:numId="8">
    <w:abstractNumId w:val="4"/>
  </w:num>
  <w:num w:numId="9">
    <w:abstractNumId w:val="0"/>
  </w:num>
  <w:num w:numId="10">
    <w:abstractNumId w:val="34"/>
  </w:num>
  <w:num w:numId="11">
    <w:abstractNumId w:val="26"/>
  </w:num>
  <w:num w:numId="12">
    <w:abstractNumId w:val="25"/>
  </w:num>
  <w:num w:numId="13">
    <w:abstractNumId w:val="1"/>
  </w:num>
  <w:num w:numId="14">
    <w:abstractNumId w:val="9"/>
  </w:num>
  <w:num w:numId="15">
    <w:abstractNumId w:val="18"/>
  </w:num>
  <w:num w:numId="16">
    <w:abstractNumId w:val="19"/>
  </w:num>
  <w:num w:numId="17">
    <w:abstractNumId w:val="7"/>
  </w:num>
  <w:num w:numId="18">
    <w:abstractNumId w:val="27"/>
  </w:num>
  <w:num w:numId="19">
    <w:abstractNumId w:val="12"/>
  </w:num>
  <w:num w:numId="20">
    <w:abstractNumId w:val="24"/>
  </w:num>
  <w:num w:numId="21">
    <w:abstractNumId w:val="8"/>
  </w:num>
  <w:num w:numId="22">
    <w:abstractNumId w:val="36"/>
  </w:num>
  <w:num w:numId="23">
    <w:abstractNumId w:val="11"/>
  </w:num>
  <w:num w:numId="24">
    <w:abstractNumId w:val="28"/>
  </w:num>
  <w:num w:numId="25">
    <w:abstractNumId w:val="6"/>
  </w:num>
  <w:num w:numId="26">
    <w:abstractNumId w:val="22"/>
  </w:num>
  <w:num w:numId="27">
    <w:abstractNumId w:val="32"/>
  </w:num>
  <w:num w:numId="28">
    <w:abstractNumId w:val="10"/>
  </w:num>
  <w:num w:numId="29">
    <w:abstractNumId w:val="33"/>
  </w:num>
  <w:num w:numId="30">
    <w:abstractNumId w:val="31"/>
  </w:num>
  <w:num w:numId="31">
    <w:abstractNumId w:val="3"/>
  </w:num>
  <w:num w:numId="32">
    <w:abstractNumId w:val="23"/>
  </w:num>
  <w:num w:numId="33">
    <w:abstractNumId w:val="14"/>
  </w:num>
  <w:num w:numId="34">
    <w:abstractNumId w:val="30"/>
  </w:num>
  <w:num w:numId="35">
    <w:abstractNumId w:val="29"/>
  </w:num>
  <w:num w:numId="36">
    <w:abstractNumId w:val="35"/>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E60"/>
    <w:rsid w:val="00000F95"/>
    <w:rsid w:val="00001661"/>
    <w:rsid w:val="00001800"/>
    <w:rsid w:val="00001CE6"/>
    <w:rsid w:val="0000219B"/>
    <w:rsid w:val="0000222A"/>
    <w:rsid w:val="000028EB"/>
    <w:rsid w:val="00002AB5"/>
    <w:rsid w:val="00003494"/>
    <w:rsid w:val="00003547"/>
    <w:rsid w:val="00003E63"/>
    <w:rsid w:val="00003F8E"/>
    <w:rsid w:val="000041CA"/>
    <w:rsid w:val="000057DF"/>
    <w:rsid w:val="000059E4"/>
    <w:rsid w:val="00006011"/>
    <w:rsid w:val="00006EA1"/>
    <w:rsid w:val="00007116"/>
    <w:rsid w:val="000074CB"/>
    <w:rsid w:val="00010615"/>
    <w:rsid w:val="0001095C"/>
    <w:rsid w:val="00010FD4"/>
    <w:rsid w:val="00011F1C"/>
    <w:rsid w:val="00012285"/>
    <w:rsid w:val="00012BE1"/>
    <w:rsid w:val="0001398A"/>
    <w:rsid w:val="00013DB4"/>
    <w:rsid w:val="00013E17"/>
    <w:rsid w:val="000145AD"/>
    <w:rsid w:val="000146EA"/>
    <w:rsid w:val="0001498A"/>
    <w:rsid w:val="000156C8"/>
    <w:rsid w:val="000158C3"/>
    <w:rsid w:val="000158FC"/>
    <w:rsid w:val="00015DCD"/>
    <w:rsid w:val="00016445"/>
    <w:rsid w:val="0001644B"/>
    <w:rsid w:val="00016E7A"/>
    <w:rsid w:val="00016E9B"/>
    <w:rsid w:val="000170F3"/>
    <w:rsid w:val="00017DFC"/>
    <w:rsid w:val="000200EE"/>
    <w:rsid w:val="0002013E"/>
    <w:rsid w:val="0002028F"/>
    <w:rsid w:val="00020CBD"/>
    <w:rsid w:val="00020EAB"/>
    <w:rsid w:val="00021852"/>
    <w:rsid w:val="00021BD2"/>
    <w:rsid w:val="00021E3B"/>
    <w:rsid w:val="00022043"/>
    <w:rsid w:val="0002264A"/>
    <w:rsid w:val="00022755"/>
    <w:rsid w:val="00023023"/>
    <w:rsid w:val="00023401"/>
    <w:rsid w:val="00023664"/>
    <w:rsid w:val="00023BC2"/>
    <w:rsid w:val="00024757"/>
    <w:rsid w:val="0002503B"/>
    <w:rsid w:val="0002513C"/>
    <w:rsid w:val="00025163"/>
    <w:rsid w:val="00025733"/>
    <w:rsid w:val="000258BA"/>
    <w:rsid w:val="00026298"/>
    <w:rsid w:val="00026877"/>
    <w:rsid w:val="00026976"/>
    <w:rsid w:val="0002707D"/>
    <w:rsid w:val="000300F4"/>
    <w:rsid w:val="000303A7"/>
    <w:rsid w:val="00031121"/>
    <w:rsid w:val="00031459"/>
    <w:rsid w:val="00031ADC"/>
    <w:rsid w:val="00031BBB"/>
    <w:rsid w:val="00031C6E"/>
    <w:rsid w:val="00032432"/>
    <w:rsid w:val="00032528"/>
    <w:rsid w:val="00032E54"/>
    <w:rsid w:val="000336C2"/>
    <w:rsid w:val="00033B3C"/>
    <w:rsid w:val="000357DB"/>
    <w:rsid w:val="0003592F"/>
    <w:rsid w:val="0003610F"/>
    <w:rsid w:val="00036572"/>
    <w:rsid w:val="00036646"/>
    <w:rsid w:val="00036A75"/>
    <w:rsid w:val="00036D9E"/>
    <w:rsid w:val="00036F7C"/>
    <w:rsid w:val="0003783B"/>
    <w:rsid w:val="00037955"/>
    <w:rsid w:val="000403B1"/>
    <w:rsid w:val="00041344"/>
    <w:rsid w:val="00041D9B"/>
    <w:rsid w:val="00042010"/>
    <w:rsid w:val="000424A6"/>
    <w:rsid w:val="000424EA"/>
    <w:rsid w:val="00042F44"/>
    <w:rsid w:val="00043645"/>
    <w:rsid w:val="0004367C"/>
    <w:rsid w:val="0004492A"/>
    <w:rsid w:val="000449A4"/>
    <w:rsid w:val="00045EAB"/>
    <w:rsid w:val="00046827"/>
    <w:rsid w:val="00046DBF"/>
    <w:rsid w:val="00046E35"/>
    <w:rsid w:val="00047785"/>
    <w:rsid w:val="00047B80"/>
    <w:rsid w:val="00047C2B"/>
    <w:rsid w:val="00047D2F"/>
    <w:rsid w:val="00047F11"/>
    <w:rsid w:val="00051849"/>
    <w:rsid w:val="00052047"/>
    <w:rsid w:val="000521C3"/>
    <w:rsid w:val="000523A1"/>
    <w:rsid w:val="000529CF"/>
    <w:rsid w:val="00052D62"/>
    <w:rsid w:val="00053296"/>
    <w:rsid w:val="00053F20"/>
    <w:rsid w:val="00054715"/>
    <w:rsid w:val="00054717"/>
    <w:rsid w:val="00054917"/>
    <w:rsid w:val="000549E1"/>
    <w:rsid w:val="00054A4A"/>
    <w:rsid w:val="00054A9F"/>
    <w:rsid w:val="00054BB9"/>
    <w:rsid w:val="00054BC3"/>
    <w:rsid w:val="00054CF2"/>
    <w:rsid w:val="00054E38"/>
    <w:rsid w:val="00056899"/>
    <w:rsid w:val="00056B46"/>
    <w:rsid w:val="0005791D"/>
    <w:rsid w:val="0006052C"/>
    <w:rsid w:val="00060BC0"/>
    <w:rsid w:val="0006188A"/>
    <w:rsid w:val="00061DAB"/>
    <w:rsid w:val="00061E90"/>
    <w:rsid w:val="00062B28"/>
    <w:rsid w:val="000635FE"/>
    <w:rsid w:val="00063A09"/>
    <w:rsid w:val="00063EB6"/>
    <w:rsid w:val="0006439A"/>
    <w:rsid w:val="0006524D"/>
    <w:rsid w:val="00065FD8"/>
    <w:rsid w:val="00066772"/>
    <w:rsid w:val="000673C6"/>
    <w:rsid w:val="000674CD"/>
    <w:rsid w:val="000677E6"/>
    <w:rsid w:val="00070AB8"/>
    <w:rsid w:val="00070D8C"/>
    <w:rsid w:val="0007134E"/>
    <w:rsid w:val="00071ADD"/>
    <w:rsid w:val="00071B0F"/>
    <w:rsid w:val="000724B2"/>
    <w:rsid w:val="0007280B"/>
    <w:rsid w:val="00072BEB"/>
    <w:rsid w:val="00073145"/>
    <w:rsid w:val="000733B1"/>
    <w:rsid w:val="000737BF"/>
    <w:rsid w:val="000738DE"/>
    <w:rsid w:val="00073EE7"/>
    <w:rsid w:val="0007426B"/>
    <w:rsid w:val="0007466D"/>
    <w:rsid w:val="00075342"/>
    <w:rsid w:val="00075506"/>
    <w:rsid w:val="000758AF"/>
    <w:rsid w:val="00076196"/>
    <w:rsid w:val="00076202"/>
    <w:rsid w:val="000762D6"/>
    <w:rsid w:val="00076693"/>
    <w:rsid w:val="00076881"/>
    <w:rsid w:val="00076A52"/>
    <w:rsid w:val="00077893"/>
    <w:rsid w:val="00077E32"/>
    <w:rsid w:val="000801F1"/>
    <w:rsid w:val="00080541"/>
    <w:rsid w:val="0008105B"/>
    <w:rsid w:val="00081679"/>
    <w:rsid w:val="000819EC"/>
    <w:rsid w:val="00081B5B"/>
    <w:rsid w:val="00081B93"/>
    <w:rsid w:val="0008372B"/>
    <w:rsid w:val="00083732"/>
    <w:rsid w:val="00083B66"/>
    <w:rsid w:val="00084077"/>
    <w:rsid w:val="00084AEB"/>
    <w:rsid w:val="00084BA2"/>
    <w:rsid w:val="00085578"/>
    <w:rsid w:val="00085F5C"/>
    <w:rsid w:val="00086821"/>
    <w:rsid w:val="0008685A"/>
    <w:rsid w:val="000871FE"/>
    <w:rsid w:val="00087B15"/>
    <w:rsid w:val="00087D2F"/>
    <w:rsid w:val="00087D8A"/>
    <w:rsid w:val="00087F76"/>
    <w:rsid w:val="00090781"/>
    <w:rsid w:val="00090AF5"/>
    <w:rsid w:val="00090ED0"/>
    <w:rsid w:val="000910EC"/>
    <w:rsid w:val="00091195"/>
    <w:rsid w:val="00091632"/>
    <w:rsid w:val="00091680"/>
    <w:rsid w:val="00091710"/>
    <w:rsid w:val="00091AB7"/>
    <w:rsid w:val="00091FF5"/>
    <w:rsid w:val="000926A8"/>
    <w:rsid w:val="00093237"/>
    <w:rsid w:val="0009324B"/>
    <w:rsid w:val="0009382C"/>
    <w:rsid w:val="0009392B"/>
    <w:rsid w:val="00093980"/>
    <w:rsid w:val="00093F08"/>
    <w:rsid w:val="00094536"/>
    <w:rsid w:val="000947B2"/>
    <w:rsid w:val="00094A5E"/>
    <w:rsid w:val="00095670"/>
    <w:rsid w:val="0009599F"/>
    <w:rsid w:val="00096851"/>
    <w:rsid w:val="00096AD5"/>
    <w:rsid w:val="000973D4"/>
    <w:rsid w:val="0009752A"/>
    <w:rsid w:val="00097693"/>
    <w:rsid w:val="000A019F"/>
    <w:rsid w:val="000A01A9"/>
    <w:rsid w:val="000A02BC"/>
    <w:rsid w:val="000A10B4"/>
    <w:rsid w:val="000A143A"/>
    <w:rsid w:val="000A23AD"/>
    <w:rsid w:val="000A288C"/>
    <w:rsid w:val="000A2ACF"/>
    <w:rsid w:val="000A2AD5"/>
    <w:rsid w:val="000A3451"/>
    <w:rsid w:val="000A3B3B"/>
    <w:rsid w:val="000A49E6"/>
    <w:rsid w:val="000A4BEA"/>
    <w:rsid w:val="000A50BB"/>
    <w:rsid w:val="000A5291"/>
    <w:rsid w:val="000A592F"/>
    <w:rsid w:val="000A6129"/>
    <w:rsid w:val="000A682F"/>
    <w:rsid w:val="000A69E7"/>
    <w:rsid w:val="000A6A38"/>
    <w:rsid w:val="000A716B"/>
    <w:rsid w:val="000A742D"/>
    <w:rsid w:val="000A7742"/>
    <w:rsid w:val="000B02E4"/>
    <w:rsid w:val="000B03E9"/>
    <w:rsid w:val="000B0966"/>
    <w:rsid w:val="000B0BC2"/>
    <w:rsid w:val="000B0FFF"/>
    <w:rsid w:val="000B1E4F"/>
    <w:rsid w:val="000B2EA9"/>
    <w:rsid w:val="000B3003"/>
    <w:rsid w:val="000B3461"/>
    <w:rsid w:val="000B355D"/>
    <w:rsid w:val="000B41C7"/>
    <w:rsid w:val="000B4BFB"/>
    <w:rsid w:val="000B4CBF"/>
    <w:rsid w:val="000B53D0"/>
    <w:rsid w:val="000B55E4"/>
    <w:rsid w:val="000B62A1"/>
    <w:rsid w:val="000B674D"/>
    <w:rsid w:val="000B6801"/>
    <w:rsid w:val="000B6DFF"/>
    <w:rsid w:val="000B757A"/>
    <w:rsid w:val="000B7B7E"/>
    <w:rsid w:val="000B7C8F"/>
    <w:rsid w:val="000C04FB"/>
    <w:rsid w:val="000C0628"/>
    <w:rsid w:val="000C0668"/>
    <w:rsid w:val="000C0990"/>
    <w:rsid w:val="000C0997"/>
    <w:rsid w:val="000C0D21"/>
    <w:rsid w:val="000C1840"/>
    <w:rsid w:val="000C21BB"/>
    <w:rsid w:val="000C2DC2"/>
    <w:rsid w:val="000C2F06"/>
    <w:rsid w:val="000C3189"/>
    <w:rsid w:val="000C3470"/>
    <w:rsid w:val="000C3FC5"/>
    <w:rsid w:val="000C44B5"/>
    <w:rsid w:val="000C480C"/>
    <w:rsid w:val="000C4947"/>
    <w:rsid w:val="000C52C7"/>
    <w:rsid w:val="000C63DB"/>
    <w:rsid w:val="000C681D"/>
    <w:rsid w:val="000C6933"/>
    <w:rsid w:val="000C6C58"/>
    <w:rsid w:val="000C6E72"/>
    <w:rsid w:val="000C7608"/>
    <w:rsid w:val="000C7769"/>
    <w:rsid w:val="000D0135"/>
    <w:rsid w:val="000D02CE"/>
    <w:rsid w:val="000D0EC6"/>
    <w:rsid w:val="000D1766"/>
    <w:rsid w:val="000D1DEE"/>
    <w:rsid w:val="000D22FB"/>
    <w:rsid w:val="000D3001"/>
    <w:rsid w:val="000D334D"/>
    <w:rsid w:val="000D3661"/>
    <w:rsid w:val="000D454A"/>
    <w:rsid w:val="000D474B"/>
    <w:rsid w:val="000D5465"/>
    <w:rsid w:val="000D62AB"/>
    <w:rsid w:val="000D6CD5"/>
    <w:rsid w:val="000D6F9D"/>
    <w:rsid w:val="000D716E"/>
    <w:rsid w:val="000D7347"/>
    <w:rsid w:val="000D7BBD"/>
    <w:rsid w:val="000D7BEC"/>
    <w:rsid w:val="000D7C1B"/>
    <w:rsid w:val="000D7FDB"/>
    <w:rsid w:val="000E00A8"/>
    <w:rsid w:val="000E09FE"/>
    <w:rsid w:val="000E0B67"/>
    <w:rsid w:val="000E0CA1"/>
    <w:rsid w:val="000E0E5A"/>
    <w:rsid w:val="000E1204"/>
    <w:rsid w:val="000E1378"/>
    <w:rsid w:val="000E198C"/>
    <w:rsid w:val="000E19DD"/>
    <w:rsid w:val="000E1E0F"/>
    <w:rsid w:val="000E26FC"/>
    <w:rsid w:val="000E2C27"/>
    <w:rsid w:val="000E2CEC"/>
    <w:rsid w:val="000E2E3D"/>
    <w:rsid w:val="000E30CC"/>
    <w:rsid w:val="000E3131"/>
    <w:rsid w:val="000E3221"/>
    <w:rsid w:val="000E3924"/>
    <w:rsid w:val="000E39E1"/>
    <w:rsid w:val="000E48A5"/>
    <w:rsid w:val="000E4998"/>
    <w:rsid w:val="000E4A58"/>
    <w:rsid w:val="000E4BA2"/>
    <w:rsid w:val="000E5510"/>
    <w:rsid w:val="000E579B"/>
    <w:rsid w:val="000E61E3"/>
    <w:rsid w:val="000E6210"/>
    <w:rsid w:val="000E634B"/>
    <w:rsid w:val="000E63B2"/>
    <w:rsid w:val="000E69BA"/>
    <w:rsid w:val="000E6A91"/>
    <w:rsid w:val="000E6FCE"/>
    <w:rsid w:val="000E76CC"/>
    <w:rsid w:val="000E7732"/>
    <w:rsid w:val="000E7FB6"/>
    <w:rsid w:val="000F063C"/>
    <w:rsid w:val="000F068F"/>
    <w:rsid w:val="000F07A2"/>
    <w:rsid w:val="000F150D"/>
    <w:rsid w:val="000F1ACF"/>
    <w:rsid w:val="000F1DB2"/>
    <w:rsid w:val="000F1F5F"/>
    <w:rsid w:val="000F207D"/>
    <w:rsid w:val="000F2AB7"/>
    <w:rsid w:val="000F2C3E"/>
    <w:rsid w:val="000F3067"/>
    <w:rsid w:val="000F31BF"/>
    <w:rsid w:val="000F3B6C"/>
    <w:rsid w:val="000F3C21"/>
    <w:rsid w:val="000F45EE"/>
    <w:rsid w:val="000F4879"/>
    <w:rsid w:val="000F48ED"/>
    <w:rsid w:val="000F4A7F"/>
    <w:rsid w:val="000F4C61"/>
    <w:rsid w:val="000F5740"/>
    <w:rsid w:val="000F58B9"/>
    <w:rsid w:val="000F681B"/>
    <w:rsid w:val="000F6D1A"/>
    <w:rsid w:val="000F7F85"/>
    <w:rsid w:val="0010010E"/>
    <w:rsid w:val="00101492"/>
    <w:rsid w:val="001015E4"/>
    <w:rsid w:val="00101FB4"/>
    <w:rsid w:val="00102BA0"/>
    <w:rsid w:val="0010341D"/>
    <w:rsid w:val="00103BAE"/>
    <w:rsid w:val="00103EB0"/>
    <w:rsid w:val="00104809"/>
    <w:rsid w:val="00104941"/>
    <w:rsid w:val="00104965"/>
    <w:rsid w:val="00105498"/>
    <w:rsid w:val="00105642"/>
    <w:rsid w:val="0010573D"/>
    <w:rsid w:val="00106418"/>
    <w:rsid w:val="0010702C"/>
    <w:rsid w:val="0010727C"/>
    <w:rsid w:val="001075C6"/>
    <w:rsid w:val="00107647"/>
    <w:rsid w:val="0010799B"/>
    <w:rsid w:val="00107DF4"/>
    <w:rsid w:val="00107F5F"/>
    <w:rsid w:val="0011120A"/>
    <w:rsid w:val="0011148C"/>
    <w:rsid w:val="0011149E"/>
    <w:rsid w:val="00111F0C"/>
    <w:rsid w:val="001123A1"/>
    <w:rsid w:val="00112739"/>
    <w:rsid w:val="001133A0"/>
    <w:rsid w:val="001133AF"/>
    <w:rsid w:val="001139DB"/>
    <w:rsid w:val="0011417F"/>
    <w:rsid w:val="00114550"/>
    <w:rsid w:val="00114DD6"/>
    <w:rsid w:val="00115558"/>
    <w:rsid w:val="001155DF"/>
    <w:rsid w:val="00115F24"/>
    <w:rsid w:val="00116521"/>
    <w:rsid w:val="001167E4"/>
    <w:rsid w:val="001169C3"/>
    <w:rsid w:val="00116D11"/>
    <w:rsid w:val="00117EE2"/>
    <w:rsid w:val="001204BE"/>
    <w:rsid w:val="00120ACE"/>
    <w:rsid w:val="00120E6A"/>
    <w:rsid w:val="00121472"/>
    <w:rsid w:val="00122523"/>
    <w:rsid w:val="00122ED5"/>
    <w:rsid w:val="0012326D"/>
    <w:rsid w:val="00123E76"/>
    <w:rsid w:val="00124068"/>
    <w:rsid w:val="0012530C"/>
    <w:rsid w:val="00125C34"/>
    <w:rsid w:val="001267B7"/>
    <w:rsid w:val="001268EB"/>
    <w:rsid w:val="00126B9D"/>
    <w:rsid w:val="00126FFF"/>
    <w:rsid w:val="00127255"/>
    <w:rsid w:val="0012728F"/>
    <w:rsid w:val="00127895"/>
    <w:rsid w:val="00127BFB"/>
    <w:rsid w:val="00127DB0"/>
    <w:rsid w:val="00127DD3"/>
    <w:rsid w:val="00130378"/>
    <w:rsid w:val="00130802"/>
    <w:rsid w:val="00130C50"/>
    <w:rsid w:val="00130EFE"/>
    <w:rsid w:val="00130FA5"/>
    <w:rsid w:val="001311A9"/>
    <w:rsid w:val="00131202"/>
    <w:rsid w:val="00131F6E"/>
    <w:rsid w:val="0013248C"/>
    <w:rsid w:val="0013284D"/>
    <w:rsid w:val="00132A80"/>
    <w:rsid w:val="00132AAC"/>
    <w:rsid w:val="001339B9"/>
    <w:rsid w:val="00133A7C"/>
    <w:rsid w:val="00133F3A"/>
    <w:rsid w:val="0013451E"/>
    <w:rsid w:val="001358B0"/>
    <w:rsid w:val="00135C12"/>
    <w:rsid w:val="00135F13"/>
    <w:rsid w:val="00135F1F"/>
    <w:rsid w:val="0013648B"/>
    <w:rsid w:val="0013717C"/>
    <w:rsid w:val="00137272"/>
    <w:rsid w:val="00137797"/>
    <w:rsid w:val="00137B3D"/>
    <w:rsid w:val="00137D4F"/>
    <w:rsid w:val="0014053E"/>
    <w:rsid w:val="00140FD5"/>
    <w:rsid w:val="00141600"/>
    <w:rsid w:val="00141DCB"/>
    <w:rsid w:val="001420F8"/>
    <w:rsid w:val="00142E21"/>
    <w:rsid w:val="00143802"/>
    <w:rsid w:val="00143DCD"/>
    <w:rsid w:val="00143F2E"/>
    <w:rsid w:val="001445DC"/>
    <w:rsid w:val="00144734"/>
    <w:rsid w:val="001447AB"/>
    <w:rsid w:val="00144C5C"/>
    <w:rsid w:val="00145080"/>
    <w:rsid w:val="00145B3D"/>
    <w:rsid w:val="0014679D"/>
    <w:rsid w:val="00146978"/>
    <w:rsid w:val="00146CA6"/>
    <w:rsid w:val="00150300"/>
    <w:rsid w:val="00150446"/>
    <w:rsid w:val="001509F5"/>
    <w:rsid w:val="00150CF4"/>
    <w:rsid w:val="001514FD"/>
    <w:rsid w:val="00152872"/>
    <w:rsid w:val="0015340D"/>
    <w:rsid w:val="00153E9A"/>
    <w:rsid w:val="00154188"/>
    <w:rsid w:val="001545E0"/>
    <w:rsid w:val="00154896"/>
    <w:rsid w:val="00154AEF"/>
    <w:rsid w:val="001551CC"/>
    <w:rsid w:val="001553FB"/>
    <w:rsid w:val="001554E9"/>
    <w:rsid w:val="00156149"/>
    <w:rsid w:val="00156257"/>
    <w:rsid w:val="001562BE"/>
    <w:rsid w:val="00156C9F"/>
    <w:rsid w:val="00157A4E"/>
    <w:rsid w:val="00160231"/>
    <w:rsid w:val="0016071E"/>
    <w:rsid w:val="00161A48"/>
    <w:rsid w:val="00161BDB"/>
    <w:rsid w:val="00162031"/>
    <w:rsid w:val="00163212"/>
    <w:rsid w:val="001634FB"/>
    <w:rsid w:val="001646B3"/>
    <w:rsid w:val="00164786"/>
    <w:rsid w:val="00165281"/>
    <w:rsid w:val="001656BC"/>
    <w:rsid w:val="00165EF8"/>
    <w:rsid w:val="001665A5"/>
    <w:rsid w:val="00166D37"/>
    <w:rsid w:val="001672FF"/>
    <w:rsid w:val="001673F9"/>
    <w:rsid w:val="001702F3"/>
    <w:rsid w:val="00171017"/>
    <w:rsid w:val="00171BA8"/>
    <w:rsid w:val="00171C26"/>
    <w:rsid w:val="001721F7"/>
    <w:rsid w:val="0017238E"/>
    <w:rsid w:val="00172522"/>
    <w:rsid w:val="00172CE7"/>
    <w:rsid w:val="00173037"/>
    <w:rsid w:val="001731C1"/>
    <w:rsid w:val="001733BA"/>
    <w:rsid w:val="00173708"/>
    <w:rsid w:val="00173B7D"/>
    <w:rsid w:val="00173E07"/>
    <w:rsid w:val="00173FD9"/>
    <w:rsid w:val="001745C9"/>
    <w:rsid w:val="0017493A"/>
    <w:rsid w:val="001758F0"/>
    <w:rsid w:val="00175B2E"/>
    <w:rsid w:val="00175D8B"/>
    <w:rsid w:val="00176156"/>
    <w:rsid w:val="001765FB"/>
    <w:rsid w:val="00176DC7"/>
    <w:rsid w:val="00177290"/>
    <w:rsid w:val="00177D76"/>
    <w:rsid w:val="001802F5"/>
    <w:rsid w:val="0018067E"/>
    <w:rsid w:val="00180B00"/>
    <w:rsid w:val="001815F3"/>
    <w:rsid w:val="00181794"/>
    <w:rsid w:val="00182752"/>
    <w:rsid w:val="00182765"/>
    <w:rsid w:val="00182B0E"/>
    <w:rsid w:val="0018386A"/>
    <w:rsid w:val="0018389B"/>
    <w:rsid w:val="00183BBF"/>
    <w:rsid w:val="00183EB5"/>
    <w:rsid w:val="00183ECF"/>
    <w:rsid w:val="00183F92"/>
    <w:rsid w:val="0018443F"/>
    <w:rsid w:val="0018476F"/>
    <w:rsid w:val="0018540F"/>
    <w:rsid w:val="00186342"/>
    <w:rsid w:val="001866BE"/>
    <w:rsid w:val="00186975"/>
    <w:rsid w:val="0018698C"/>
    <w:rsid w:val="00186C92"/>
    <w:rsid w:val="00187653"/>
    <w:rsid w:val="0018796E"/>
    <w:rsid w:val="00187FF9"/>
    <w:rsid w:val="001901C7"/>
    <w:rsid w:val="00190D07"/>
    <w:rsid w:val="00190DF3"/>
    <w:rsid w:val="001917EB"/>
    <w:rsid w:val="00191E5C"/>
    <w:rsid w:val="00192825"/>
    <w:rsid w:val="00192D93"/>
    <w:rsid w:val="00193B6F"/>
    <w:rsid w:val="001942AC"/>
    <w:rsid w:val="00195340"/>
    <w:rsid w:val="0019598B"/>
    <w:rsid w:val="0019611C"/>
    <w:rsid w:val="00196467"/>
    <w:rsid w:val="001967A4"/>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4AF"/>
    <w:rsid w:val="001A351B"/>
    <w:rsid w:val="001A3565"/>
    <w:rsid w:val="001A3A09"/>
    <w:rsid w:val="001A3B49"/>
    <w:rsid w:val="001A3C06"/>
    <w:rsid w:val="001A42F0"/>
    <w:rsid w:val="001A4625"/>
    <w:rsid w:val="001A4D08"/>
    <w:rsid w:val="001A4E16"/>
    <w:rsid w:val="001A4ED7"/>
    <w:rsid w:val="001A6C35"/>
    <w:rsid w:val="001A6E0B"/>
    <w:rsid w:val="001A77B6"/>
    <w:rsid w:val="001A787F"/>
    <w:rsid w:val="001B0737"/>
    <w:rsid w:val="001B1418"/>
    <w:rsid w:val="001B1577"/>
    <w:rsid w:val="001B159A"/>
    <w:rsid w:val="001B23A9"/>
    <w:rsid w:val="001B25B8"/>
    <w:rsid w:val="001B28FA"/>
    <w:rsid w:val="001B2A64"/>
    <w:rsid w:val="001B2AD9"/>
    <w:rsid w:val="001B2D32"/>
    <w:rsid w:val="001B3954"/>
    <w:rsid w:val="001B3C09"/>
    <w:rsid w:val="001B457B"/>
    <w:rsid w:val="001B52B4"/>
    <w:rsid w:val="001B5A41"/>
    <w:rsid w:val="001B5CE4"/>
    <w:rsid w:val="001B6109"/>
    <w:rsid w:val="001B687C"/>
    <w:rsid w:val="001B72BD"/>
    <w:rsid w:val="001B7AD6"/>
    <w:rsid w:val="001B7BEC"/>
    <w:rsid w:val="001B7EF7"/>
    <w:rsid w:val="001C068D"/>
    <w:rsid w:val="001C093B"/>
    <w:rsid w:val="001C1250"/>
    <w:rsid w:val="001C1C26"/>
    <w:rsid w:val="001C2296"/>
    <w:rsid w:val="001C23AA"/>
    <w:rsid w:val="001C3140"/>
    <w:rsid w:val="001C3D51"/>
    <w:rsid w:val="001C545B"/>
    <w:rsid w:val="001C5922"/>
    <w:rsid w:val="001C59DE"/>
    <w:rsid w:val="001C5DDE"/>
    <w:rsid w:val="001C64B7"/>
    <w:rsid w:val="001C708F"/>
    <w:rsid w:val="001C7340"/>
    <w:rsid w:val="001C75EB"/>
    <w:rsid w:val="001C782E"/>
    <w:rsid w:val="001C7B22"/>
    <w:rsid w:val="001C7E40"/>
    <w:rsid w:val="001D00E5"/>
    <w:rsid w:val="001D0654"/>
    <w:rsid w:val="001D0EB3"/>
    <w:rsid w:val="001D12A8"/>
    <w:rsid w:val="001D24FB"/>
    <w:rsid w:val="001D307E"/>
    <w:rsid w:val="001D44A0"/>
    <w:rsid w:val="001D4DD1"/>
    <w:rsid w:val="001D56C8"/>
    <w:rsid w:val="001D57B7"/>
    <w:rsid w:val="001D610C"/>
    <w:rsid w:val="001D6334"/>
    <w:rsid w:val="001D6642"/>
    <w:rsid w:val="001D666A"/>
    <w:rsid w:val="001D6F93"/>
    <w:rsid w:val="001D7445"/>
    <w:rsid w:val="001E0237"/>
    <w:rsid w:val="001E0802"/>
    <w:rsid w:val="001E0F0E"/>
    <w:rsid w:val="001E0F67"/>
    <w:rsid w:val="001E15C0"/>
    <w:rsid w:val="001E1924"/>
    <w:rsid w:val="001E1DD1"/>
    <w:rsid w:val="001E1E9B"/>
    <w:rsid w:val="001E22FB"/>
    <w:rsid w:val="001E23A5"/>
    <w:rsid w:val="001E26C9"/>
    <w:rsid w:val="001E382A"/>
    <w:rsid w:val="001E3ADC"/>
    <w:rsid w:val="001E3C9E"/>
    <w:rsid w:val="001E3F09"/>
    <w:rsid w:val="001E45C3"/>
    <w:rsid w:val="001E4662"/>
    <w:rsid w:val="001E474E"/>
    <w:rsid w:val="001E4888"/>
    <w:rsid w:val="001E55FE"/>
    <w:rsid w:val="001E581D"/>
    <w:rsid w:val="001E6051"/>
    <w:rsid w:val="001E6259"/>
    <w:rsid w:val="001E63D0"/>
    <w:rsid w:val="001E6BF1"/>
    <w:rsid w:val="001E6DC7"/>
    <w:rsid w:val="001E6FC7"/>
    <w:rsid w:val="001E744E"/>
    <w:rsid w:val="001E764F"/>
    <w:rsid w:val="001E7781"/>
    <w:rsid w:val="001F00B7"/>
    <w:rsid w:val="001F0A60"/>
    <w:rsid w:val="001F0BB1"/>
    <w:rsid w:val="001F165C"/>
    <w:rsid w:val="001F179F"/>
    <w:rsid w:val="001F1EEE"/>
    <w:rsid w:val="001F23C8"/>
    <w:rsid w:val="001F2490"/>
    <w:rsid w:val="001F28C0"/>
    <w:rsid w:val="001F2A69"/>
    <w:rsid w:val="001F2CD8"/>
    <w:rsid w:val="001F3002"/>
    <w:rsid w:val="001F3C19"/>
    <w:rsid w:val="001F3CA7"/>
    <w:rsid w:val="001F45B7"/>
    <w:rsid w:val="001F5CA7"/>
    <w:rsid w:val="001F5D3F"/>
    <w:rsid w:val="001F5E58"/>
    <w:rsid w:val="001F6119"/>
    <w:rsid w:val="001F617C"/>
    <w:rsid w:val="001F619E"/>
    <w:rsid w:val="001F70B1"/>
    <w:rsid w:val="001F75B0"/>
    <w:rsid w:val="001F76E4"/>
    <w:rsid w:val="001F7BB4"/>
    <w:rsid w:val="001F7D01"/>
    <w:rsid w:val="00200AD1"/>
    <w:rsid w:val="00200B3E"/>
    <w:rsid w:val="00201249"/>
    <w:rsid w:val="002022F2"/>
    <w:rsid w:val="0020298E"/>
    <w:rsid w:val="00202D48"/>
    <w:rsid w:val="00202DA9"/>
    <w:rsid w:val="00202FC1"/>
    <w:rsid w:val="0020345D"/>
    <w:rsid w:val="002035B6"/>
    <w:rsid w:val="00203940"/>
    <w:rsid w:val="00203FD6"/>
    <w:rsid w:val="00204867"/>
    <w:rsid w:val="00204DC7"/>
    <w:rsid w:val="00205167"/>
    <w:rsid w:val="00205B38"/>
    <w:rsid w:val="00205E71"/>
    <w:rsid w:val="00206199"/>
    <w:rsid w:val="0020638F"/>
    <w:rsid w:val="00206DB2"/>
    <w:rsid w:val="00207BDC"/>
    <w:rsid w:val="00207E48"/>
    <w:rsid w:val="002103A2"/>
    <w:rsid w:val="00210BFE"/>
    <w:rsid w:val="00211416"/>
    <w:rsid w:val="0021157C"/>
    <w:rsid w:val="002118E9"/>
    <w:rsid w:val="00211CEC"/>
    <w:rsid w:val="00211D6B"/>
    <w:rsid w:val="00211F39"/>
    <w:rsid w:val="0021242B"/>
    <w:rsid w:val="002124B8"/>
    <w:rsid w:val="00212559"/>
    <w:rsid w:val="00212619"/>
    <w:rsid w:val="00212A58"/>
    <w:rsid w:val="00212BAF"/>
    <w:rsid w:val="00213232"/>
    <w:rsid w:val="002135F4"/>
    <w:rsid w:val="00213894"/>
    <w:rsid w:val="00213BE4"/>
    <w:rsid w:val="002140A2"/>
    <w:rsid w:val="00214157"/>
    <w:rsid w:val="002141B8"/>
    <w:rsid w:val="0021461E"/>
    <w:rsid w:val="00215205"/>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1604"/>
    <w:rsid w:val="0022204D"/>
    <w:rsid w:val="002228EA"/>
    <w:rsid w:val="00222A13"/>
    <w:rsid w:val="00222F45"/>
    <w:rsid w:val="0022323C"/>
    <w:rsid w:val="00223517"/>
    <w:rsid w:val="00223B6D"/>
    <w:rsid w:val="0022465B"/>
    <w:rsid w:val="00224807"/>
    <w:rsid w:val="00224949"/>
    <w:rsid w:val="00224ABA"/>
    <w:rsid w:val="00225203"/>
    <w:rsid w:val="00225940"/>
    <w:rsid w:val="00225C37"/>
    <w:rsid w:val="00225D8C"/>
    <w:rsid w:val="00225DB6"/>
    <w:rsid w:val="00226013"/>
    <w:rsid w:val="00226115"/>
    <w:rsid w:val="002264B9"/>
    <w:rsid w:val="002269FB"/>
    <w:rsid w:val="00226AB2"/>
    <w:rsid w:val="00226C30"/>
    <w:rsid w:val="002273BA"/>
    <w:rsid w:val="002274DC"/>
    <w:rsid w:val="00230795"/>
    <w:rsid w:val="0023082E"/>
    <w:rsid w:val="00230ABF"/>
    <w:rsid w:val="00231026"/>
    <w:rsid w:val="002315A3"/>
    <w:rsid w:val="002315A8"/>
    <w:rsid w:val="002318C0"/>
    <w:rsid w:val="0023193B"/>
    <w:rsid w:val="00231A65"/>
    <w:rsid w:val="002329CA"/>
    <w:rsid w:val="0023338C"/>
    <w:rsid w:val="002339B3"/>
    <w:rsid w:val="00233AA3"/>
    <w:rsid w:val="00233CB3"/>
    <w:rsid w:val="002346B3"/>
    <w:rsid w:val="0023599A"/>
    <w:rsid w:val="00235F2A"/>
    <w:rsid w:val="00236868"/>
    <w:rsid w:val="00236B8B"/>
    <w:rsid w:val="00236E2A"/>
    <w:rsid w:val="00236F5B"/>
    <w:rsid w:val="00237CF0"/>
    <w:rsid w:val="0024028B"/>
    <w:rsid w:val="00240EA1"/>
    <w:rsid w:val="0024131B"/>
    <w:rsid w:val="002419BB"/>
    <w:rsid w:val="0024268A"/>
    <w:rsid w:val="002426A0"/>
    <w:rsid w:val="0024316A"/>
    <w:rsid w:val="00243364"/>
    <w:rsid w:val="002433A2"/>
    <w:rsid w:val="002434F1"/>
    <w:rsid w:val="00243869"/>
    <w:rsid w:val="00243CCF"/>
    <w:rsid w:val="0024433C"/>
    <w:rsid w:val="002446DE"/>
    <w:rsid w:val="00244BE3"/>
    <w:rsid w:val="00244FE4"/>
    <w:rsid w:val="002454A5"/>
    <w:rsid w:val="002459E0"/>
    <w:rsid w:val="002462F0"/>
    <w:rsid w:val="00246704"/>
    <w:rsid w:val="00246941"/>
    <w:rsid w:val="00246A65"/>
    <w:rsid w:val="00246BD0"/>
    <w:rsid w:val="00247593"/>
    <w:rsid w:val="002479C9"/>
    <w:rsid w:val="00247B87"/>
    <w:rsid w:val="00247BF7"/>
    <w:rsid w:val="00247E4F"/>
    <w:rsid w:val="00247E6A"/>
    <w:rsid w:val="00250331"/>
    <w:rsid w:val="002503EC"/>
    <w:rsid w:val="002508F4"/>
    <w:rsid w:val="00250C73"/>
    <w:rsid w:val="00251151"/>
    <w:rsid w:val="00251C37"/>
    <w:rsid w:val="00251C4A"/>
    <w:rsid w:val="00252D78"/>
    <w:rsid w:val="00253A8E"/>
    <w:rsid w:val="00254828"/>
    <w:rsid w:val="002548DE"/>
    <w:rsid w:val="002563E8"/>
    <w:rsid w:val="0025745A"/>
    <w:rsid w:val="0026026C"/>
    <w:rsid w:val="002608C0"/>
    <w:rsid w:val="0026090A"/>
    <w:rsid w:val="00261A5D"/>
    <w:rsid w:val="00261A86"/>
    <w:rsid w:val="00261E3B"/>
    <w:rsid w:val="00262C6A"/>
    <w:rsid w:val="00262D51"/>
    <w:rsid w:val="0026315E"/>
    <w:rsid w:val="002631F2"/>
    <w:rsid w:val="0026320D"/>
    <w:rsid w:val="0026320F"/>
    <w:rsid w:val="002638FB"/>
    <w:rsid w:val="00264024"/>
    <w:rsid w:val="0026430D"/>
    <w:rsid w:val="00264338"/>
    <w:rsid w:val="0026460C"/>
    <w:rsid w:val="00264F59"/>
    <w:rsid w:val="002664EA"/>
    <w:rsid w:val="0026659F"/>
    <w:rsid w:val="00266D6A"/>
    <w:rsid w:val="00266FB7"/>
    <w:rsid w:val="00267483"/>
    <w:rsid w:val="0026762C"/>
    <w:rsid w:val="00267B36"/>
    <w:rsid w:val="00270303"/>
    <w:rsid w:val="00270324"/>
    <w:rsid w:val="00270467"/>
    <w:rsid w:val="00270860"/>
    <w:rsid w:val="00270E85"/>
    <w:rsid w:val="00271325"/>
    <w:rsid w:val="00271A4F"/>
    <w:rsid w:val="002721E8"/>
    <w:rsid w:val="00272A75"/>
    <w:rsid w:val="00272EC2"/>
    <w:rsid w:val="0027320B"/>
    <w:rsid w:val="00273457"/>
    <w:rsid w:val="002740C0"/>
    <w:rsid w:val="0027464A"/>
    <w:rsid w:val="0027467D"/>
    <w:rsid w:val="002754E7"/>
    <w:rsid w:val="002767C8"/>
    <w:rsid w:val="00276DC4"/>
    <w:rsid w:val="00276F17"/>
    <w:rsid w:val="00277F40"/>
    <w:rsid w:val="002800DF"/>
    <w:rsid w:val="00280447"/>
    <w:rsid w:val="00280A28"/>
    <w:rsid w:val="00281207"/>
    <w:rsid w:val="0028194A"/>
    <w:rsid w:val="002824CC"/>
    <w:rsid w:val="002825B9"/>
    <w:rsid w:val="00283261"/>
    <w:rsid w:val="00283370"/>
    <w:rsid w:val="00283673"/>
    <w:rsid w:val="002836B3"/>
    <w:rsid w:val="002845B6"/>
    <w:rsid w:val="00285E11"/>
    <w:rsid w:val="002860C5"/>
    <w:rsid w:val="002861E4"/>
    <w:rsid w:val="0028659C"/>
    <w:rsid w:val="00286620"/>
    <w:rsid w:val="00286BB2"/>
    <w:rsid w:val="00287294"/>
    <w:rsid w:val="002875B0"/>
    <w:rsid w:val="002878DC"/>
    <w:rsid w:val="00287FFB"/>
    <w:rsid w:val="002900A6"/>
    <w:rsid w:val="00290839"/>
    <w:rsid w:val="00290F1E"/>
    <w:rsid w:val="00290F8A"/>
    <w:rsid w:val="00291352"/>
    <w:rsid w:val="00291436"/>
    <w:rsid w:val="00291606"/>
    <w:rsid w:val="0029189A"/>
    <w:rsid w:val="0029258E"/>
    <w:rsid w:val="00292B7C"/>
    <w:rsid w:val="00292D52"/>
    <w:rsid w:val="00292E03"/>
    <w:rsid w:val="00293405"/>
    <w:rsid w:val="002935DE"/>
    <w:rsid w:val="00293A65"/>
    <w:rsid w:val="00293CD6"/>
    <w:rsid w:val="00293E85"/>
    <w:rsid w:val="00294BCA"/>
    <w:rsid w:val="00295278"/>
    <w:rsid w:val="002959D2"/>
    <w:rsid w:val="00296211"/>
    <w:rsid w:val="00296BC2"/>
    <w:rsid w:val="002971BB"/>
    <w:rsid w:val="002971FC"/>
    <w:rsid w:val="00297B90"/>
    <w:rsid w:val="00297BE7"/>
    <w:rsid w:val="002A01DA"/>
    <w:rsid w:val="002A0229"/>
    <w:rsid w:val="002A0C98"/>
    <w:rsid w:val="002A124A"/>
    <w:rsid w:val="002A15B7"/>
    <w:rsid w:val="002A15F1"/>
    <w:rsid w:val="002A180D"/>
    <w:rsid w:val="002A1C6A"/>
    <w:rsid w:val="002A346F"/>
    <w:rsid w:val="002A349C"/>
    <w:rsid w:val="002A360C"/>
    <w:rsid w:val="002A3814"/>
    <w:rsid w:val="002A3F92"/>
    <w:rsid w:val="002A4078"/>
    <w:rsid w:val="002A410B"/>
    <w:rsid w:val="002A454B"/>
    <w:rsid w:val="002A5012"/>
    <w:rsid w:val="002A5A17"/>
    <w:rsid w:val="002A737A"/>
    <w:rsid w:val="002A747F"/>
    <w:rsid w:val="002B000D"/>
    <w:rsid w:val="002B0672"/>
    <w:rsid w:val="002B0F0D"/>
    <w:rsid w:val="002B1254"/>
    <w:rsid w:val="002B160F"/>
    <w:rsid w:val="002B1788"/>
    <w:rsid w:val="002B21FF"/>
    <w:rsid w:val="002B23FD"/>
    <w:rsid w:val="002B2F49"/>
    <w:rsid w:val="002B3042"/>
    <w:rsid w:val="002B3238"/>
    <w:rsid w:val="002B40BD"/>
    <w:rsid w:val="002B47E9"/>
    <w:rsid w:val="002B4CBA"/>
    <w:rsid w:val="002B50E0"/>
    <w:rsid w:val="002B6096"/>
    <w:rsid w:val="002B6111"/>
    <w:rsid w:val="002B6A3D"/>
    <w:rsid w:val="002C00E1"/>
    <w:rsid w:val="002C1224"/>
    <w:rsid w:val="002C1852"/>
    <w:rsid w:val="002C205E"/>
    <w:rsid w:val="002C2249"/>
    <w:rsid w:val="002C2254"/>
    <w:rsid w:val="002C22AB"/>
    <w:rsid w:val="002C2D12"/>
    <w:rsid w:val="002C4022"/>
    <w:rsid w:val="002C71D1"/>
    <w:rsid w:val="002C724C"/>
    <w:rsid w:val="002C7657"/>
    <w:rsid w:val="002C7B1D"/>
    <w:rsid w:val="002C7E0E"/>
    <w:rsid w:val="002D0960"/>
    <w:rsid w:val="002D1203"/>
    <w:rsid w:val="002D1540"/>
    <w:rsid w:val="002D1557"/>
    <w:rsid w:val="002D1779"/>
    <w:rsid w:val="002D18EA"/>
    <w:rsid w:val="002D1EA6"/>
    <w:rsid w:val="002D1EC8"/>
    <w:rsid w:val="002D2254"/>
    <w:rsid w:val="002D2AA3"/>
    <w:rsid w:val="002D2F70"/>
    <w:rsid w:val="002D30E7"/>
    <w:rsid w:val="002D38E7"/>
    <w:rsid w:val="002D39EF"/>
    <w:rsid w:val="002D4007"/>
    <w:rsid w:val="002D417D"/>
    <w:rsid w:val="002D5122"/>
    <w:rsid w:val="002D53C2"/>
    <w:rsid w:val="002D55A9"/>
    <w:rsid w:val="002D5D6E"/>
    <w:rsid w:val="002D61B5"/>
    <w:rsid w:val="002D6517"/>
    <w:rsid w:val="002D681C"/>
    <w:rsid w:val="002D6E96"/>
    <w:rsid w:val="002D757A"/>
    <w:rsid w:val="002D79E1"/>
    <w:rsid w:val="002D7BBF"/>
    <w:rsid w:val="002D7C65"/>
    <w:rsid w:val="002E00C5"/>
    <w:rsid w:val="002E01BA"/>
    <w:rsid w:val="002E09B9"/>
    <w:rsid w:val="002E2B45"/>
    <w:rsid w:val="002E3941"/>
    <w:rsid w:val="002E3BA4"/>
    <w:rsid w:val="002E42CD"/>
    <w:rsid w:val="002E4BBD"/>
    <w:rsid w:val="002E4D71"/>
    <w:rsid w:val="002E51B0"/>
    <w:rsid w:val="002E559B"/>
    <w:rsid w:val="002E5713"/>
    <w:rsid w:val="002E5890"/>
    <w:rsid w:val="002E59D2"/>
    <w:rsid w:val="002E651A"/>
    <w:rsid w:val="002E68C2"/>
    <w:rsid w:val="002E6942"/>
    <w:rsid w:val="002E6A14"/>
    <w:rsid w:val="002E6D1F"/>
    <w:rsid w:val="002E7606"/>
    <w:rsid w:val="002E7C74"/>
    <w:rsid w:val="002E7C9F"/>
    <w:rsid w:val="002F0B34"/>
    <w:rsid w:val="002F0BA4"/>
    <w:rsid w:val="002F1120"/>
    <w:rsid w:val="002F1191"/>
    <w:rsid w:val="002F1251"/>
    <w:rsid w:val="002F2002"/>
    <w:rsid w:val="002F203D"/>
    <w:rsid w:val="002F233E"/>
    <w:rsid w:val="002F2468"/>
    <w:rsid w:val="002F3751"/>
    <w:rsid w:val="002F37EF"/>
    <w:rsid w:val="002F3ABF"/>
    <w:rsid w:val="002F3ADB"/>
    <w:rsid w:val="002F41D7"/>
    <w:rsid w:val="002F4731"/>
    <w:rsid w:val="002F4811"/>
    <w:rsid w:val="002F5716"/>
    <w:rsid w:val="002F5A80"/>
    <w:rsid w:val="002F5EEF"/>
    <w:rsid w:val="002F61A8"/>
    <w:rsid w:val="002F6AD0"/>
    <w:rsid w:val="002F71B2"/>
    <w:rsid w:val="002F71C9"/>
    <w:rsid w:val="002F73E5"/>
    <w:rsid w:val="002F79CA"/>
    <w:rsid w:val="003003A7"/>
    <w:rsid w:val="00300EBA"/>
    <w:rsid w:val="00301569"/>
    <w:rsid w:val="0030163D"/>
    <w:rsid w:val="00301995"/>
    <w:rsid w:val="00301E3A"/>
    <w:rsid w:val="00302455"/>
    <w:rsid w:val="00302911"/>
    <w:rsid w:val="0030312B"/>
    <w:rsid w:val="00303234"/>
    <w:rsid w:val="003036AA"/>
    <w:rsid w:val="003038F9"/>
    <w:rsid w:val="00304668"/>
    <w:rsid w:val="0030480C"/>
    <w:rsid w:val="003051EA"/>
    <w:rsid w:val="00305509"/>
    <w:rsid w:val="00305F81"/>
    <w:rsid w:val="00306085"/>
    <w:rsid w:val="00306134"/>
    <w:rsid w:val="0030690B"/>
    <w:rsid w:val="00306B23"/>
    <w:rsid w:val="00306C2E"/>
    <w:rsid w:val="003076EA"/>
    <w:rsid w:val="0030789A"/>
    <w:rsid w:val="00307DEE"/>
    <w:rsid w:val="003101D8"/>
    <w:rsid w:val="003106BA"/>
    <w:rsid w:val="003111E5"/>
    <w:rsid w:val="00311425"/>
    <w:rsid w:val="0031155F"/>
    <w:rsid w:val="00311978"/>
    <w:rsid w:val="00311A8B"/>
    <w:rsid w:val="0031215B"/>
    <w:rsid w:val="003130CA"/>
    <w:rsid w:val="003142BA"/>
    <w:rsid w:val="003146FB"/>
    <w:rsid w:val="00314729"/>
    <w:rsid w:val="00314775"/>
    <w:rsid w:val="00314B00"/>
    <w:rsid w:val="00314B73"/>
    <w:rsid w:val="00315131"/>
    <w:rsid w:val="00315171"/>
    <w:rsid w:val="00315203"/>
    <w:rsid w:val="003153D9"/>
    <w:rsid w:val="0031548D"/>
    <w:rsid w:val="00315678"/>
    <w:rsid w:val="0031610A"/>
    <w:rsid w:val="00316394"/>
    <w:rsid w:val="0031651F"/>
    <w:rsid w:val="00316834"/>
    <w:rsid w:val="00316851"/>
    <w:rsid w:val="00316C5E"/>
    <w:rsid w:val="00316C6B"/>
    <w:rsid w:val="003173D9"/>
    <w:rsid w:val="00320267"/>
    <w:rsid w:val="003204AC"/>
    <w:rsid w:val="00320E97"/>
    <w:rsid w:val="00321D30"/>
    <w:rsid w:val="003223B2"/>
    <w:rsid w:val="0032244F"/>
    <w:rsid w:val="00322CA5"/>
    <w:rsid w:val="00322E37"/>
    <w:rsid w:val="00323369"/>
    <w:rsid w:val="00323382"/>
    <w:rsid w:val="00324440"/>
    <w:rsid w:val="003244D9"/>
    <w:rsid w:val="003244FE"/>
    <w:rsid w:val="00324986"/>
    <w:rsid w:val="003250B1"/>
    <w:rsid w:val="0032564F"/>
    <w:rsid w:val="00325C65"/>
    <w:rsid w:val="00326B85"/>
    <w:rsid w:val="00327007"/>
    <w:rsid w:val="003273CB"/>
    <w:rsid w:val="0033100C"/>
    <w:rsid w:val="003311A8"/>
    <w:rsid w:val="003314F5"/>
    <w:rsid w:val="00331BE6"/>
    <w:rsid w:val="00331C36"/>
    <w:rsid w:val="00331D57"/>
    <w:rsid w:val="00332C17"/>
    <w:rsid w:val="00332E3F"/>
    <w:rsid w:val="00333043"/>
    <w:rsid w:val="003347F4"/>
    <w:rsid w:val="00334A09"/>
    <w:rsid w:val="00334DD9"/>
    <w:rsid w:val="00334FC9"/>
    <w:rsid w:val="0033501F"/>
    <w:rsid w:val="003350EC"/>
    <w:rsid w:val="003355DB"/>
    <w:rsid w:val="00335789"/>
    <w:rsid w:val="00335B02"/>
    <w:rsid w:val="00335D79"/>
    <w:rsid w:val="003360A4"/>
    <w:rsid w:val="0033637D"/>
    <w:rsid w:val="00336AE7"/>
    <w:rsid w:val="00336B8C"/>
    <w:rsid w:val="00336CF9"/>
    <w:rsid w:val="003371CB"/>
    <w:rsid w:val="0033721D"/>
    <w:rsid w:val="003377C8"/>
    <w:rsid w:val="003379F1"/>
    <w:rsid w:val="003403D1"/>
    <w:rsid w:val="0034043E"/>
    <w:rsid w:val="00340879"/>
    <w:rsid w:val="003408FE"/>
    <w:rsid w:val="00340F5A"/>
    <w:rsid w:val="003410A5"/>
    <w:rsid w:val="0034132D"/>
    <w:rsid w:val="00341447"/>
    <w:rsid w:val="00341E34"/>
    <w:rsid w:val="0034269E"/>
    <w:rsid w:val="003426B8"/>
    <w:rsid w:val="00342C04"/>
    <w:rsid w:val="00342EA2"/>
    <w:rsid w:val="00343125"/>
    <w:rsid w:val="0034378F"/>
    <w:rsid w:val="003439D3"/>
    <w:rsid w:val="00343CDA"/>
    <w:rsid w:val="00343D78"/>
    <w:rsid w:val="0034402F"/>
    <w:rsid w:val="00344241"/>
    <w:rsid w:val="00344612"/>
    <w:rsid w:val="00344686"/>
    <w:rsid w:val="00344962"/>
    <w:rsid w:val="00345480"/>
    <w:rsid w:val="00345495"/>
    <w:rsid w:val="003456DC"/>
    <w:rsid w:val="00345985"/>
    <w:rsid w:val="003459E7"/>
    <w:rsid w:val="003461D4"/>
    <w:rsid w:val="0034683F"/>
    <w:rsid w:val="0034718A"/>
    <w:rsid w:val="00347622"/>
    <w:rsid w:val="00347A11"/>
    <w:rsid w:val="00347E5A"/>
    <w:rsid w:val="0035026C"/>
    <w:rsid w:val="00350618"/>
    <w:rsid w:val="003506EA"/>
    <w:rsid w:val="00350B15"/>
    <w:rsid w:val="00350E1B"/>
    <w:rsid w:val="00351023"/>
    <w:rsid w:val="00351A06"/>
    <w:rsid w:val="00351B95"/>
    <w:rsid w:val="0035242F"/>
    <w:rsid w:val="003528AA"/>
    <w:rsid w:val="00353173"/>
    <w:rsid w:val="003531E1"/>
    <w:rsid w:val="00353C0E"/>
    <w:rsid w:val="003545F2"/>
    <w:rsid w:val="00354E8E"/>
    <w:rsid w:val="00355128"/>
    <w:rsid w:val="0035585E"/>
    <w:rsid w:val="0035595A"/>
    <w:rsid w:val="00355BE0"/>
    <w:rsid w:val="00356021"/>
    <w:rsid w:val="003566CA"/>
    <w:rsid w:val="00356885"/>
    <w:rsid w:val="00356A8D"/>
    <w:rsid w:val="00356F83"/>
    <w:rsid w:val="003579B9"/>
    <w:rsid w:val="0036018F"/>
    <w:rsid w:val="003601C1"/>
    <w:rsid w:val="003602E7"/>
    <w:rsid w:val="003609A7"/>
    <w:rsid w:val="00360C7B"/>
    <w:rsid w:val="0036166C"/>
    <w:rsid w:val="00361804"/>
    <w:rsid w:val="00361AF1"/>
    <w:rsid w:val="00361E1F"/>
    <w:rsid w:val="003620BF"/>
    <w:rsid w:val="003621FF"/>
    <w:rsid w:val="003625C3"/>
    <w:rsid w:val="00362816"/>
    <w:rsid w:val="0036291E"/>
    <w:rsid w:val="00362D00"/>
    <w:rsid w:val="00363615"/>
    <w:rsid w:val="0036373B"/>
    <w:rsid w:val="00363762"/>
    <w:rsid w:val="00363AEE"/>
    <w:rsid w:val="00364304"/>
    <w:rsid w:val="00364B51"/>
    <w:rsid w:val="00365017"/>
    <w:rsid w:val="00365680"/>
    <w:rsid w:val="00365AE4"/>
    <w:rsid w:val="003662CD"/>
    <w:rsid w:val="00366355"/>
    <w:rsid w:val="00366A3C"/>
    <w:rsid w:val="003670A5"/>
    <w:rsid w:val="00367CB0"/>
    <w:rsid w:val="0037083A"/>
    <w:rsid w:val="00370868"/>
    <w:rsid w:val="00370E51"/>
    <w:rsid w:val="0037114B"/>
    <w:rsid w:val="0037196E"/>
    <w:rsid w:val="00371D79"/>
    <w:rsid w:val="00371EEA"/>
    <w:rsid w:val="003720B7"/>
    <w:rsid w:val="00372207"/>
    <w:rsid w:val="00372F41"/>
    <w:rsid w:val="00373C49"/>
    <w:rsid w:val="003741DC"/>
    <w:rsid w:val="00374452"/>
    <w:rsid w:val="0037463F"/>
    <w:rsid w:val="00374787"/>
    <w:rsid w:val="0037486E"/>
    <w:rsid w:val="003750FD"/>
    <w:rsid w:val="00375B2D"/>
    <w:rsid w:val="00375F31"/>
    <w:rsid w:val="003765B1"/>
    <w:rsid w:val="0037664A"/>
    <w:rsid w:val="00376D66"/>
    <w:rsid w:val="00377063"/>
    <w:rsid w:val="003772FD"/>
    <w:rsid w:val="0037731E"/>
    <w:rsid w:val="00377D2D"/>
    <w:rsid w:val="00377FFC"/>
    <w:rsid w:val="0038003C"/>
    <w:rsid w:val="00380C8E"/>
    <w:rsid w:val="00380E53"/>
    <w:rsid w:val="00380F28"/>
    <w:rsid w:val="00381001"/>
    <w:rsid w:val="003810F7"/>
    <w:rsid w:val="0038275E"/>
    <w:rsid w:val="003828AD"/>
    <w:rsid w:val="00383199"/>
    <w:rsid w:val="003835FE"/>
    <w:rsid w:val="003837CD"/>
    <w:rsid w:val="00383995"/>
    <w:rsid w:val="00383CE7"/>
    <w:rsid w:val="0038400A"/>
    <w:rsid w:val="003841CD"/>
    <w:rsid w:val="0038484F"/>
    <w:rsid w:val="00384BFE"/>
    <w:rsid w:val="00384C5D"/>
    <w:rsid w:val="00384FEF"/>
    <w:rsid w:val="003859F4"/>
    <w:rsid w:val="00385AF7"/>
    <w:rsid w:val="00385B60"/>
    <w:rsid w:val="00386354"/>
    <w:rsid w:val="003866F0"/>
    <w:rsid w:val="00386763"/>
    <w:rsid w:val="00386AD1"/>
    <w:rsid w:val="00387663"/>
    <w:rsid w:val="00390408"/>
    <w:rsid w:val="0039062C"/>
    <w:rsid w:val="00390792"/>
    <w:rsid w:val="00390B04"/>
    <w:rsid w:val="00391558"/>
    <w:rsid w:val="0039158F"/>
    <w:rsid w:val="003916B4"/>
    <w:rsid w:val="0039172B"/>
    <w:rsid w:val="00391DD7"/>
    <w:rsid w:val="00391E61"/>
    <w:rsid w:val="00391E69"/>
    <w:rsid w:val="0039210C"/>
    <w:rsid w:val="00392238"/>
    <w:rsid w:val="003922CE"/>
    <w:rsid w:val="003923AD"/>
    <w:rsid w:val="00392558"/>
    <w:rsid w:val="00392F82"/>
    <w:rsid w:val="003933C1"/>
    <w:rsid w:val="003936F2"/>
    <w:rsid w:val="0039371B"/>
    <w:rsid w:val="0039385C"/>
    <w:rsid w:val="00393E0F"/>
    <w:rsid w:val="003942B4"/>
    <w:rsid w:val="003947C0"/>
    <w:rsid w:val="00394919"/>
    <w:rsid w:val="00394A5A"/>
    <w:rsid w:val="0039533C"/>
    <w:rsid w:val="0039565A"/>
    <w:rsid w:val="00395735"/>
    <w:rsid w:val="0039598F"/>
    <w:rsid w:val="00395A6F"/>
    <w:rsid w:val="003969A7"/>
    <w:rsid w:val="003969D0"/>
    <w:rsid w:val="00396E12"/>
    <w:rsid w:val="0039757A"/>
    <w:rsid w:val="003A056F"/>
    <w:rsid w:val="003A09C0"/>
    <w:rsid w:val="003A09D6"/>
    <w:rsid w:val="003A0F55"/>
    <w:rsid w:val="003A0FE7"/>
    <w:rsid w:val="003A10D6"/>
    <w:rsid w:val="003A1947"/>
    <w:rsid w:val="003A1D11"/>
    <w:rsid w:val="003A2251"/>
    <w:rsid w:val="003A239A"/>
    <w:rsid w:val="003A2591"/>
    <w:rsid w:val="003A25F2"/>
    <w:rsid w:val="003A3ED3"/>
    <w:rsid w:val="003A3FB8"/>
    <w:rsid w:val="003A432C"/>
    <w:rsid w:val="003A4653"/>
    <w:rsid w:val="003A4AAF"/>
    <w:rsid w:val="003A4BE2"/>
    <w:rsid w:val="003A50BA"/>
    <w:rsid w:val="003A51D1"/>
    <w:rsid w:val="003A59AD"/>
    <w:rsid w:val="003A5BEF"/>
    <w:rsid w:val="003A5E7C"/>
    <w:rsid w:val="003A5FE2"/>
    <w:rsid w:val="003A6229"/>
    <w:rsid w:val="003A62F6"/>
    <w:rsid w:val="003A68C9"/>
    <w:rsid w:val="003A68D7"/>
    <w:rsid w:val="003A77D4"/>
    <w:rsid w:val="003A7943"/>
    <w:rsid w:val="003B1F18"/>
    <w:rsid w:val="003B236D"/>
    <w:rsid w:val="003B24EA"/>
    <w:rsid w:val="003B27DC"/>
    <w:rsid w:val="003B298B"/>
    <w:rsid w:val="003B2AD5"/>
    <w:rsid w:val="003B341C"/>
    <w:rsid w:val="003B359F"/>
    <w:rsid w:val="003B3ED6"/>
    <w:rsid w:val="003B4626"/>
    <w:rsid w:val="003B4D2A"/>
    <w:rsid w:val="003B5538"/>
    <w:rsid w:val="003B5C22"/>
    <w:rsid w:val="003B5C2C"/>
    <w:rsid w:val="003B5C3D"/>
    <w:rsid w:val="003B5DCF"/>
    <w:rsid w:val="003B5F01"/>
    <w:rsid w:val="003B5F67"/>
    <w:rsid w:val="003B6126"/>
    <w:rsid w:val="003B7316"/>
    <w:rsid w:val="003B76BB"/>
    <w:rsid w:val="003B77BC"/>
    <w:rsid w:val="003B7CE2"/>
    <w:rsid w:val="003B7F48"/>
    <w:rsid w:val="003C0016"/>
    <w:rsid w:val="003C04A1"/>
    <w:rsid w:val="003C076E"/>
    <w:rsid w:val="003C0BCB"/>
    <w:rsid w:val="003C0E32"/>
    <w:rsid w:val="003C10AD"/>
    <w:rsid w:val="003C12B6"/>
    <w:rsid w:val="003C143B"/>
    <w:rsid w:val="003C199A"/>
    <w:rsid w:val="003C1E4C"/>
    <w:rsid w:val="003C1FF1"/>
    <w:rsid w:val="003C213E"/>
    <w:rsid w:val="003C2213"/>
    <w:rsid w:val="003C2891"/>
    <w:rsid w:val="003C3010"/>
    <w:rsid w:val="003C36A3"/>
    <w:rsid w:val="003C3BB5"/>
    <w:rsid w:val="003C462C"/>
    <w:rsid w:val="003C46B9"/>
    <w:rsid w:val="003C4DA3"/>
    <w:rsid w:val="003C4E81"/>
    <w:rsid w:val="003C5452"/>
    <w:rsid w:val="003C5A27"/>
    <w:rsid w:val="003C5C78"/>
    <w:rsid w:val="003C5F8F"/>
    <w:rsid w:val="003C642D"/>
    <w:rsid w:val="003C6547"/>
    <w:rsid w:val="003C6D31"/>
    <w:rsid w:val="003C7241"/>
    <w:rsid w:val="003C7988"/>
    <w:rsid w:val="003C7F70"/>
    <w:rsid w:val="003D07FA"/>
    <w:rsid w:val="003D0C9A"/>
    <w:rsid w:val="003D1234"/>
    <w:rsid w:val="003D1487"/>
    <w:rsid w:val="003D1746"/>
    <w:rsid w:val="003D187E"/>
    <w:rsid w:val="003D198F"/>
    <w:rsid w:val="003D1EE0"/>
    <w:rsid w:val="003D205E"/>
    <w:rsid w:val="003D2DCE"/>
    <w:rsid w:val="003D37BC"/>
    <w:rsid w:val="003D382B"/>
    <w:rsid w:val="003D3FAD"/>
    <w:rsid w:val="003D442D"/>
    <w:rsid w:val="003D485E"/>
    <w:rsid w:val="003D4AC7"/>
    <w:rsid w:val="003D65C9"/>
    <w:rsid w:val="003D71AB"/>
    <w:rsid w:val="003D722D"/>
    <w:rsid w:val="003D73F4"/>
    <w:rsid w:val="003D77D7"/>
    <w:rsid w:val="003E078D"/>
    <w:rsid w:val="003E0BFE"/>
    <w:rsid w:val="003E104C"/>
    <w:rsid w:val="003E1895"/>
    <w:rsid w:val="003E2466"/>
    <w:rsid w:val="003E27D5"/>
    <w:rsid w:val="003E2D9C"/>
    <w:rsid w:val="003E2DCD"/>
    <w:rsid w:val="003E344E"/>
    <w:rsid w:val="003E425B"/>
    <w:rsid w:val="003E4543"/>
    <w:rsid w:val="003E45C8"/>
    <w:rsid w:val="003E4627"/>
    <w:rsid w:val="003E462C"/>
    <w:rsid w:val="003E4AB8"/>
    <w:rsid w:val="003E4EEA"/>
    <w:rsid w:val="003E5767"/>
    <w:rsid w:val="003E6924"/>
    <w:rsid w:val="003E6C51"/>
    <w:rsid w:val="003E704A"/>
    <w:rsid w:val="003E7B7E"/>
    <w:rsid w:val="003E7E69"/>
    <w:rsid w:val="003F0043"/>
    <w:rsid w:val="003F0DEE"/>
    <w:rsid w:val="003F0E7E"/>
    <w:rsid w:val="003F1387"/>
    <w:rsid w:val="003F17F3"/>
    <w:rsid w:val="003F1877"/>
    <w:rsid w:val="003F1FE0"/>
    <w:rsid w:val="003F20E6"/>
    <w:rsid w:val="003F227B"/>
    <w:rsid w:val="003F266C"/>
    <w:rsid w:val="003F2C7C"/>
    <w:rsid w:val="003F3110"/>
    <w:rsid w:val="003F354A"/>
    <w:rsid w:val="003F3793"/>
    <w:rsid w:val="003F3F6C"/>
    <w:rsid w:val="003F485A"/>
    <w:rsid w:val="003F4C63"/>
    <w:rsid w:val="003F5135"/>
    <w:rsid w:val="003F5205"/>
    <w:rsid w:val="003F5575"/>
    <w:rsid w:val="003F5B1E"/>
    <w:rsid w:val="003F613F"/>
    <w:rsid w:val="003F65C7"/>
    <w:rsid w:val="003F69BC"/>
    <w:rsid w:val="003F6BBA"/>
    <w:rsid w:val="003F6E3A"/>
    <w:rsid w:val="003F6EE1"/>
    <w:rsid w:val="003F7326"/>
    <w:rsid w:val="003F773F"/>
    <w:rsid w:val="003F7ACD"/>
    <w:rsid w:val="00400195"/>
    <w:rsid w:val="004002BA"/>
    <w:rsid w:val="004004AF"/>
    <w:rsid w:val="00401900"/>
    <w:rsid w:val="00401F7B"/>
    <w:rsid w:val="0040203D"/>
    <w:rsid w:val="004025D4"/>
    <w:rsid w:val="00402AAE"/>
    <w:rsid w:val="00402AE1"/>
    <w:rsid w:val="00402D2A"/>
    <w:rsid w:val="00403715"/>
    <w:rsid w:val="00403AAD"/>
    <w:rsid w:val="00403AE4"/>
    <w:rsid w:val="00403D3F"/>
    <w:rsid w:val="004046BF"/>
    <w:rsid w:val="0040470B"/>
    <w:rsid w:val="00404ED4"/>
    <w:rsid w:val="004057E5"/>
    <w:rsid w:val="00406747"/>
    <w:rsid w:val="00406857"/>
    <w:rsid w:val="00406EB7"/>
    <w:rsid w:val="004076CE"/>
    <w:rsid w:val="00407D3D"/>
    <w:rsid w:val="00407E40"/>
    <w:rsid w:val="00410FBF"/>
    <w:rsid w:val="00411696"/>
    <w:rsid w:val="00411F29"/>
    <w:rsid w:val="00411FF3"/>
    <w:rsid w:val="00412382"/>
    <w:rsid w:val="00412EF0"/>
    <w:rsid w:val="00413395"/>
    <w:rsid w:val="0041343F"/>
    <w:rsid w:val="00413CA0"/>
    <w:rsid w:val="0041409A"/>
    <w:rsid w:val="00414169"/>
    <w:rsid w:val="004148F8"/>
    <w:rsid w:val="00414A1E"/>
    <w:rsid w:val="00415740"/>
    <w:rsid w:val="00416185"/>
    <w:rsid w:val="00416966"/>
    <w:rsid w:val="004172E0"/>
    <w:rsid w:val="00417680"/>
    <w:rsid w:val="0042009E"/>
    <w:rsid w:val="00420666"/>
    <w:rsid w:val="004208FC"/>
    <w:rsid w:val="00420C89"/>
    <w:rsid w:val="00420D94"/>
    <w:rsid w:val="00420E7D"/>
    <w:rsid w:val="00420FFD"/>
    <w:rsid w:val="004211D4"/>
    <w:rsid w:val="004213ED"/>
    <w:rsid w:val="00421E7B"/>
    <w:rsid w:val="004223F6"/>
    <w:rsid w:val="00422B05"/>
    <w:rsid w:val="00422D39"/>
    <w:rsid w:val="00422E7A"/>
    <w:rsid w:val="00423140"/>
    <w:rsid w:val="0042325A"/>
    <w:rsid w:val="004233D2"/>
    <w:rsid w:val="00423856"/>
    <w:rsid w:val="00423E11"/>
    <w:rsid w:val="004241FD"/>
    <w:rsid w:val="004250B4"/>
    <w:rsid w:val="0042510B"/>
    <w:rsid w:val="004253C0"/>
    <w:rsid w:val="00425766"/>
    <w:rsid w:val="00425F87"/>
    <w:rsid w:val="00426027"/>
    <w:rsid w:val="0042646F"/>
    <w:rsid w:val="00426EEF"/>
    <w:rsid w:val="004274D1"/>
    <w:rsid w:val="004301F6"/>
    <w:rsid w:val="004302F2"/>
    <w:rsid w:val="00430446"/>
    <w:rsid w:val="00430668"/>
    <w:rsid w:val="0043083A"/>
    <w:rsid w:val="004313F8"/>
    <w:rsid w:val="004316E0"/>
    <w:rsid w:val="00431CB8"/>
    <w:rsid w:val="00431F25"/>
    <w:rsid w:val="00432974"/>
    <w:rsid w:val="00432A23"/>
    <w:rsid w:val="0043531D"/>
    <w:rsid w:val="0043571E"/>
    <w:rsid w:val="004359D2"/>
    <w:rsid w:val="00435B9F"/>
    <w:rsid w:val="00435F1E"/>
    <w:rsid w:val="004367CF"/>
    <w:rsid w:val="00436E87"/>
    <w:rsid w:val="0044053B"/>
    <w:rsid w:val="0044054B"/>
    <w:rsid w:val="00441071"/>
    <w:rsid w:val="0044170C"/>
    <w:rsid w:val="00441A9B"/>
    <w:rsid w:val="00441AE3"/>
    <w:rsid w:val="00441B85"/>
    <w:rsid w:val="00441BF6"/>
    <w:rsid w:val="00442347"/>
    <w:rsid w:val="004431B2"/>
    <w:rsid w:val="00443EE3"/>
    <w:rsid w:val="00443FE7"/>
    <w:rsid w:val="00444990"/>
    <w:rsid w:val="00445661"/>
    <w:rsid w:val="00445F77"/>
    <w:rsid w:val="004467DB"/>
    <w:rsid w:val="00446ACF"/>
    <w:rsid w:val="00447FAD"/>
    <w:rsid w:val="004507E6"/>
    <w:rsid w:val="0045115C"/>
    <w:rsid w:val="00451577"/>
    <w:rsid w:val="00451C31"/>
    <w:rsid w:val="00452228"/>
    <w:rsid w:val="0045237E"/>
    <w:rsid w:val="00452429"/>
    <w:rsid w:val="004525EE"/>
    <w:rsid w:val="00452843"/>
    <w:rsid w:val="00452AD1"/>
    <w:rsid w:val="004536CC"/>
    <w:rsid w:val="00454083"/>
    <w:rsid w:val="00454187"/>
    <w:rsid w:val="00454955"/>
    <w:rsid w:val="00454EE9"/>
    <w:rsid w:val="00454FEA"/>
    <w:rsid w:val="00455040"/>
    <w:rsid w:val="00455137"/>
    <w:rsid w:val="004554BF"/>
    <w:rsid w:val="0045560D"/>
    <w:rsid w:val="004558F8"/>
    <w:rsid w:val="0045595F"/>
    <w:rsid w:val="00455EFA"/>
    <w:rsid w:val="0045611B"/>
    <w:rsid w:val="00456519"/>
    <w:rsid w:val="004568CC"/>
    <w:rsid w:val="004569B1"/>
    <w:rsid w:val="00456D32"/>
    <w:rsid w:val="004572C0"/>
    <w:rsid w:val="004577C0"/>
    <w:rsid w:val="00457F71"/>
    <w:rsid w:val="00460362"/>
    <w:rsid w:val="0046079C"/>
    <w:rsid w:val="00460EB6"/>
    <w:rsid w:val="00461350"/>
    <w:rsid w:val="004617E0"/>
    <w:rsid w:val="00462504"/>
    <w:rsid w:val="00462C9E"/>
    <w:rsid w:val="0046308D"/>
    <w:rsid w:val="0046340A"/>
    <w:rsid w:val="0046390E"/>
    <w:rsid w:val="00463C95"/>
    <w:rsid w:val="0046471B"/>
    <w:rsid w:val="00464794"/>
    <w:rsid w:val="004653A2"/>
    <w:rsid w:val="00465A7C"/>
    <w:rsid w:val="00465C8A"/>
    <w:rsid w:val="00466153"/>
    <w:rsid w:val="00466192"/>
    <w:rsid w:val="004662FE"/>
    <w:rsid w:val="00467082"/>
    <w:rsid w:val="00467292"/>
    <w:rsid w:val="00467803"/>
    <w:rsid w:val="00467DE2"/>
    <w:rsid w:val="00470194"/>
    <w:rsid w:val="00470B38"/>
    <w:rsid w:val="00471360"/>
    <w:rsid w:val="004713C9"/>
    <w:rsid w:val="004713F9"/>
    <w:rsid w:val="0047286E"/>
    <w:rsid w:val="00472AE5"/>
    <w:rsid w:val="00472EF9"/>
    <w:rsid w:val="0047306A"/>
    <w:rsid w:val="00473081"/>
    <w:rsid w:val="00473147"/>
    <w:rsid w:val="0047385F"/>
    <w:rsid w:val="00473978"/>
    <w:rsid w:val="00473D86"/>
    <w:rsid w:val="00473E98"/>
    <w:rsid w:val="004741F4"/>
    <w:rsid w:val="00474576"/>
    <w:rsid w:val="0047540F"/>
    <w:rsid w:val="0047589E"/>
    <w:rsid w:val="00475EB4"/>
    <w:rsid w:val="004762EF"/>
    <w:rsid w:val="0047664B"/>
    <w:rsid w:val="00477B61"/>
    <w:rsid w:val="004807EB"/>
    <w:rsid w:val="0048126B"/>
    <w:rsid w:val="004814D7"/>
    <w:rsid w:val="00481821"/>
    <w:rsid w:val="00481E17"/>
    <w:rsid w:val="00482444"/>
    <w:rsid w:val="004824FC"/>
    <w:rsid w:val="00482554"/>
    <w:rsid w:val="00482F13"/>
    <w:rsid w:val="00483B54"/>
    <w:rsid w:val="00483E01"/>
    <w:rsid w:val="00484023"/>
    <w:rsid w:val="004840ED"/>
    <w:rsid w:val="004841AE"/>
    <w:rsid w:val="004848CE"/>
    <w:rsid w:val="00485549"/>
    <w:rsid w:val="004857CA"/>
    <w:rsid w:val="00485CBA"/>
    <w:rsid w:val="00485F8F"/>
    <w:rsid w:val="0048681C"/>
    <w:rsid w:val="00486828"/>
    <w:rsid w:val="00486E75"/>
    <w:rsid w:val="00486FDF"/>
    <w:rsid w:val="00486FEF"/>
    <w:rsid w:val="0048710C"/>
    <w:rsid w:val="004871B6"/>
    <w:rsid w:val="00487C11"/>
    <w:rsid w:val="004907E6"/>
    <w:rsid w:val="0049084F"/>
    <w:rsid w:val="00490E73"/>
    <w:rsid w:val="00491110"/>
    <w:rsid w:val="00491C58"/>
    <w:rsid w:val="00491D1B"/>
    <w:rsid w:val="004929CF"/>
    <w:rsid w:val="00492BA6"/>
    <w:rsid w:val="00492BD0"/>
    <w:rsid w:val="00492D25"/>
    <w:rsid w:val="0049322C"/>
    <w:rsid w:val="0049409C"/>
    <w:rsid w:val="004946F1"/>
    <w:rsid w:val="00494AF6"/>
    <w:rsid w:val="00494B37"/>
    <w:rsid w:val="004951B2"/>
    <w:rsid w:val="0049558A"/>
    <w:rsid w:val="00496427"/>
    <w:rsid w:val="00497942"/>
    <w:rsid w:val="00497BA2"/>
    <w:rsid w:val="00497C09"/>
    <w:rsid w:val="004A0027"/>
    <w:rsid w:val="004A03D9"/>
    <w:rsid w:val="004A0452"/>
    <w:rsid w:val="004A0A56"/>
    <w:rsid w:val="004A0CF8"/>
    <w:rsid w:val="004A0F72"/>
    <w:rsid w:val="004A1913"/>
    <w:rsid w:val="004A2A56"/>
    <w:rsid w:val="004A2B7C"/>
    <w:rsid w:val="004A36D7"/>
    <w:rsid w:val="004A422D"/>
    <w:rsid w:val="004A4461"/>
    <w:rsid w:val="004A48CD"/>
    <w:rsid w:val="004A4EA6"/>
    <w:rsid w:val="004A4F61"/>
    <w:rsid w:val="004A5CC5"/>
    <w:rsid w:val="004A72DD"/>
    <w:rsid w:val="004A7827"/>
    <w:rsid w:val="004A782A"/>
    <w:rsid w:val="004A7849"/>
    <w:rsid w:val="004B0197"/>
    <w:rsid w:val="004B08EF"/>
    <w:rsid w:val="004B0CB9"/>
    <w:rsid w:val="004B114C"/>
    <w:rsid w:val="004B114F"/>
    <w:rsid w:val="004B132C"/>
    <w:rsid w:val="004B169D"/>
    <w:rsid w:val="004B195B"/>
    <w:rsid w:val="004B1DE7"/>
    <w:rsid w:val="004B1EF4"/>
    <w:rsid w:val="004B1F30"/>
    <w:rsid w:val="004B21AA"/>
    <w:rsid w:val="004B2CB3"/>
    <w:rsid w:val="004B2DA2"/>
    <w:rsid w:val="004B36E1"/>
    <w:rsid w:val="004B374A"/>
    <w:rsid w:val="004B3977"/>
    <w:rsid w:val="004B3B14"/>
    <w:rsid w:val="004B425A"/>
    <w:rsid w:val="004B5391"/>
    <w:rsid w:val="004B588A"/>
    <w:rsid w:val="004B6081"/>
    <w:rsid w:val="004B60C6"/>
    <w:rsid w:val="004B63D8"/>
    <w:rsid w:val="004C02FC"/>
    <w:rsid w:val="004C04B6"/>
    <w:rsid w:val="004C06AB"/>
    <w:rsid w:val="004C08AD"/>
    <w:rsid w:val="004C1B3A"/>
    <w:rsid w:val="004C1D31"/>
    <w:rsid w:val="004C1D50"/>
    <w:rsid w:val="004C1E8C"/>
    <w:rsid w:val="004C228C"/>
    <w:rsid w:val="004C2462"/>
    <w:rsid w:val="004C35E4"/>
    <w:rsid w:val="004C3692"/>
    <w:rsid w:val="004C3F12"/>
    <w:rsid w:val="004C3FA9"/>
    <w:rsid w:val="004C4CD9"/>
    <w:rsid w:val="004C5570"/>
    <w:rsid w:val="004C55AF"/>
    <w:rsid w:val="004C5ADC"/>
    <w:rsid w:val="004C5DE9"/>
    <w:rsid w:val="004C6696"/>
    <w:rsid w:val="004C66F8"/>
    <w:rsid w:val="004C678E"/>
    <w:rsid w:val="004C6865"/>
    <w:rsid w:val="004C68B7"/>
    <w:rsid w:val="004C7426"/>
    <w:rsid w:val="004C7C00"/>
    <w:rsid w:val="004D0995"/>
    <w:rsid w:val="004D2626"/>
    <w:rsid w:val="004D2E49"/>
    <w:rsid w:val="004D3231"/>
    <w:rsid w:val="004D3E82"/>
    <w:rsid w:val="004D430C"/>
    <w:rsid w:val="004D43E1"/>
    <w:rsid w:val="004D45F1"/>
    <w:rsid w:val="004D5F62"/>
    <w:rsid w:val="004D7324"/>
    <w:rsid w:val="004D741C"/>
    <w:rsid w:val="004D74AE"/>
    <w:rsid w:val="004D75AB"/>
    <w:rsid w:val="004D76BC"/>
    <w:rsid w:val="004D7CD3"/>
    <w:rsid w:val="004E0187"/>
    <w:rsid w:val="004E03A4"/>
    <w:rsid w:val="004E0553"/>
    <w:rsid w:val="004E07E1"/>
    <w:rsid w:val="004E1760"/>
    <w:rsid w:val="004E1A4E"/>
    <w:rsid w:val="004E1E27"/>
    <w:rsid w:val="004E247D"/>
    <w:rsid w:val="004E2B14"/>
    <w:rsid w:val="004E2FB8"/>
    <w:rsid w:val="004E3253"/>
    <w:rsid w:val="004E39DC"/>
    <w:rsid w:val="004E3A41"/>
    <w:rsid w:val="004E424D"/>
    <w:rsid w:val="004E429B"/>
    <w:rsid w:val="004E453F"/>
    <w:rsid w:val="004E4BDE"/>
    <w:rsid w:val="004E4C61"/>
    <w:rsid w:val="004E4C91"/>
    <w:rsid w:val="004E4CD6"/>
    <w:rsid w:val="004E594A"/>
    <w:rsid w:val="004E5C22"/>
    <w:rsid w:val="004E5C47"/>
    <w:rsid w:val="004E5EAF"/>
    <w:rsid w:val="004E6074"/>
    <w:rsid w:val="004E6D72"/>
    <w:rsid w:val="004E7139"/>
    <w:rsid w:val="004E71F8"/>
    <w:rsid w:val="004E7F8D"/>
    <w:rsid w:val="004F081B"/>
    <w:rsid w:val="004F0951"/>
    <w:rsid w:val="004F0B23"/>
    <w:rsid w:val="004F1204"/>
    <w:rsid w:val="004F13B0"/>
    <w:rsid w:val="004F1475"/>
    <w:rsid w:val="004F1B4E"/>
    <w:rsid w:val="004F1BCC"/>
    <w:rsid w:val="004F1C07"/>
    <w:rsid w:val="004F1CC2"/>
    <w:rsid w:val="004F1EFF"/>
    <w:rsid w:val="004F2200"/>
    <w:rsid w:val="004F254A"/>
    <w:rsid w:val="004F2682"/>
    <w:rsid w:val="004F2C20"/>
    <w:rsid w:val="004F3CB9"/>
    <w:rsid w:val="004F4121"/>
    <w:rsid w:val="004F428D"/>
    <w:rsid w:val="004F5B49"/>
    <w:rsid w:val="004F64DE"/>
    <w:rsid w:val="004F745D"/>
    <w:rsid w:val="004F7569"/>
    <w:rsid w:val="004F7868"/>
    <w:rsid w:val="004F7948"/>
    <w:rsid w:val="004F7DF9"/>
    <w:rsid w:val="00500EFA"/>
    <w:rsid w:val="00501124"/>
    <w:rsid w:val="00501BF3"/>
    <w:rsid w:val="00501F32"/>
    <w:rsid w:val="0050239A"/>
    <w:rsid w:val="0050288D"/>
    <w:rsid w:val="00502E1A"/>
    <w:rsid w:val="0050325E"/>
    <w:rsid w:val="00503491"/>
    <w:rsid w:val="005041CE"/>
    <w:rsid w:val="00504709"/>
    <w:rsid w:val="0050587A"/>
    <w:rsid w:val="00505CA6"/>
    <w:rsid w:val="00505DF1"/>
    <w:rsid w:val="005060E7"/>
    <w:rsid w:val="005064E9"/>
    <w:rsid w:val="00506A87"/>
    <w:rsid w:val="00506B5B"/>
    <w:rsid w:val="00506C49"/>
    <w:rsid w:val="00506F1D"/>
    <w:rsid w:val="005071E0"/>
    <w:rsid w:val="0050738D"/>
    <w:rsid w:val="005075B3"/>
    <w:rsid w:val="00507677"/>
    <w:rsid w:val="00507AA7"/>
    <w:rsid w:val="00507B3E"/>
    <w:rsid w:val="00507B4C"/>
    <w:rsid w:val="00507CB2"/>
    <w:rsid w:val="005111E1"/>
    <w:rsid w:val="005119EE"/>
    <w:rsid w:val="00511C86"/>
    <w:rsid w:val="00511F6E"/>
    <w:rsid w:val="005126AB"/>
    <w:rsid w:val="00512782"/>
    <w:rsid w:val="00512850"/>
    <w:rsid w:val="00512D58"/>
    <w:rsid w:val="00512FD5"/>
    <w:rsid w:val="00513CCD"/>
    <w:rsid w:val="00513E3C"/>
    <w:rsid w:val="00513F50"/>
    <w:rsid w:val="0051462C"/>
    <w:rsid w:val="00514651"/>
    <w:rsid w:val="0051468E"/>
    <w:rsid w:val="0051538E"/>
    <w:rsid w:val="00516544"/>
    <w:rsid w:val="00516633"/>
    <w:rsid w:val="00516873"/>
    <w:rsid w:val="005168C3"/>
    <w:rsid w:val="005176E6"/>
    <w:rsid w:val="00520170"/>
    <w:rsid w:val="005202A8"/>
    <w:rsid w:val="00520B5F"/>
    <w:rsid w:val="00520C48"/>
    <w:rsid w:val="00520F1E"/>
    <w:rsid w:val="005210F1"/>
    <w:rsid w:val="0052200C"/>
    <w:rsid w:val="00522FFF"/>
    <w:rsid w:val="005230B2"/>
    <w:rsid w:val="00523954"/>
    <w:rsid w:val="00523D0D"/>
    <w:rsid w:val="00524F5A"/>
    <w:rsid w:val="005253D5"/>
    <w:rsid w:val="005257E4"/>
    <w:rsid w:val="0052598B"/>
    <w:rsid w:val="00525A3A"/>
    <w:rsid w:val="00525BB5"/>
    <w:rsid w:val="00526802"/>
    <w:rsid w:val="005268D3"/>
    <w:rsid w:val="0052765D"/>
    <w:rsid w:val="00527DAC"/>
    <w:rsid w:val="0053069A"/>
    <w:rsid w:val="00530AAE"/>
    <w:rsid w:val="00530CF1"/>
    <w:rsid w:val="00530F65"/>
    <w:rsid w:val="00531354"/>
    <w:rsid w:val="005317BC"/>
    <w:rsid w:val="00531B94"/>
    <w:rsid w:val="00532044"/>
    <w:rsid w:val="0053274C"/>
    <w:rsid w:val="00532FF0"/>
    <w:rsid w:val="00533315"/>
    <w:rsid w:val="00534390"/>
    <w:rsid w:val="0053448F"/>
    <w:rsid w:val="00534ADF"/>
    <w:rsid w:val="00535941"/>
    <w:rsid w:val="00536003"/>
    <w:rsid w:val="00536750"/>
    <w:rsid w:val="00537CFB"/>
    <w:rsid w:val="00540013"/>
    <w:rsid w:val="00540BDD"/>
    <w:rsid w:val="00540D13"/>
    <w:rsid w:val="00541C52"/>
    <w:rsid w:val="00542431"/>
    <w:rsid w:val="00542642"/>
    <w:rsid w:val="00542E96"/>
    <w:rsid w:val="00542FD9"/>
    <w:rsid w:val="00543123"/>
    <w:rsid w:val="0054377C"/>
    <w:rsid w:val="00543803"/>
    <w:rsid w:val="00543A13"/>
    <w:rsid w:val="00543EA9"/>
    <w:rsid w:val="0054538F"/>
    <w:rsid w:val="005462E0"/>
    <w:rsid w:val="00546D29"/>
    <w:rsid w:val="00546DFC"/>
    <w:rsid w:val="00547066"/>
    <w:rsid w:val="005478EB"/>
    <w:rsid w:val="00547BFE"/>
    <w:rsid w:val="00550048"/>
    <w:rsid w:val="0055024F"/>
    <w:rsid w:val="00550769"/>
    <w:rsid w:val="00551BDF"/>
    <w:rsid w:val="0055219A"/>
    <w:rsid w:val="00552AF5"/>
    <w:rsid w:val="00554329"/>
    <w:rsid w:val="0055434D"/>
    <w:rsid w:val="00554607"/>
    <w:rsid w:val="00555CF8"/>
    <w:rsid w:val="00555DD8"/>
    <w:rsid w:val="00556435"/>
    <w:rsid w:val="005567A4"/>
    <w:rsid w:val="00556A54"/>
    <w:rsid w:val="0055705B"/>
    <w:rsid w:val="00557BA9"/>
    <w:rsid w:val="005606A2"/>
    <w:rsid w:val="00560A69"/>
    <w:rsid w:val="00561995"/>
    <w:rsid w:val="00561CEF"/>
    <w:rsid w:val="00562506"/>
    <w:rsid w:val="005628A1"/>
    <w:rsid w:val="00562CC0"/>
    <w:rsid w:val="00562E4F"/>
    <w:rsid w:val="00562F10"/>
    <w:rsid w:val="00563054"/>
    <w:rsid w:val="0056320D"/>
    <w:rsid w:val="0056326B"/>
    <w:rsid w:val="0056348A"/>
    <w:rsid w:val="00564675"/>
    <w:rsid w:val="00564BE7"/>
    <w:rsid w:val="00564DB6"/>
    <w:rsid w:val="00564FFF"/>
    <w:rsid w:val="00565A22"/>
    <w:rsid w:val="00565B55"/>
    <w:rsid w:val="00565B58"/>
    <w:rsid w:val="00565F69"/>
    <w:rsid w:val="0056649A"/>
    <w:rsid w:val="005667D8"/>
    <w:rsid w:val="00566831"/>
    <w:rsid w:val="00566849"/>
    <w:rsid w:val="00566A00"/>
    <w:rsid w:val="00566ED2"/>
    <w:rsid w:val="0056742C"/>
    <w:rsid w:val="00567537"/>
    <w:rsid w:val="00567BD5"/>
    <w:rsid w:val="0057020F"/>
    <w:rsid w:val="00570362"/>
    <w:rsid w:val="00570ABE"/>
    <w:rsid w:val="0057103B"/>
    <w:rsid w:val="00571A63"/>
    <w:rsid w:val="00571AD0"/>
    <w:rsid w:val="00572748"/>
    <w:rsid w:val="00572863"/>
    <w:rsid w:val="005740E0"/>
    <w:rsid w:val="00574DB2"/>
    <w:rsid w:val="00574DDF"/>
    <w:rsid w:val="00575190"/>
    <w:rsid w:val="005753DC"/>
    <w:rsid w:val="00576201"/>
    <w:rsid w:val="00576753"/>
    <w:rsid w:val="00576D67"/>
    <w:rsid w:val="00576F86"/>
    <w:rsid w:val="00577262"/>
    <w:rsid w:val="00577398"/>
    <w:rsid w:val="00577701"/>
    <w:rsid w:val="00577A61"/>
    <w:rsid w:val="00577BCD"/>
    <w:rsid w:val="00580611"/>
    <w:rsid w:val="005817DE"/>
    <w:rsid w:val="00581834"/>
    <w:rsid w:val="00581A3A"/>
    <w:rsid w:val="00581FFB"/>
    <w:rsid w:val="005820CA"/>
    <w:rsid w:val="00582876"/>
    <w:rsid w:val="00582F42"/>
    <w:rsid w:val="00582F5D"/>
    <w:rsid w:val="005832B8"/>
    <w:rsid w:val="005842DD"/>
    <w:rsid w:val="005848C9"/>
    <w:rsid w:val="00584A15"/>
    <w:rsid w:val="00585632"/>
    <w:rsid w:val="00585640"/>
    <w:rsid w:val="00585DDE"/>
    <w:rsid w:val="005864E9"/>
    <w:rsid w:val="0058684A"/>
    <w:rsid w:val="00586DA9"/>
    <w:rsid w:val="005873B5"/>
    <w:rsid w:val="00587635"/>
    <w:rsid w:val="00587894"/>
    <w:rsid w:val="00587BCF"/>
    <w:rsid w:val="00590169"/>
    <w:rsid w:val="0059039E"/>
    <w:rsid w:val="005904C1"/>
    <w:rsid w:val="00590869"/>
    <w:rsid w:val="00590BD2"/>
    <w:rsid w:val="0059132B"/>
    <w:rsid w:val="00591909"/>
    <w:rsid w:val="00592C9C"/>
    <w:rsid w:val="00594181"/>
    <w:rsid w:val="00594C1E"/>
    <w:rsid w:val="00594C9A"/>
    <w:rsid w:val="00594ED7"/>
    <w:rsid w:val="00594F07"/>
    <w:rsid w:val="00595008"/>
    <w:rsid w:val="005957A8"/>
    <w:rsid w:val="00595F31"/>
    <w:rsid w:val="0059664D"/>
    <w:rsid w:val="00596DF7"/>
    <w:rsid w:val="00596ED4"/>
    <w:rsid w:val="00596F59"/>
    <w:rsid w:val="00597305"/>
    <w:rsid w:val="005973E8"/>
    <w:rsid w:val="00597A6C"/>
    <w:rsid w:val="00597E59"/>
    <w:rsid w:val="00597FE9"/>
    <w:rsid w:val="005A0609"/>
    <w:rsid w:val="005A1111"/>
    <w:rsid w:val="005A162C"/>
    <w:rsid w:val="005A2F85"/>
    <w:rsid w:val="005A3928"/>
    <w:rsid w:val="005A4773"/>
    <w:rsid w:val="005A637E"/>
    <w:rsid w:val="005A6837"/>
    <w:rsid w:val="005A6B29"/>
    <w:rsid w:val="005A6D75"/>
    <w:rsid w:val="005A767F"/>
    <w:rsid w:val="005A7724"/>
    <w:rsid w:val="005A799C"/>
    <w:rsid w:val="005A7A2F"/>
    <w:rsid w:val="005A7D05"/>
    <w:rsid w:val="005A7FFC"/>
    <w:rsid w:val="005B088D"/>
    <w:rsid w:val="005B0C0F"/>
    <w:rsid w:val="005B0EFC"/>
    <w:rsid w:val="005B1267"/>
    <w:rsid w:val="005B155D"/>
    <w:rsid w:val="005B1B88"/>
    <w:rsid w:val="005B221E"/>
    <w:rsid w:val="005B2449"/>
    <w:rsid w:val="005B2794"/>
    <w:rsid w:val="005B2B44"/>
    <w:rsid w:val="005B2B67"/>
    <w:rsid w:val="005B35A6"/>
    <w:rsid w:val="005B3AAF"/>
    <w:rsid w:val="005B3C6E"/>
    <w:rsid w:val="005B4A9C"/>
    <w:rsid w:val="005B4C27"/>
    <w:rsid w:val="005B55A3"/>
    <w:rsid w:val="005B55F2"/>
    <w:rsid w:val="005B5FA3"/>
    <w:rsid w:val="005B6140"/>
    <w:rsid w:val="005B6B6D"/>
    <w:rsid w:val="005B6BF0"/>
    <w:rsid w:val="005B7598"/>
    <w:rsid w:val="005B7B4E"/>
    <w:rsid w:val="005C0F83"/>
    <w:rsid w:val="005C1226"/>
    <w:rsid w:val="005C36A5"/>
    <w:rsid w:val="005C3756"/>
    <w:rsid w:val="005C39F4"/>
    <w:rsid w:val="005C3D81"/>
    <w:rsid w:val="005C4137"/>
    <w:rsid w:val="005C4954"/>
    <w:rsid w:val="005C54D4"/>
    <w:rsid w:val="005C55B7"/>
    <w:rsid w:val="005C64CA"/>
    <w:rsid w:val="005C6841"/>
    <w:rsid w:val="005C6B16"/>
    <w:rsid w:val="005C717D"/>
    <w:rsid w:val="005C7251"/>
    <w:rsid w:val="005C7D22"/>
    <w:rsid w:val="005C7FD5"/>
    <w:rsid w:val="005D0B7B"/>
    <w:rsid w:val="005D166D"/>
    <w:rsid w:val="005D199D"/>
    <w:rsid w:val="005D1AD8"/>
    <w:rsid w:val="005D1B56"/>
    <w:rsid w:val="005D1ED7"/>
    <w:rsid w:val="005D1F67"/>
    <w:rsid w:val="005D205F"/>
    <w:rsid w:val="005D20A5"/>
    <w:rsid w:val="005D26EC"/>
    <w:rsid w:val="005D2AE5"/>
    <w:rsid w:val="005D329E"/>
    <w:rsid w:val="005D3901"/>
    <w:rsid w:val="005D3BD9"/>
    <w:rsid w:val="005D3E39"/>
    <w:rsid w:val="005D4217"/>
    <w:rsid w:val="005D44A4"/>
    <w:rsid w:val="005D4716"/>
    <w:rsid w:val="005D4B9C"/>
    <w:rsid w:val="005D4FC7"/>
    <w:rsid w:val="005D51C3"/>
    <w:rsid w:val="005D5437"/>
    <w:rsid w:val="005D6B44"/>
    <w:rsid w:val="005E09B7"/>
    <w:rsid w:val="005E0E38"/>
    <w:rsid w:val="005E1922"/>
    <w:rsid w:val="005E1993"/>
    <w:rsid w:val="005E1A01"/>
    <w:rsid w:val="005E1ED6"/>
    <w:rsid w:val="005E2917"/>
    <w:rsid w:val="005E2CEA"/>
    <w:rsid w:val="005E2FAF"/>
    <w:rsid w:val="005E3557"/>
    <w:rsid w:val="005E3BB2"/>
    <w:rsid w:val="005E4228"/>
    <w:rsid w:val="005E42CC"/>
    <w:rsid w:val="005E4401"/>
    <w:rsid w:val="005E4E35"/>
    <w:rsid w:val="005E4F5B"/>
    <w:rsid w:val="005E51AF"/>
    <w:rsid w:val="005E5261"/>
    <w:rsid w:val="005E5427"/>
    <w:rsid w:val="005E5A2E"/>
    <w:rsid w:val="005E5C24"/>
    <w:rsid w:val="005E5D2F"/>
    <w:rsid w:val="005E7B9A"/>
    <w:rsid w:val="005E7E3D"/>
    <w:rsid w:val="005F035F"/>
    <w:rsid w:val="005F047A"/>
    <w:rsid w:val="005F0644"/>
    <w:rsid w:val="005F07EB"/>
    <w:rsid w:val="005F1022"/>
    <w:rsid w:val="005F1095"/>
    <w:rsid w:val="005F1611"/>
    <w:rsid w:val="005F182A"/>
    <w:rsid w:val="005F1B0E"/>
    <w:rsid w:val="005F1C7E"/>
    <w:rsid w:val="005F242F"/>
    <w:rsid w:val="005F2E1E"/>
    <w:rsid w:val="005F3A33"/>
    <w:rsid w:val="005F416A"/>
    <w:rsid w:val="005F4625"/>
    <w:rsid w:val="005F4A4B"/>
    <w:rsid w:val="005F50D7"/>
    <w:rsid w:val="005F5947"/>
    <w:rsid w:val="005F5A30"/>
    <w:rsid w:val="005F61FC"/>
    <w:rsid w:val="005F6591"/>
    <w:rsid w:val="005F7457"/>
    <w:rsid w:val="005F7631"/>
    <w:rsid w:val="005F78E5"/>
    <w:rsid w:val="005F7A16"/>
    <w:rsid w:val="005F7FCB"/>
    <w:rsid w:val="006002DC"/>
    <w:rsid w:val="00600E05"/>
    <w:rsid w:val="006023FF"/>
    <w:rsid w:val="006028E9"/>
    <w:rsid w:val="00602A22"/>
    <w:rsid w:val="00602B02"/>
    <w:rsid w:val="00602BD0"/>
    <w:rsid w:val="00603618"/>
    <w:rsid w:val="006036D1"/>
    <w:rsid w:val="00603776"/>
    <w:rsid w:val="00604088"/>
    <w:rsid w:val="0060461E"/>
    <w:rsid w:val="0060505C"/>
    <w:rsid w:val="00605844"/>
    <w:rsid w:val="00605B05"/>
    <w:rsid w:val="006061D9"/>
    <w:rsid w:val="006069DE"/>
    <w:rsid w:val="006070F1"/>
    <w:rsid w:val="0060715E"/>
    <w:rsid w:val="0060718C"/>
    <w:rsid w:val="00607BDB"/>
    <w:rsid w:val="00607D6D"/>
    <w:rsid w:val="00610108"/>
    <w:rsid w:val="00610353"/>
    <w:rsid w:val="00610479"/>
    <w:rsid w:val="00610580"/>
    <w:rsid w:val="006107CC"/>
    <w:rsid w:val="006110D9"/>
    <w:rsid w:val="00611695"/>
    <w:rsid w:val="006116EB"/>
    <w:rsid w:val="006118E2"/>
    <w:rsid w:val="00611E17"/>
    <w:rsid w:val="00611EF8"/>
    <w:rsid w:val="0061267C"/>
    <w:rsid w:val="00613090"/>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974"/>
    <w:rsid w:val="0062056F"/>
    <w:rsid w:val="00620927"/>
    <w:rsid w:val="00621C39"/>
    <w:rsid w:val="00621D80"/>
    <w:rsid w:val="00621F04"/>
    <w:rsid w:val="00622184"/>
    <w:rsid w:val="006227E6"/>
    <w:rsid w:val="0062361D"/>
    <w:rsid w:val="00623AC4"/>
    <w:rsid w:val="00623D66"/>
    <w:rsid w:val="0062442A"/>
    <w:rsid w:val="00624545"/>
    <w:rsid w:val="00624916"/>
    <w:rsid w:val="00624B14"/>
    <w:rsid w:val="006251B6"/>
    <w:rsid w:val="0062537A"/>
    <w:rsid w:val="00625899"/>
    <w:rsid w:val="00625B59"/>
    <w:rsid w:val="00626324"/>
    <w:rsid w:val="0062695A"/>
    <w:rsid w:val="0062698E"/>
    <w:rsid w:val="006269D8"/>
    <w:rsid w:val="00626A6A"/>
    <w:rsid w:val="00626A86"/>
    <w:rsid w:val="006272E5"/>
    <w:rsid w:val="00627FEC"/>
    <w:rsid w:val="006301CB"/>
    <w:rsid w:val="006302E5"/>
    <w:rsid w:val="0063089D"/>
    <w:rsid w:val="00630B30"/>
    <w:rsid w:val="00630B50"/>
    <w:rsid w:val="00630E93"/>
    <w:rsid w:val="00631208"/>
    <w:rsid w:val="00631236"/>
    <w:rsid w:val="00631258"/>
    <w:rsid w:val="006315BA"/>
    <w:rsid w:val="00631600"/>
    <w:rsid w:val="0063181D"/>
    <w:rsid w:val="0063195E"/>
    <w:rsid w:val="00632990"/>
    <w:rsid w:val="00632A96"/>
    <w:rsid w:val="00632C6C"/>
    <w:rsid w:val="00634A21"/>
    <w:rsid w:val="00635349"/>
    <w:rsid w:val="00635662"/>
    <w:rsid w:val="00635D6F"/>
    <w:rsid w:val="006362BF"/>
    <w:rsid w:val="00636A2C"/>
    <w:rsid w:val="00636DD7"/>
    <w:rsid w:val="00637655"/>
    <w:rsid w:val="00637C58"/>
    <w:rsid w:val="00637D05"/>
    <w:rsid w:val="00637F40"/>
    <w:rsid w:val="006403B5"/>
    <w:rsid w:val="0064082F"/>
    <w:rsid w:val="00640A8E"/>
    <w:rsid w:val="00640EA0"/>
    <w:rsid w:val="00640EF6"/>
    <w:rsid w:val="0064116F"/>
    <w:rsid w:val="006419E7"/>
    <w:rsid w:val="00641AD3"/>
    <w:rsid w:val="00641D67"/>
    <w:rsid w:val="00642C13"/>
    <w:rsid w:val="006432FC"/>
    <w:rsid w:val="00643621"/>
    <w:rsid w:val="006438AD"/>
    <w:rsid w:val="00643CD7"/>
    <w:rsid w:val="00643D4D"/>
    <w:rsid w:val="00643E75"/>
    <w:rsid w:val="006440A3"/>
    <w:rsid w:val="00644947"/>
    <w:rsid w:val="006449F3"/>
    <w:rsid w:val="00645976"/>
    <w:rsid w:val="00645C48"/>
    <w:rsid w:val="0064675A"/>
    <w:rsid w:val="006468D5"/>
    <w:rsid w:val="00646BFB"/>
    <w:rsid w:val="006475DA"/>
    <w:rsid w:val="00647972"/>
    <w:rsid w:val="00647ECC"/>
    <w:rsid w:val="00647F67"/>
    <w:rsid w:val="0065008C"/>
    <w:rsid w:val="00650196"/>
    <w:rsid w:val="00650420"/>
    <w:rsid w:val="00650D72"/>
    <w:rsid w:val="006510E9"/>
    <w:rsid w:val="0065131F"/>
    <w:rsid w:val="00651985"/>
    <w:rsid w:val="00651A19"/>
    <w:rsid w:val="00651BAF"/>
    <w:rsid w:val="00651FDC"/>
    <w:rsid w:val="00652058"/>
    <w:rsid w:val="00653B18"/>
    <w:rsid w:val="00653B50"/>
    <w:rsid w:val="006542EF"/>
    <w:rsid w:val="00654488"/>
    <w:rsid w:val="0065519A"/>
    <w:rsid w:val="00655F95"/>
    <w:rsid w:val="00656920"/>
    <w:rsid w:val="00656CC7"/>
    <w:rsid w:val="00656E54"/>
    <w:rsid w:val="00656E85"/>
    <w:rsid w:val="0065766A"/>
    <w:rsid w:val="00657876"/>
    <w:rsid w:val="00660044"/>
    <w:rsid w:val="0066076B"/>
    <w:rsid w:val="00660ED2"/>
    <w:rsid w:val="00661765"/>
    <w:rsid w:val="006617F9"/>
    <w:rsid w:val="006622E7"/>
    <w:rsid w:val="006623A4"/>
    <w:rsid w:val="0066330C"/>
    <w:rsid w:val="00663C56"/>
    <w:rsid w:val="00663E5F"/>
    <w:rsid w:val="00663FFB"/>
    <w:rsid w:val="00664A3B"/>
    <w:rsid w:val="00664B0C"/>
    <w:rsid w:val="00664CF5"/>
    <w:rsid w:val="0066567E"/>
    <w:rsid w:val="00665CAF"/>
    <w:rsid w:val="00665DAE"/>
    <w:rsid w:val="006664C3"/>
    <w:rsid w:val="0066674B"/>
    <w:rsid w:val="006669F9"/>
    <w:rsid w:val="00666C77"/>
    <w:rsid w:val="00666F10"/>
    <w:rsid w:val="00666F7C"/>
    <w:rsid w:val="00667618"/>
    <w:rsid w:val="00667A3B"/>
    <w:rsid w:val="00667C89"/>
    <w:rsid w:val="006704AF"/>
    <w:rsid w:val="00671877"/>
    <w:rsid w:val="00671D8E"/>
    <w:rsid w:val="006720CC"/>
    <w:rsid w:val="00672753"/>
    <w:rsid w:val="00672B5C"/>
    <w:rsid w:val="00672D1A"/>
    <w:rsid w:val="00673003"/>
    <w:rsid w:val="0067359B"/>
    <w:rsid w:val="00673980"/>
    <w:rsid w:val="00673B24"/>
    <w:rsid w:val="00674437"/>
    <w:rsid w:val="00674527"/>
    <w:rsid w:val="0067462A"/>
    <w:rsid w:val="00674972"/>
    <w:rsid w:val="00675BF8"/>
    <w:rsid w:val="00675D5C"/>
    <w:rsid w:val="006763A9"/>
    <w:rsid w:val="0067661E"/>
    <w:rsid w:val="00676670"/>
    <w:rsid w:val="00676AA6"/>
    <w:rsid w:val="006770B1"/>
    <w:rsid w:val="00677294"/>
    <w:rsid w:val="00677325"/>
    <w:rsid w:val="006816B9"/>
    <w:rsid w:val="00681CC4"/>
    <w:rsid w:val="00681E1A"/>
    <w:rsid w:val="00681FD8"/>
    <w:rsid w:val="00682124"/>
    <w:rsid w:val="00682A76"/>
    <w:rsid w:val="00682E8D"/>
    <w:rsid w:val="00683096"/>
    <w:rsid w:val="00683309"/>
    <w:rsid w:val="006838CD"/>
    <w:rsid w:val="00683E89"/>
    <w:rsid w:val="0068445D"/>
    <w:rsid w:val="00684A37"/>
    <w:rsid w:val="00684B85"/>
    <w:rsid w:val="00684EA0"/>
    <w:rsid w:val="006854DE"/>
    <w:rsid w:val="006857DF"/>
    <w:rsid w:val="00686282"/>
    <w:rsid w:val="006864C0"/>
    <w:rsid w:val="00686BD0"/>
    <w:rsid w:val="00686BEB"/>
    <w:rsid w:val="00686F6A"/>
    <w:rsid w:val="006874E1"/>
    <w:rsid w:val="0068751B"/>
    <w:rsid w:val="00687E18"/>
    <w:rsid w:val="00690932"/>
    <w:rsid w:val="00690BA8"/>
    <w:rsid w:val="00691371"/>
    <w:rsid w:val="00691451"/>
    <w:rsid w:val="006927C0"/>
    <w:rsid w:val="006929C2"/>
    <w:rsid w:val="00692A27"/>
    <w:rsid w:val="00692F67"/>
    <w:rsid w:val="00693A02"/>
    <w:rsid w:val="00693A3D"/>
    <w:rsid w:val="00694157"/>
    <w:rsid w:val="0069434C"/>
    <w:rsid w:val="00694F2B"/>
    <w:rsid w:val="00695348"/>
    <w:rsid w:val="006960C4"/>
    <w:rsid w:val="006961C9"/>
    <w:rsid w:val="00696518"/>
    <w:rsid w:val="0069651C"/>
    <w:rsid w:val="00696C17"/>
    <w:rsid w:val="00696C1C"/>
    <w:rsid w:val="00697652"/>
    <w:rsid w:val="0069783E"/>
    <w:rsid w:val="006A0111"/>
    <w:rsid w:val="006A0D46"/>
    <w:rsid w:val="006A119C"/>
    <w:rsid w:val="006A123B"/>
    <w:rsid w:val="006A19B7"/>
    <w:rsid w:val="006A2517"/>
    <w:rsid w:val="006A3644"/>
    <w:rsid w:val="006A36A1"/>
    <w:rsid w:val="006A385D"/>
    <w:rsid w:val="006A3C52"/>
    <w:rsid w:val="006A44F2"/>
    <w:rsid w:val="006A53BE"/>
    <w:rsid w:val="006A57D1"/>
    <w:rsid w:val="006A6D8A"/>
    <w:rsid w:val="006A6FA2"/>
    <w:rsid w:val="006A70E6"/>
    <w:rsid w:val="006A7240"/>
    <w:rsid w:val="006A7A90"/>
    <w:rsid w:val="006A7E6F"/>
    <w:rsid w:val="006A7EF3"/>
    <w:rsid w:val="006B0A3E"/>
    <w:rsid w:val="006B0D9E"/>
    <w:rsid w:val="006B13ED"/>
    <w:rsid w:val="006B1DA8"/>
    <w:rsid w:val="006B2FC6"/>
    <w:rsid w:val="006B31BF"/>
    <w:rsid w:val="006B3484"/>
    <w:rsid w:val="006B34DD"/>
    <w:rsid w:val="006B364D"/>
    <w:rsid w:val="006B3873"/>
    <w:rsid w:val="006B3E2E"/>
    <w:rsid w:val="006B3EA5"/>
    <w:rsid w:val="006B3F5B"/>
    <w:rsid w:val="006B6822"/>
    <w:rsid w:val="006B6B84"/>
    <w:rsid w:val="006B6FFB"/>
    <w:rsid w:val="006B76F6"/>
    <w:rsid w:val="006B7E8F"/>
    <w:rsid w:val="006C097C"/>
    <w:rsid w:val="006C118F"/>
    <w:rsid w:val="006C16A5"/>
    <w:rsid w:val="006C1D19"/>
    <w:rsid w:val="006C1D40"/>
    <w:rsid w:val="006C2698"/>
    <w:rsid w:val="006C4282"/>
    <w:rsid w:val="006C46F1"/>
    <w:rsid w:val="006C47AE"/>
    <w:rsid w:val="006C4BD0"/>
    <w:rsid w:val="006C502F"/>
    <w:rsid w:val="006C54E1"/>
    <w:rsid w:val="006C5613"/>
    <w:rsid w:val="006C59AB"/>
    <w:rsid w:val="006C5F2A"/>
    <w:rsid w:val="006C622D"/>
    <w:rsid w:val="006C6342"/>
    <w:rsid w:val="006C7549"/>
    <w:rsid w:val="006C7ABF"/>
    <w:rsid w:val="006C7C53"/>
    <w:rsid w:val="006D006D"/>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B43"/>
    <w:rsid w:val="006D3D22"/>
    <w:rsid w:val="006D49BE"/>
    <w:rsid w:val="006D4C0A"/>
    <w:rsid w:val="006D4FA5"/>
    <w:rsid w:val="006D5652"/>
    <w:rsid w:val="006D653C"/>
    <w:rsid w:val="006D67F4"/>
    <w:rsid w:val="006D6BC7"/>
    <w:rsid w:val="006D6EDF"/>
    <w:rsid w:val="006E025A"/>
    <w:rsid w:val="006E0688"/>
    <w:rsid w:val="006E0694"/>
    <w:rsid w:val="006E0DA4"/>
    <w:rsid w:val="006E0F55"/>
    <w:rsid w:val="006E10F1"/>
    <w:rsid w:val="006E11EF"/>
    <w:rsid w:val="006E15DC"/>
    <w:rsid w:val="006E1638"/>
    <w:rsid w:val="006E1B2D"/>
    <w:rsid w:val="006E1B70"/>
    <w:rsid w:val="006E1D8D"/>
    <w:rsid w:val="006E25FB"/>
    <w:rsid w:val="006E2A82"/>
    <w:rsid w:val="006E2F5F"/>
    <w:rsid w:val="006E31D3"/>
    <w:rsid w:val="006E3478"/>
    <w:rsid w:val="006E3989"/>
    <w:rsid w:val="006E3E1B"/>
    <w:rsid w:val="006E4333"/>
    <w:rsid w:val="006E4396"/>
    <w:rsid w:val="006E461A"/>
    <w:rsid w:val="006E4642"/>
    <w:rsid w:val="006E4B37"/>
    <w:rsid w:val="006E538F"/>
    <w:rsid w:val="006E5E2B"/>
    <w:rsid w:val="006E669D"/>
    <w:rsid w:val="006E6938"/>
    <w:rsid w:val="006E70D1"/>
    <w:rsid w:val="006E7365"/>
    <w:rsid w:val="006E782E"/>
    <w:rsid w:val="006F017C"/>
    <w:rsid w:val="006F04F4"/>
    <w:rsid w:val="006F0820"/>
    <w:rsid w:val="006F0C55"/>
    <w:rsid w:val="006F15DC"/>
    <w:rsid w:val="006F1D96"/>
    <w:rsid w:val="006F1E8A"/>
    <w:rsid w:val="006F214C"/>
    <w:rsid w:val="006F2DF2"/>
    <w:rsid w:val="006F30FE"/>
    <w:rsid w:val="006F322E"/>
    <w:rsid w:val="006F415F"/>
    <w:rsid w:val="006F4421"/>
    <w:rsid w:val="006F45EE"/>
    <w:rsid w:val="006F464A"/>
    <w:rsid w:val="006F48C5"/>
    <w:rsid w:val="006F5009"/>
    <w:rsid w:val="006F5253"/>
    <w:rsid w:val="006F5B0E"/>
    <w:rsid w:val="006F6289"/>
    <w:rsid w:val="006F6553"/>
    <w:rsid w:val="006F676E"/>
    <w:rsid w:val="006F7379"/>
    <w:rsid w:val="006F7435"/>
    <w:rsid w:val="006F7A2A"/>
    <w:rsid w:val="00700F16"/>
    <w:rsid w:val="00701326"/>
    <w:rsid w:val="00701888"/>
    <w:rsid w:val="00701C74"/>
    <w:rsid w:val="0070226A"/>
    <w:rsid w:val="00702CB2"/>
    <w:rsid w:val="0070301D"/>
    <w:rsid w:val="007036FD"/>
    <w:rsid w:val="00703D16"/>
    <w:rsid w:val="00704463"/>
    <w:rsid w:val="007046C6"/>
    <w:rsid w:val="007046DA"/>
    <w:rsid w:val="00704D8C"/>
    <w:rsid w:val="007057F0"/>
    <w:rsid w:val="00705B50"/>
    <w:rsid w:val="00705CDC"/>
    <w:rsid w:val="00706196"/>
    <w:rsid w:val="0070799E"/>
    <w:rsid w:val="00707A2E"/>
    <w:rsid w:val="00707B3B"/>
    <w:rsid w:val="00707EA0"/>
    <w:rsid w:val="007100A9"/>
    <w:rsid w:val="007101E0"/>
    <w:rsid w:val="007106CB"/>
    <w:rsid w:val="007107C2"/>
    <w:rsid w:val="00710B32"/>
    <w:rsid w:val="00710E94"/>
    <w:rsid w:val="0071103A"/>
    <w:rsid w:val="0071127D"/>
    <w:rsid w:val="007118A6"/>
    <w:rsid w:val="007118E2"/>
    <w:rsid w:val="00711C2F"/>
    <w:rsid w:val="00712702"/>
    <w:rsid w:val="00714474"/>
    <w:rsid w:val="007145B8"/>
    <w:rsid w:val="00714830"/>
    <w:rsid w:val="007148A4"/>
    <w:rsid w:val="00714B20"/>
    <w:rsid w:val="0071525F"/>
    <w:rsid w:val="00715A9E"/>
    <w:rsid w:val="00715DD1"/>
    <w:rsid w:val="00716030"/>
    <w:rsid w:val="0071626D"/>
    <w:rsid w:val="00716921"/>
    <w:rsid w:val="007169BD"/>
    <w:rsid w:val="00716F95"/>
    <w:rsid w:val="00717441"/>
    <w:rsid w:val="00720195"/>
    <w:rsid w:val="007201C7"/>
    <w:rsid w:val="007201F7"/>
    <w:rsid w:val="00720BC5"/>
    <w:rsid w:val="00721BE9"/>
    <w:rsid w:val="00721E5C"/>
    <w:rsid w:val="0072226D"/>
    <w:rsid w:val="00722C2C"/>
    <w:rsid w:val="00722CBE"/>
    <w:rsid w:val="00723085"/>
    <w:rsid w:val="007243C7"/>
    <w:rsid w:val="007244E0"/>
    <w:rsid w:val="00724710"/>
    <w:rsid w:val="00724A4F"/>
    <w:rsid w:val="00724BA0"/>
    <w:rsid w:val="00724CA0"/>
    <w:rsid w:val="00725044"/>
    <w:rsid w:val="007252CB"/>
    <w:rsid w:val="00725E42"/>
    <w:rsid w:val="00726027"/>
    <w:rsid w:val="007261C8"/>
    <w:rsid w:val="0072627A"/>
    <w:rsid w:val="007263C6"/>
    <w:rsid w:val="007266EF"/>
    <w:rsid w:val="007267CB"/>
    <w:rsid w:val="00726C63"/>
    <w:rsid w:val="00727AC1"/>
    <w:rsid w:val="00727D60"/>
    <w:rsid w:val="00730210"/>
    <w:rsid w:val="00730649"/>
    <w:rsid w:val="00730F59"/>
    <w:rsid w:val="0073128F"/>
    <w:rsid w:val="00731E54"/>
    <w:rsid w:val="0073226A"/>
    <w:rsid w:val="00733BEB"/>
    <w:rsid w:val="00734D1F"/>
    <w:rsid w:val="007352CC"/>
    <w:rsid w:val="0073572E"/>
    <w:rsid w:val="0073575D"/>
    <w:rsid w:val="007357E8"/>
    <w:rsid w:val="00735882"/>
    <w:rsid w:val="007358D6"/>
    <w:rsid w:val="007360A1"/>
    <w:rsid w:val="00737064"/>
    <w:rsid w:val="00737255"/>
    <w:rsid w:val="007375CE"/>
    <w:rsid w:val="007376E5"/>
    <w:rsid w:val="007377D6"/>
    <w:rsid w:val="00740295"/>
    <w:rsid w:val="00740E58"/>
    <w:rsid w:val="00741208"/>
    <w:rsid w:val="00741931"/>
    <w:rsid w:val="00741B22"/>
    <w:rsid w:val="00741DF1"/>
    <w:rsid w:val="00741FE7"/>
    <w:rsid w:val="00742281"/>
    <w:rsid w:val="0074274A"/>
    <w:rsid w:val="00742B8C"/>
    <w:rsid w:val="00743504"/>
    <w:rsid w:val="00743523"/>
    <w:rsid w:val="007437DE"/>
    <w:rsid w:val="00743AB3"/>
    <w:rsid w:val="00744077"/>
    <w:rsid w:val="00745078"/>
    <w:rsid w:val="00746ECE"/>
    <w:rsid w:val="00747AEC"/>
    <w:rsid w:val="00747CEB"/>
    <w:rsid w:val="00747F2E"/>
    <w:rsid w:val="00750589"/>
    <w:rsid w:val="00750700"/>
    <w:rsid w:val="007512A9"/>
    <w:rsid w:val="0075138D"/>
    <w:rsid w:val="0075138E"/>
    <w:rsid w:val="00751763"/>
    <w:rsid w:val="007524F1"/>
    <w:rsid w:val="0075300C"/>
    <w:rsid w:val="007532D9"/>
    <w:rsid w:val="00753561"/>
    <w:rsid w:val="00753AA9"/>
    <w:rsid w:val="0075401D"/>
    <w:rsid w:val="007549A8"/>
    <w:rsid w:val="00754A6E"/>
    <w:rsid w:val="00754C61"/>
    <w:rsid w:val="00754CB0"/>
    <w:rsid w:val="00754F9B"/>
    <w:rsid w:val="00755617"/>
    <w:rsid w:val="007556B7"/>
    <w:rsid w:val="00755E94"/>
    <w:rsid w:val="0075620A"/>
    <w:rsid w:val="00756215"/>
    <w:rsid w:val="00757419"/>
    <w:rsid w:val="00757450"/>
    <w:rsid w:val="007576A5"/>
    <w:rsid w:val="00757DE5"/>
    <w:rsid w:val="00757E4F"/>
    <w:rsid w:val="00760902"/>
    <w:rsid w:val="00760E24"/>
    <w:rsid w:val="00760F7D"/>
    <w:rsid w:val="0076119A"/>
    <w:rsid w:val="00761AE6"/>
    <w:rsid w:val="00762667"/>
    <w:rsid w:val="00762B04"/>
    <w:rsid w:val="00762DC7"/>
    <w:rsid w:val="007630D9"/>
    <w:rsid w:val="00763131"/>
    <w:rsid w:val="00763ABA"/>
    <w:rsid w:val="00763F2E"/>
    <w:rsid w:val="007641AB"/>
    <w:rsid w:val="0076439D"/>
    <w:rsid w:val="00764F34"/>
    <w:rsid w:val="00765C2D"/>
    <w:rsid w:val="00765ECD"/>
    <w:rsid w:val="00766011"/>
    <w:rsid w:val="00766271"/>
    <w:rsid w:val="00766A55"/>
    <w:rsid w:val="00766F56"/>
    <w:rsid w:val="007672AA"/>
    <w:rsid w:val="007673C9"/>
    <w:rsid w:val="0076764B"/>
    <w:rsid w:val="00767662"/>
    <w:rsid w:val="00767B7D"/>
    <w:rsid w:val="00767CE8"/>
    <w:rsid w:val="00770162"/>
    <w:rsid w:val="0077093F"/>
    <w:rsid w:val="00770E8D"/>
    <w:rsid w:val="007710BC"/>
    <w:rsid w:val="00771888"/>
    <w:rsid w:val="0077275F"/>
    <w:rsid w:val="00772964"/>
    <w:rsid w:val="00772DE9"/>
    <w:rsid w:val="00773477"/>
    <w:rsid w:val="00773551"/>
    <w:rsid w:val="00773679"/>
    <w:rsid w:val="007736C1"/>
    <w:rsid w:val="00773A11"/>
    <w:rsid w:val="00773A72"/>
    <w:rsid w:val="00773EC5"/>
    <w:rsid w:val="00773EFE"/>
    <w:rsid w:val="00774428"/>
    <w:rsid w:val="007744FF"/>
    <w:rsid w:val="007748C4"/>
    <w:rsid w:val="00774F34"/>
    <w:rsid w:val="007760A2"/>
    <w:rsid w:val="00776236"/>
    <w:rsid w:val="00776A1A"/>
    <w:rsid w:val="00776D3A"/>
    <w:rsid w:val="0077756E"/>
    <w:rsid w:val="00777862"/>
    <w:rsid w:val="00777A33"/>
    <w:rsid w:val="00777A43"/>
    <w:rsid w:val="00777EEA"/>
    <w:rsid w:val="007804EC"/>
    <w:rsid w:val="00780E08"/>
    <w:rsid w:val="00781450"/>
    <w:rsid w:val="007819D4"/>
    <w:rsid w:val="00781AB1"/>
    <w:rsid w:val="00781AE2"/>
    <w:rsid w:val="00781FE1"/>
    <w:rsid w:val="007820DB"/>
    <w:rsid w:val="00782A7E"/>
    <w:rsid w:val="00782AC8"/>
    <w:rsid w:val="00783EC2"/>
    <w:rsid w:val="007841D7"/>
    <w:rsid w:val="00784B51"/>
    <w:rsid w:val="00784FCE"/>
    <w:rsid w:val="007850DB"/>
    <w:rsid w:val="007868CE"/>
    <w:rsid w:val="00786B36"/>
    <w:rsid w:val="0078725D"/>
    <w:rsid w:val="00787AC8"/>
    <w:rsid w:val="007901A7"/>
    <w:rsid w:val="0079065A"/>
    <w:rsid w:val="00790CA3"/>
    <w:rsid w:val="00790D18"/>
    <w:rsid w:val="00791633"/>
    <w:rsid w:val="00791C19"/>
    <w:rsid w:val="00791E6B"/>
    <w:rsid w:val="00792075"/>
    <w:rsid w:val="00792758"/>
    <w:rsid w:val="00792990"/>
    <w:rsid w:val="00792A44"/>
    <w:rsid w:val="00792BB2"/>
    <w:rsid w:val="00792E0B"/>
    <w:rsid w:val="00793334"/>
    <w:rsid w:val="007939CF"/>
    <w:rsid w:val="0079413D"/>
    <w:rsid w:val="00794AE4"/>
    <w:rsid w:val="00794CF0"/>
    <w:rsid w:val="007959CD"/>
    <w:rsid w:val="00795ABF"/>
    <w:rsid w:val="00795CA3"/>
    <w:rsid w:val="00796189"/>
    <w:rsid w:val="007963C1"/>
    <w:rsid w:val="00796C2A"/>
    <w:rsid w:val="00796E2B"/>
    <w:rsid w:val="00796EE8"/>
    <w:rsid w:val="00797164"/>
    <w:rsid w:val="00797287"/>
    <w:rsid w:val="00797304"/>
    <w:rsid w:val="007A0552"/>
    <w:rsid w:val="007A0B27"/>
    <w:rsid w:val="007A0C4A"/>
    <w:rsid w:val="007A1709"/>
    <w:rsid w:val="007A177A"/>
    <w:rsid w:val="007A1F6E"/>
    <w:rsid w:val="007A21B2"/>
    <w:rsid w:val="007A2534"/>
    <w:rsid w:val="007A2C3D"/>
    <w:rsid w:val="007A2E9C"/>
    <w:rsid w:val="007A339D"/>
    <w:rsid w:val="007A3F5B"/>
    <w:rsid w:val="007A486F"/>
    <w:rsid w:val="007A516E"/>
    <w:rsid w:val="007A581A"/>
    <w:rsid w:val="007A635C"/>
    <w:rsid w:val="007A7016"/>
    <w:rsid w:val="007A7246"/>
    <w:rsid w:val="007A7763"/>
    <w:rsid w:val="007A77E4"/>
    <w:rsid w:val="007A7985"/>
    <w:rsid w:val="007B0E7D"/>
    <w:rsid w:val="007B1334"/>
    <w:rsid w:val="007B229C"/>
    <w:rsid w:val="007B233E"/>
    <w:rsid w:val="007B2783"/>
    <w:rsid w:val="007B2A4E"/>
    <w:rsid w:val="007B2E37"/>
    <w:rsid w:val="007B318E"/>
    <w:rsid w:val="007B389A"/>
    <w:rsid w:val="007B4648"/>
    <w:rsid w:val="007B5199"/>
    <w:rsid w:val="007B5232"/>
    <w:rsid w:val="007B56AE"/>
    <w:rsid w:val="007B58DC"/>
    <w:rsid w:val="007B5BA3"/>
    <w:rsid w:val="007B5FC4"/>
    <w:rsid w:val="007B6ED3"/>
    <w:rsid w:val="007B71F0"/>
    <w:rsid w:val="007B73FE"/>
    <w:rsid w:val="007B76A0"/>
    <w:rsid w:val="007B7B21"/>
    <w:rsid w:val="007C0205"/>
    <w:rsid w:val="007C06BF"/>
    <w:rsid w:val="007C08A4"/>
    <w:rsid w:val="007C08BD"/>
    <w:rsid w:val="007C0A83"/>
    <w:rsid w:val="007C17D3"/>
    <w:rsid w:val="007C1879"/>
    <w:rsid w:val="007C1CFF"/>
    <w:rsid w:val="007C2365"/>
    <w:rsid w:val="007C3160"/>
    <w:rsid w:val="007C32B0"/>
    <w:rsid w:val="007C343F"/>
    <w:rsid w:val="007C412C"/>
    <w:rsid w:val="007C4607"/>
    <w:rsid w:val="007C4A1F"/>
    <w:rsid w:val="007C4D31"/>
    <w:rsid w:val="007C560A"/>
    <w:rsid w:val="007C6182"/>
    <w:rsid w:val="007C6347"/>
    <w:rsid w:val="007C6B7F"/>
    <w:rsid w:val="007C7C14"/>
    <w:rsid w:val="007D028B"/>
    <w:rsid w:val="007D0EB3"/>
    <w:rsid w:val="007D3E32"/>
    <w:rsid w:val="007D41A0"/>
    <w:rsid w:val="007D4806"/>
    <w:rsid w:val="007D4EFA"/>
    <w:rsid w:val="007D50CA"/>
    <w:rsid w:val="007D50CD"/>
    <w:rsid w:val="007D57B2"/>
    <w:rsid w:val="007D5940"/>
    <w:rsid w:val="007D6293"/>
    <w:rsid w:val="007D6580"/>
    <w:rsid w:val="007D69C5"/>
    <w:rsid w:val="007D6E66"/>
    <w:rsid w:val="007D7294"/>
    <w:rsid w:val="007D79A5"/>
    <w:rsid w:val="007D7A52"/>
    <w:rsid w:val="007D7BA7"/>
    <w:rsid w:val="007D7C9D"/>
    <w:rsid w:val="007E0188"/>
    <w:rsid w:val="007E0C30"/>
    <w:rsid w:val="007E116E"/>
    <w:rsid w:val="007E18A5"/>
    <w:rsid w:val="007E269A"/>
    <w:rsid w:val="007E2EF3"/>
    <w:rsid w:val="007E3581"/>
    <w:rsid w:val="007E3FBB"/>
    <w:rsid w:val="007E4D27"/>
    <w:rsid w:val="007E4EF4"/>
    <w:rsid w:val="007E4EF6"/>
    <w:rsid w:val="007E530E"/>
    <w:rsid w:val="007E5B2B"/>
    <w:rsid w:val="007E625E"/>
    <w:rsid w:val="007E6D27"/>
    <w:rsid w:val="007E6D85"/>
    <w:rsid w:val="007E6E07"/>
    <w:rsid w:val="007E76F7"/>
    <w:rsid w:val="007F02B2"/>
    <w:rsid w:val="007F2535"/>
    <w:rsid w:val="007F273D"/>
    <w:rsid w:val="007F2E38"/>
    <w:rsid w:val="007F373A"/>
    <w:rsid w:val="007F4745"/>
    <w:rsid w:val="007F4D44"/>
    <w:rsid w:val="007F54D7"/>
    <w:rsid w:val="007F6121"/>
    <w:rsid w:val="007F6762"/>
    <w:rsid w:val="007F6890"/>
    <w:rsid w:val="007F6D09"/>
    <w:rsid w:val="007F6EE1"/>
    <w:rsid w:val="007F7300"/>
    <w:rsid w:val="007F7583"/>
    <w:rsid w:val="007F76B6"/>
    <w:rsid w:val="00801156"/>
    <w:rsid w:val="008013C9"/>
    <w:rsid w:val="00801543"/>
    <w:rsid w:val="00801AAC"/>
    <w:rsid w:val="00802051"/>
    <w:rsid w:val="00802193"/>
    <w:rsid w:val="0080219B"/>
    <w:rsid w:val="008027A8"/>
    <w:rsid w:val="00802FE9"/>
    <w:rsid w:val="00803364"/>
    <w:rsid w:val="0080381B"/>
    <w:rsid w:val="008038ED"/>
    <w:rsid w:val="00803A09"/>
    <w:rsid w:val="00803E45"/>
    <w:rsid w:val="00804517"/>
    <w:rsid w:val="008045D6"/>
    <w:rsid w:val="008046EB"/>
    <w:rsid w:val="00804B1D"/>
    <w:rsid w:val="00804CE3"/>
    <w:rsid w:val="00804E44"/>
    <w:rsid w:val="0080568E"/>
    <w:rsid w:val="00805994"/>
    <w:rsid w:val="00805BD2"/>
    <w:rsid w:val="00806048"/>
    <w:rsid w:val="008064DC"/>
    <w:rsid w:val="008064F0"/>
    <w:rsid w:val="00806794"/>
    <w:rsid w:val="0080697A"/>
    <w:rsid w:val="00806B20"/>
    <w:rsid w:val="0080706B"/>
    <w:rsid w:val="0080724D"/>
    <w:rsid w:val="0080761A"/>
    <w:rsid w:val="00807B78"/>
    <w:rsid w:val="00810B17"/>
    <w:rsid w:val="00810C36"/>
    <w:rsid w:val="00810D66"/>
    <w:rsid w:val="00810DCB"/>
    <w:rsid w:val="0081130C"/>
    <w:rsid w:val="00811C3A"/>
    <w:rsid w:val="00812B44"/>
    <w:rsid w:val="00812DE3"/>
    <w:rsid w:val="0081302F"/>
    <w:rsid w:val="00813796"/>
    <w:rsid w:val="00813961"/>
    <w:rsid w:val="00813978"/>
    <w:rsid w:val="00813B53"/>
    <w:rsid w:val="00813F6E"/>
    <w:rsid w:val="00813FDB"/>
    <w:rsid w:val="00814155"/>
    <w:rsid w:val="00814CDE"/>
    <w:rsid w:val="00814EB2"/>
    <w:rsid w:val="0081543D"/>
    <w:rsid w:val="0081565B"/>
    <w:rsid w:val="008162F3"/>
    <w:rsid w:val="00816695"/>
    <w:rsid w:val="00817351"/>
    <w:rsid w:val="008173CF"/>
    <w:rsid w:val="008177A2"/>
    <w:rsid w:val="0081799F"/>
    <w:rsid w:val="0082012D"/>
    <w:rsid w:val="008211FB"/>
    <w:rsid w:val="00821315"/>
    <w:rsid w:val="00821C80"/>
    <w:rsid w:val="008231A9"/>
    <w:rsid w:val="008236F8"/>
    <w:rsid w:val="0082372E"/>
    <w:rsid w:val="00823753"/>
    <w:rsid w:val="008239AF"/>
    <w:rsid w:val="00823BB1"/>
    <w:rsid w:val="00823E6C"/>
    <w:rsid w:val="00823ED8"/>
    <w:rsid w:val="0082492C"/>
    <w:rsid w:val="00824F03"/>
    <w:rsid w:val="00825040"/>
    <w:rsid w:val="008258A4"/>
    <w:rsid w:val="00825B7A"/>
    <w:rsid w:val="008267FB"/>
    <w:rsid w:val="00826FCF"/>
    <w:rsid w:val="00827204"/>
    <w:rsid w:val="00827309"/>
    <w:rsid w:val="0082746E"/>
    <w:rsid w:val="00827C69"/>
    <w:rsid w:val="00830784"/>
    <w:rsid w:val="00830D6E"/>
    <w:rsid w:val="00830D79"/>
    <w:rsid w:val="00830F15"/>
    <w:rsid w:val="00831198"/>
    <w:rsid w:val="00831490"/>
    <w:rsid w:val="008316DB"/>
    <w:rsid w:val="00831751"/>
    <w:rsid w:val="00831C50"/>
    <w:rsid w:val="0083211C"/>
    <w:rsid w:val="0083249E"/>
    <w:rsid w:val="00832639"/>
    <w:rsid w:val="00833B66"/>
    <w:rsid w:val="0083426E"/>
    <w:rsid w:val="00834881"/>
    <w:rsid w:val="00835274"/>
    <w:rsid w:val="008352FF"/>
    <w:rsid w:val="00835A80"/>
    <w:rsid w:val="00836204"/>
    <w:rsid w:val="0083634B"/>
    <w:rsid w:val="00836664"/>
    <w:rsid w:val="008369A0"/>
    <w:rsid w:val="00836EF9"/>
    <w:rsid w:val="00837902"/>
    <w:rsid w:val="00837F08"/>
    <w:rsid w:val="00840997"/>
    <w:rsid w:val="008409DE"/>
    <w:rsid w:val="008417B9"/>
    <w:rsid w:val="00841824"/>
    <w:rsid w:val="00841D89"/>
    <w:rsid w:val="0084213F"/>
    <w:rsid w:val="00842A67"/>
    <w:rsid w:val="00842B3D"/>
    <w:rsid w:val="00842C1A"/>
    <w:rsid w:val="00842C9A"/>
    <w:rsid w:val="0084300E"/>
    <w:rsid w:val="00843071"/>
    <w:rsid w:val="008431C0"/>
    <w:rsid w:val="00843CF5"/>
    <w:rsid w:val="00844378"/>
    <w:rsid w:val="00844486"/>
    <w:rsid w:val="008444C9"/>
    <w:rsid w:val="00844790"/>
    <w:rsid w:val="00844894"/>
    <w:rsid w:val="0084494C"/>
    <w:rsid w:val="00844C3A"/>
    <w:rsid w:val="00844E44"/>
    <w:rsid w:val="008455E1"/>
    <w:rsid w:val="00845A46"/>
    <w:rsid w:val="008463F2"/>
    <w:rsid w:val="0084645C"/>
    <w:rsid w:val="00846491"/>
    <w:rsid w:val="00846CA6"/>
    <w:rsid w:val="00847DEF"/>
    <w:rsid w:val="0085001E"/>
    <w:rsid w:val="0085056B"/>
    <w:rsid w:val="00852100"/>
    <w:rsid w:val="00852193"/>
    <w:rsid w:val="00852271"/>
    <w:rsid w:val="008529DD"/>
    <w:rsid w:val="00852B75"/>
    <w:rsid w:val="00852C92"/>
    <w:rsid w:val="00852D0B"/>
    <w:rsid w:val="00852FBD"/>
    <w:rsid w:val="0085414F"/>
    <w:rsid w:val="008541AC"/>
    <w:rsid w:val="00854940"/>
    <w:rsid w:val="0085534E"/>
    <w:rsid w:val="008553AC"/>
    <w:rsid w:val="0085595A"/>
    <w:rsid w:val="00856939"/>
    <w:rsid w:val="008570F5"/>
    <w:rsid w:val="0085734D"/>
    <w:rsid w:val="00857F08"/>
    <w:rsid w:val="008604D5"/>
    <w:rsid w:val="00860672"/>
    <w:rsid w:val="0086076D"/>
    <w:rsid w:val="00860E8D"/>
    <w:rsid w:val="0086101E"/>
    <w:rsid w:val="00861063"/>
    <w:rsid w:val="00861D60"/>
    <w:rsid w:val="0086218C"/>
    <w:rsid w:val="008625E4"/>
    <w:rsid w:val="00862749"/>
    <w:rsid w:val="0086303F"/>
    <w:rsid w:val="0086371E"/>
    <w:rsid w:val="008644C7"/>
    <w:rsid w:val="008650BB"/>
    <w:rsid w:val="00865485"/>
    <w:rsid w:val="0086568A"/>
    <w:rsid w:val="008656E1"/>
    <w:rsid w:val="00865727"/>
    <w:rsid w:val="00865D81"/>
    <w:rsid w:val="00865F96"/>
    <w:rsid w:val="00866681"/>
    <w:rsid w:val="00866A90"/>
    <w:rsid w:val="0086764F"/>
    <w:rsid w:val="00867B01"/>
    <w:rsid w:val="00867EDA"/>
    <w:rsid w:val="0087006A"/>
    <w:rsid w:val="008702B4"/>
    <w:rsid w:val="00870384"/>
    <w:rsid w:val="00870C7A"/>
    <w:rsid w:val="008710AF"/>
    <w:rsid w:val="00871F0D"/>
    <w:rsid w:val="00872776"/>
    <w:rsid w:val="00872835"/>
    <w:rsid w:val="00872A23"/>
    <w:rsid w:val="0087351F"/>
    <w:rsid w:val="00873F0F"/>
    <w:rsid w:val="00874354"/>
    <w:rsid w:val="008744C1"/>
    <w:rsid w:val="008747E3"/>
    <w:rsid w:val="00874B01"/>
    <w:rsid w:val="00875086"/>
    <w:rsid w:val="0087626C"/>
    <w:rsid w:val="00876288"/>
    <w:rsid w:val="00876382"/>
    <w:rsid w:val="00877F05"/>
    <w:rsid w:val="00880048"/>
    <w:rsid w:val="00880D03"/>
    <w:rsid w:val="00881014"/>
    <w:rsid w:val="0088160C"/>
    <w:rsid w:val="00881FF9"/>
    <w:rsid w:val="008824F4"/>
    <w:rsid w:val="008836FD"/>
    <w:rsid w:val="0088443E"/>
    <w:rsid w:val="0088449D"/>
    <w:rsid w:val="00884AC1"/>
    <w:rsid w:val="00884EC1"/>
    <w:rsid w:val="008850BA"/>
    <w:rsid w:val="008851C0"/>
    <w:rsid w:val="008852F3"/>
    <w:rsid w:val="00887A2A"/>
    <w:rsid w:val="00887B68"/>
    <w:rsid w:val="0089034A"/>
    <w:rsid w:val="008908E4"/>
    <w:rsid w:val="00890E52"/>
    <w:rsid w:val="00891567"/>
    <w:rsid w:val="00892F5F"/>
    <w:rsid w:val="00892FE9"/>
    <w:rsid w:val="008931E5"/>
    <w:rsid w:val="008935C4"/>
    <w:rsid w:val="0089374E"/>
    <w:rsid w:val="00893912"/>
    <w:rsid w:val="008939E0"/>
    <w:rsid w:val="00893BCB"/>
    <w:rsid w:val="00893F03"/>
    <w:rsid w:val="0089401A"/>
    <w:rsid w:val="00894244"/>
    <w:rsid w:val="00894483"/>
    <w:rsid w:val="0089476A"/>
    <w:rsid w:val="00894A13"/>
    <w:rsid w:val="008955B4"/>
    <w:rsid w:val="00895E6B"/>
    <w:rsid w:val="008960FB"/>
    <w:rsid w:val="00896411"/>
    <w:rsid w:val="008964BB"/>
    <w:rsid w:val="00896E7E"/>
    <w:rsid w:val="00897636"/>
    <w:rsid w:val="0089782A"/>
    <w:rsid w:val="0089798D"/>
    <w:rsid w:val="00897BB9"/>
    <w:rsid w:val="008A001C"/>
    <w:rsid w:val="008A0B77"/>
    <w:rsid w:val="008A0BC1"/>
    <w:rsid w:val="008A1182"/>
    <w:rsid w:val="008A15D1"/>
    <w:rsid w:val="008A1A0C"/>
    <w:rsid w:val="008A1E70"/>
    <w:rsid w:val="008A1FAE"/>
    <w:rsid w:val="008A2570"/>
    <w:rsid w:val="008A3260"/>
    <w:rsid w:val="008A334D"/>
    <w:rsid w:val="008A355A"/>
    <w:rsid w:val="008A3586"/>
    <w:rsid w:val="008A3938"/>
    <w:rsid w:val="008A3D37"/>
    <w:rsid w:val="008A53FB"/>
    <w:rsid w:val="008A5480"/>
    <w:rsid w:val="008A6875"/>
    <w:rsid w:val="008A6C58"/>
    <w:rsid w:val="008A7C2E"/>
    <w:rsid w:val="008A7DAD"/>
    <w:rsid w:val="008A7EF0"/>
    <w:rsid w:val="008B006B"/>
    <w:rsid w:val="008B020B"/>
    <w:rsid w:val="008B051F"/>
    <w:rsid w:val="008B0995"/>
    <w:rsid w:val="008B0BD3"/>
    <w:rsid w:val="008B0F23"/>
    <w:rsid w:val="008B149F"/>
    <w:rsid w:val="008B171C"/>
    <w:rsid w:val="008B1836"/>
    <w:rsid w:val="008B2518"/>
    <w:rsid w:val="008B255D"/>
    <w:rsid w:val="008B26A8"/>
    <w:rsid w:val="008B2842"/>
    <w:rsid w:val="008B3605"/>
    <w:rsid w:val="008B3EB4"/>
    <w:rsid w:val="008B449C"/>
    <w:rsid w:val="008B44CB"/>
    <w:rsid w:val="008B47F0"/>
    <w:rsid w:val="008B4D71"/>
    <w:rsid w:val="008B4FB4"/>
    <w:rsid w:val="008B56D7"/>
    <w:rsid w:val="008B5AC7"/>
    <w:rsid w:val="008B5AE9"/>
    <w:rsid w:val="008B5D01"/>
    <w:rsid w:val="008B5EA9"/>
    <w:rsid w:val="008B5FAC"/>
    <w:rsid w:val="008B647B"/>
    <w:rsid w:val="008B656A"/>
    <w:rsid w:val="008B667D"/>
    <w:rsid w:val="008B73AC"/>
    <w:rsid w:val="008B7742"/>
    <w:rsid w:val="008B7B23"/>
    <w:rsid w:val="008C09C4"/>
    <w:rsid w:val="008C0A36"/>
    <w:rsid w:val="008C197C"/>
    <w:rsid w:val="008C267D"/>
    <w:rsid w:val="008C307F"/>
    <w:rsid w:val="008C315D"/>
    <w:rsid w:val="008C3519"/>
    <w:rsid w:val="008C3D01"/>
    <w:rsid w:val="008C4309"/>
    <w:rsid w:val="008C5DA2"/>
    <w:rsid w:val="008C63C7"/>
    <w:rsid w:val="008C7154"/>
    <w:rsid w:val="008C7470"/>
    <w:rsid w:val="008C77CC"/>
    <w:rsid w:val="008D0308"/>
    <w:rsid w:val="008D1086"/>
    <w:rsid w:val="008D147B"/>
    <w:rsid w:val="008D1969"/>
    <w:rsid w:val="008D1D31"/>
    <w:rsid w:val="008D2EFA"/>
    <w:rsid w:val="008D3326"/>
    <w:rsid w:val="008D369F"/>
    <w:rsid w:val="008D3B01"/>
    <w:rsid w:val="008D3DB5"/>
    <w:rsid w:val="008D3E33"/>
    <w:rsid w:val="008D3F6F"/>
    <w:rsid w:val="008D3F84"/>
    <w:rsid w:val="008D45E7"/>
    <w:rsid w:val="008D4DFA"/>
    <w:rsid w:val="008D4EA9"/>
    <w:rsid w:val="008D5B6A"/>
    <w:rsid w:val="008D6913"/>
    <w:rsid w:val="008D6D20"/>
    <w:rsid w:val="008D752B"/>
    <w:rsid w:val="008E0647"/>
    <w:rsid w:val="008E1194"/>
    <w:rsid w:val="008E1430"/>
    <w:rsid w:val="008E147D"/>
    <w:rsid w:val="008E1A46"/>
    <w:rsid w:val="008E1B33"/>
    <w:rsid w:val="008E1D52"/>
    <w:rsid w:val="008E2809"/>
    <w:rsid w:val="008E2A61"/>
    <w:rsid w:val="008E2CBF"/>
    <w:rsid w:val="008E2FA9"/>
    <w:rsid w:val="008E3598"/>
    <w:rsid w:val="008E37DB"/>
    <w:rsid w:val="008E3C86"/>
    <w:rsid w:val="008E3FBF"/>
    <w:rsid w:val="008E43BA"/>
    <w:rsid w:val="008E46CA"/>
    <w:rsid w:val="008E4BDE"/>
    <w:rsid w:val="008E4EA4"/>
    <w:rsid w:val="008E560E"/>
    <w:rsid w:val="008E5A79"/>
    <w:rsid w:val="008E5B11"/>
    <w:rsid w:val="008E5E59"/>
    <w:rsid w:val="008E6677"/>
    <w:rsid w:val="008E695B"/>
    <w:rsid w:val="008E6EBA"/>
    <w:rsid w:val="008E6F98"/>
    <w:rsid w:val="008E71E2"/>
    <w:rsid w:val="008E723D"/>
    <w:rsid w:val="008E7DE7"/>
    <w:rsid w:val="008F0598"/>
    <w:rsid w:val="008F05FF"/>
    <w:rsid w:val="008F0771"/>
    <w:rsid w:val="008F144C"/>
    <w:rsid w:val="008F1D7E"/>
    <w:rsid w:val="008F22BD"/>
    <w:rsid w:val="008F23FD"/>
    <w:rsid w:val="008F27D0"/>
    <w:rsid w:val="008F2DE3"/>
    <w:rsid w:val="008F2E09"/>
    <w:rsid w:val="008F2F49"/>
    <w:rsid w:val="008F321F"/>
    <w:rsid w:val="008F3825"/>
    <w:rsid w:val="008F40D6"/>
    <w:rsid w:val="008F41B1"/>
    <w:rsid w:val="008F45D7"/>
    <w:rsid w:val="008F54EE"/>
    <w:rsid w:val="008F5572"/>
    <w:rsid w:val="008F5616"/>
    <w:rsid w:val="008F5CA7"/>
    <w:rsid w:val="008F5D48"/>
    <w:rsid w:val="008F5FE6"/>
    <w:rsid w:val="008F61F0"/>
    <w:rsid w:val="008F625F"/>
    <w:rsid w:val="008F6CF0"/>
    <w:rsid w:val="008F6F1C"/>
    <w:rsid w:val="008F7153"/>
    <w:rsid w:val="008F7CE0"/>
    <w:rsid w:val="008F7E47"/>
    <w:rsid w:val="0090068B"/>
    <w:rsid w:val="00900A6C"/>
    <w:rsid w:val="00900C5B"/>
    <w:rsid w:val="00901054"/>
    <w:rsid w:val="0090184F"/>
    <w:rsid w:val="00901F43"/>
    <w:rsid w:val="0090250A"/>
    <w:rsid w:val="00902DD2"/>
    <w:rsid w:val="0090373A"/>
    <w:rsid w:val="00903ADD"/>
    <w:rsid w:val="00903F42"/>
    <w:rsid w:val="00905573"/>
    <w:rsid w:val="00905B81"/>
    <w:rsid w:val="0090655B"/>
    <w:rsid w:val="009066C6"/>
    <w:rsid w:val="00906988"/>
    <w:rsid w:val="00906E1F"/>
    <w:rsid w:val="00907066"/>
    <w:rsid w:val="009102C7"/>
    <w:rsid w:val="00910AC2"/>
    <w:rsid w:val="00910AC4"/>
    <w:rsid w:val="009112A4"/>
    <w:rsid w:val="00911750"/>
    <w:rsid w:val="0091180B"/>
    <w:rsid w:val="00911841"/>
    <w:rsid w:val="009119D3"/>
    <w:rsid w:val="00911E7A"/>
    <w:rsid w:val="009127F9"/>
    <w:rsid w:val="00912AEC"/>
    <w:rsid w:val="00912F47"/>
    <w:rsid w:val="009137BF"/>
    <w:rsid w:val="009139C8"/>
    <w:rsid w:val="0091422D"/>
    <w:rsid w:val="00914CB1"/>
    <w:rsid w:val="00915994"/>
    <w:rsid w:val="00915E64"/>
    <w:rsid w:val="00916206"/>
    <w:rsid w:val="00916555"/>
    <w:rsid w:val="00916C84"/>
    <w:rsid w:val="00916CB3"/>
    <w:rsid w:val="00916D1E"/>
    <w:rsid w:val="00917D8B"/>
    <w:rsid w:val="00917DA5"/>
    <w:rsid w:val="00920577"/>
    <w:rsid w:val="009207DE"/>
    <w:rsid w:val="009207E4"/>
    <w:rsid w:val="00920822"/>
    <w:rsid w:val="00921431"/>
    <w:rsid w:val="009214DE"/>
    <w:rsid w:val="00921928"/>
    <w:rsid w:val="00921A6F"/>
    <w:rsid w:val="00921C3B"/>
    <w:rsid w:val="0092257D"/>
    <w:rsid w:val="009226F5"/>
    <w:rsid w:val="00922E74"/>
    <w:rsid w:val="00923103"/>
    <w:rsid w:val="0092396C"/>
    <w:rsid w:val="00924733"/>
    <w:rsid w:val="00924C39"/>
    <w:rsid w:val="0092518B"/>
    <w:rsid w:val="0092621D"/>
    <w:rsid w:val="00927183"/>
    <w:rsid w:val="00927276"/>
    <w:rsid w:val="0092760B"/>
    <w:rsid w:val="0093006B"/>
    <w:rsid w:val="00930B0B"/>
    <w:rsid w:val="00930FD3"/>
    <w:rsid w:val="00931222"/>
    <w:rsid w:val="00931563"/>
    <w:rsid w:val="009315DE"/>
    <w:rsid w:val="00931AC0"/>
    <w:rsid w:val="009333AA"/>
    <w:rsid w:val="0093364A"/>
    <w:rsid w:val="0093389A"/>
    <w:rsid w:val="00934411"/>
    <w:rsid w:val="00934725"/>
    <w:rsid w:val="009349FA"/>
    <w:rsid w:val="00934CC3"/>
    <w:rsid w:val="00934D75"/>
    <w:rsid w:val="00935054"/>
    <w:rsid w:val="0093537E"/>
    <w:rsid w:val="009353E4"/>
    <w:rsid w:val="00935ABA"/>
    <w:rsid w:val="00935ACB"/>
    <w:rsid w:val="00935BE6"/>
    <w:rsid w:val="009360FC"/>
    <w:rsid w:val="009367B9"/>
    <w:rsid w:val="009369F3"/>
    <w:rsid w:val="00936B98"/>
    <w:rsid w:val="0093777D"/>
    <w:rsid w:val="009379F3"/>
    <w:rsid w:val="00940A6A"/>
    <w:rsid w:val="00940B11"/>
    <w:rsid w:val="00940CE6"/>
    <w:rsid w:val="00940FA6"/>
    <w:rsid w:val="00942332"/>
    <w:rsid w:val="009438ED"/>
    <w:rsid w:val="00943CDC"/>
    <w:rsid w:val="00943DB0"/>
    <w:rsid w:val="0094431E"/>
    <w:rsid w:val="00944575"/>
    <w:rsid w:val="00944E25"/>
    <w:rsid w:val="00945836"/>
    <w:rsid w:val="00945865"/>
    <w:rsid w:val="009458AE"/>
    <w:rsid w:val="00945CAE"/>
    <w:rsid w:val="009461A6"/>
    <w:rsid w:val="00946CE7"/>
    <w:rsid w:val="0094720B"/>
    <w:rsid w:val="009475D6"/>
    <w:rsid w:val="00947B28"/>
    <w:rsid w:val="00950061"/>
    <w:rsid w:val="00950594"/>
    <w:rsid w:val="00950950"/>
    <w:rsid w:val="0095152D"/>
    <w:rsid w:val="00951EE2"/>
    <w:rsid w:val="00951FF9"/>
    <w:rsid w:val="00952CE4"/>
    <w:rsid w:val="00952D93"/>
    <w:rsid w:val="00953109"/>
    <w:rsid w:val="00953E52"/>
    <w:rsid w:val="0095451A"/>
    <w:rsid w:val="00954E18"/>
    <w:rsid w:val="00954F1B"/>
    <w:rsid w:val="00955841"/>
    <w:rsid w:val="00955BC0"/>
    <w:rsid w:val="00955CC2"/>
    <w:rsid w:val="0095666C"/>
    <w:rsid w:val="00957387"/>
    <w:rsid w:val="0095779C"/>
    <w:rsid w:val="00957BCF"/>
    <w:rsid w:val="0096026A"/>
    <w:rsid w:val="009606F7"/>
    <w:rsid w:val="00960DC1"/>
    <w:rsid w:val="00960FFF"/>
    <w:rsid w:val="00961AEF"/>
    <w:rsid w:val="00961D8C"/>
    <w:rsid w:val="00962525"/>
    <w:rsid w:val="0096295A"/>
    <w:rsid w:val="00962C9B"/>
    <w:rsid w:val="009631F1"/>
    <w:rsid w:val="0096346B"/>
    <w:rsid w:val="009636A4"/>
    <w:rsid w:val="009636B9"/>
    <w:rsid w:val="00963C53"/>
    <w:rsid w:val="00964173"/>
    <w:rsid w:val="0096422B"/>
    <w:rsid w:val="00964327"/>
    <w:rsid w:val="009649E9"/>
    <w:rsid w:val="00964BD4"/>
    <w:rsid w:val="00964D03"/>
    <w:rsid w:val="009650D8"/>
    <w:rsid w:val="00965409"/>
    <w:rsid w:val="009654E8"/>
    <w:rsid w:val="009656DB"/>
    <w:rsid w:val="00965947"/>
    <w:rsid w:val="009662EE"/>
    <w:rsid w:val="009664D4"/>
    <w:rsid w:val="009676E5"/>
    <w:rsid w:val="009677B0"/>
    <w:rsid w:val="00967EA4"/>
    <w:rsid w:val="00970320"/>
    <w:rsid w:val="00970369"/>
    <w:rsid w:val="0097041A"/>
    <w:rsid w:val="00971922"/>
    <w:rsid w:val="009727B6"/>
    <w:rsid w:val="00972B0C"/>
    <w:rsid w:val="00972DCD"/>
    <w:rsid w:val="009748FB"/>
    <w:rsid w:val="00974970"/>
    <w:rsid w:val="00974B91"/>
    <w:rsid w:val="00974C6B"/>
    <w:rsid w:val="00975E68"/>
    <w:rsid w:val="00976134"/>
    <w:rsid w:val="0097633B"/>
    <w:rsid w:val="00976976"/>
    <w:rsid w:val="00976AA8"/>
    <w:rsid w:val="00976D93"/>
    <w:rsid w:val="00977BD2"/>
    <w:rsid w:val="009802C7"/>
    <w:rsid w:val="00980518"/>
    <w:rsid w:val="00981477"/>
    <w:rsid w:val="00981E7A"/>
    <w:rsid w:val="00982096"/>
    <w:rsid w:val="0098263B"/>
    <w:rsid w:val="00982BC6"/>
    <w:rsid w:val="00982BFC"/>
    <w:rsid w:val="00982D6D"/>
    <w:rsid w:val="00982DF2"/>
    <w:rsid w:val="00983441"/>
    <w:rsid w:val="0098380E"/>
    <w:rsid w:val="00983B7B"/>
    <w:rsid w:val="00983CC6"/>
    <w:rsid w:val="0098400C"/>
    <w:rsid w:val="0098413B"/>
    <w:rsid w:val="00984541"/>
    <w:rsid w:val="00985FB9"/>
    <w:rsid w:val="0098631D"/>
    <w:rsid w:val="00986C96"/>
    <w:rsid w:val="00986CBA"/>
    <w:rsid w:val="00986E86"/>
    <w:rsid w:val="00986FAA"/>
    <w:rsid w:val="00987250"/>
    <w:rsid w:val="009872D6"/>
    <w:rsid w:val="0098760C"/>
    <w:rsid w:val="00987F03"/>
    <w:rsid w:val="0099012C"/>
    <w:rsid w:val="009902CE"/>
    <w:rsid w:val="00990C0F"/>
    <w:rsid w:val="00990C6B"/>
    <w:rsid w:val="00990F55"/>
    <w:rsid w:val="00991490"/>
    <w:rsid w:val="0099156B"/>
    <w:rsid w:val="009928B9"/>
    <w:rsid w:val="00992A37"/>
    <w:rsid w:val="00992B80"/>
    <w:rsid w:val="0099300C"/>
    <w:rsid w:val="00993085"/>
    <w:rsid w:val="0099391D"/>
    <w:rsid w:val="009939FD"/>
    <w:rsid w:val="009942C1"/>
    <w:rsid w:val="00994C08"/>
    <w:rsid w:val="00994E33"/>
    <w:rsid w:val="0099578C"/>
    <w:rsid w:val="0099598A"/>
    <w:rsid w:val="009962FE"/>
    <w:rsid w:val="00996D67"/>
    <w:rsid w:val="009972DB"/>
    <w:rsid w:val="00997351"/>
    <w:rsid w:val="00997AED"/>
    <w:rsid w:val="00997B58"/>
    <w:rsid w:val="00997FFC"/>
    <w:rsid w:val="009A0372"/>
    <w:rsid w:val="009A0844"/>
    <w:rsid w:val="009A143D"/>
    <w:rsid w:val="009A17B4"/>
    <w:rsid w:val="009A2040"/>
    <w:rsid w:val="009A20BE"/>
    <w:rsid w:val="009A22D7"/>
    <w:rsid w:val="009A31C9"/>
    <w:rsid w:val="009A34A1"/>
    <w:rsid w:val="009A3A74"/>
    <w:rsid w:val="009A3E21"/>
    <w:rsid w:val="009A427D"/>
    <w:rsid w:val="009A497C"/>
    <w:rsid w:val="009A4A45"/>
    <w:rsid w:val="009A55C4"/>
    <w:rsid w:val="009A55C9"/>
    <w:rsid w:val="009A55E8"/>
    <w:rsid w:val="009A5F8F"/>
    <w:rsid w:val="009A6410"/>
    <w:rsid w:val="009A66EB"/>
    <w:rsid w:val="009A676B"/>
    <w:rsid w:val="009A6D63"/>
    <w:rsid w:val="009A73F6"/>
    <w:rsid w:val="009A7800"/>
    <w:rsid w:val="009A78AC"/>
    <w:rsid w:val="009A7956"/>
    <w:rsid w:val="009A7D5B"/>
    <w:rsid w:val="009A7FED"/>
    <w:rsid w:val="009B008C"/>
    <w:rsid w:val="009B04F7"/>
    <w:rsid w:val="009B0E16"/>
    <w:rsid w:val="009B1492"/>
    <w:rsid w:val="009B1AF7"/>
    <w:rsid w:val="009B1BB4"/>
    <w:rsid w:val="009B210A"/>
    <w:rsid w:val="009B2256"/>
    <w:rsid w:val="009B2401"/>
    <w:rsid w:val="009B275C"/>
    <w:rsid w:val="009B29F8"/>
    <w:rsid w:val="009B32D0"/>
    <w:rsid w:val="009B36D4"/>
    <w:rsid w:val="009B3861"/>
    <w:rsid w:val="009B38C9"/>
    <w:rsid w:val="009B3A6C"/>
    <w:rsid w:val="009B3AA6"/>
    <w:rsid w:val="009B3F63"/>
    <w:rsid w:val="009B401F"/>
    <w:rsid w:val="009B60EC"/>
    <w:rsid w:val="009B65F7"/>
    <w:rsid w:val="009B6617"/>
    <w:rsid w:val="009B6DCC"/>
    <w:rsid w:val="009B7369"/>
    <w:rsid w:val="009B783B"/>
    <w:rsid w:val="009C0CCF"/>
    <w:rsid w:val="009C0F68"/>
    <w:rsid w:val="009C1672"/>
    <w:rsid w:val="009C1BAF"/>
    <w:rsid w:val="009C1BF0"/>
    <w:rsid w:val="009C24D5"/>
    <w:rsid w:val="009C27EE"/>
    <w:rsid w:val="009C3394"/>
    <w:rsid w:val="009C49DF"/>
    <w:rsid w:val="009C4CE1"/>
    <w:rsid w:val="009C4D62"/>
    <w:rsid w:val="009C5774"/>
    <w:rsid w:val="009C6B78"/>
    <w:rsid w:val="009C6BC0"/>
    <w:rsid w:val="009C79EF"/>
    <w:rsid w:val="009C7A76"/>
    <w:rsid w:val="009C7AB6"/>
    <w:rsid w:val="009C7F85"/>
    <w:rsid w:val="009D06F4"/>
    <w:rsid w:val="009D0A66"/>
    <w:rsid w:val="009D0B82"/>
    <w:rsid w:val="009D2DCA"/>
    <w:rsid w:val="009D3B88"/>
    <w:rsid w:val="009D491E"/>
    <w:rsid w:val="009D4FF9"/>
    <w:rsid w:val="009D5078"/>
    <w:rsid w:val="009D533A"/>
    <w:rsid w:val="009D57C1"/>
    <w:rsid w:val="009D5DFC"/>
    <w:rsid w:val="009D60D9"/>
    <w:rsid w:val="009D6A3E"/>
    <w:rsid w:val="009D723B"/>
    <w:rsid w:val="009D75DC"/>
    <w:rsid w:val="009D7944"/>
    <w:rsid w:val="009E00DB"/>
    <w:rsid w:val="009E0585"/>
    <w:rsid w:val="009E0DF7"/>
    <w:rsid w:val="009E0E24"/>
    <w:rsid w:val="009E1878"/>
    <w:rsid w:val="009E202F"/>
    <w:rsid w:val="009E2453"/>
    <w:rsid w:val="009E2588"/>
    <w:rsid w:val="009E29F6"/>
    <w:rsid w:val="009E2A23"/>
    <w:rsid w:val="009E319F"/>
    <w:rsid w:val="009E3927"/>
    <w:rsid w:val="009E3C4A"/>
    <w:rsid w:val="009E413F"/>
    <w:rsid w:val="009E417A"/>
    <w:rsid w:val="009E4241"/>
    <w:rsid w:val="009E4C8B"/>
    <w:rsid w:val="009E55ED"/>
    <w:rsid w:val="009E5BE4"/>
    <w:rsid w:val="009E68B7"/>
    <w:rsid w:val="009E6983"/>
    <w:rsid w:val="009E7B39"/>
    <w:rsid w:val="009E7C60"/>
    <w:rsid w:val="009E7DF7"/>
    <w:rsid w:val="009F0644"/>
    <w:rsid w:val="009F0ED7"/>
    <w:rsid w:val="009F1438"/>
    <w:rsid w:val="009F1916"/>
    <w:rsid w:val="009F1BF1"/>
    <w:rsid w:val="009F1F9B"/>
    <w:rsid w:val="009F2250"/>
    <w:rsid w:val="009F238B"/>
    <w:rsid w:val="009F2670"/>
    <w:rsid w:val="009F3047"/>
    <w:rsid w:val="009F368B"/>
    <w:rsid w:val="009F37D9"/>
    <w:rsid w:val="009F3F6F"/>
    <w:rsid w:val="009F4647"/>
    <w:rsid w:val="009F4840"/>
    <w:rsid w:val="009F5C36"/>
    <w:rsid w:val="009F6FAF"/>
    <w:rsid w:val="009F7385"/>
    <w:rsid w:val="009F7D9B"/>
    <w:rsid w:val="009F7E9D"/>
    <w:rsid w:val="00A001A2"/>
    <w:rsid w:val="00A01A5A"/>
    <w:rsid w:val="00A020BA"/>
    <w:rsid w:val="00A024DE"/>
    <w:rsid w:val="00A02558"/>
    <w:rsid w:val="00A025E5"/>
    <w:rsid w:val="00A02A48"/>
    <w:rsid w:val="00A02AD3"/>
    <w:rsid w:val="00A02CB0"/>
    <w:rsid w:val="00A039B4"/>
    <w:rsid w:val="00A03A8D"/>
    <w:rsid w:val="00A05299"/>
    <w:rsid w:val="00A05393"/>
    <w:rsid w:val="00A058EB"/>
    <w:rsid w:val="00A0609C"/>
    <w:rsid w:val="00A06298"/>
    <w:rsid w:val="00A0660A"/>
    <w:rsid w:val="00A0743B"/>
    <w:rsid w:val="00A07677"/>
    <w:rsid w:val="00A07D8A"/>
    <w:rsid w:val="00A07E51"/>
    <w:rsid w:val="00A106BD"/>
    <w:rsid w:val="00A10931"/>
    <w:rsid w:val="00A119FE"/>
    <w:rsid w:val="00A12051"/>
    <w:rsid w:val="00A126ED"/>
    <w:rsid w:val="00A13381"/>
    <w:rsid w:val="00A141C7"/>
    <w:rsid w:val="00A14910"/>
    <w:rsid w:val="00A15042"/>
    <w:rsid w:val="00A15552"/>
    <w:rsid w:val="00A15C78"/>
    <w:rsid w:val="00A15D09"/>
    <w:rsid w:val="00A15D47"/>
    <w:rsid w:val="00A160B3"/>
    <w:rsid w:val="00A16648"/>
    <w:rsid w:val="00A17267"/>
    <w:rsid w:val="00A179BF"/>
    <w:rsid w:val="00A17A30"/>
    <w:rsid w:val="00A17ACC"/>
    <w:rsid w:val="00A20AA1"/>
    <w:rsid w:val="00A20E8C"/>
    <w:rsid w:val="00A218F4"/>
    <w:rsid w:val="00A22484"/>
    <w:rsid w:val="00A22C6F"/>
    <w:rsid w:val="00A234B9"/>
    <w:rsid w:val="00A23936"/>
    <w:rsid w:val="00A24316"/>
    <w:rsid w:val="00A245D0"/>
    <w:rsid w:val="00A2465D"/>
    <w:rsid w:val="00A24C25"/>
    <w:rsid w:val="00A2516C"/>
    <w:rsid w:val="00A25B6E"/>
    <w:rsid w:val="00A261DA"/>
    <w:rsid w:val="00A26215"/>
    <w:rsid w:val="00A2631B"/>
    <w:rsid w:val="00A264FB"/>
    <w:rsid w:val="00A26A7E"/>
    <w:rsid w:val="00A26BC4"/>
    <w:rsid w:val="00A271C0"/>
    <w:rsid w:val="00A27550"/>
    <w:rsid w:val="00A27A50"/>
    <w:rsid w:val="00A27CD4"/>
    <w:rsid w:val="00A27E57"/>
    <w:rsid w:val="00A27FC8"/>
    <w:rsid w:val="00A30722"/>
    <w:rsid w:val="00A312C1"/>
    <w:rsid w:val="00A312F9"/>
    <w:rsid w:val="00A31492"/>
    <w:rsid w:val="00A32466"/>
    <w:rsid w:val="00A33C85"/>
    <w:rsid w:val="00A33D14"/>
    <w:rsid w:val="00A344FD"/>
    <w:rsid w:val="00A348FA"/>
    <w:rsid w:val="00A355B4"/>
    <w:rsid w:val="00A35B1C"/>
    <w:rsid w:val="00A35D02"/>
    <w:rsid w:val="00A360A4"/>
    <w:rsid w:val="00A3620E"/>
    <w:rsid w:val="00A36329"/>
    <w:rsid w:val="00A367AE"/>
    <w:rsid w:val="00A37280"/>
    <w:rsid w:val="00A37759"/>
    <w:rsid w:val="00A37FED"/>
    <w:rsid w:val="00A37FFC"/>
    <w:rsid w:val="00A4012C"/>
    <w:rsid w:val="00A4030B"/>
    <w:rsid w:val="00A404C8"/>
    <w:rsid w:val="00A40FF0"/>
    <w:rsid w:val="00A414E5"/>
    <w:rsid w:val="00A41DFA"/>
    <w:rsid w:val="00A421BB"/>
    <w:rsid w:val="00A42A3D"/>
    <w:rsid w:val="00A42EED"/>
    <w:rsid w:val="00A43246"/>
    <w:rsid w:val="00A433AC"/>
    <w:rsid w:val="00A43658"/>
    <w:rsid w:val="00A4366C"/>
    <w:rsid w:val="00A4395B"/>
    <w:rsid w:val="00A441BF"/>
    <w:rsid w:val="00A44BA3"/>
    <w:rsid w:val="00A44C56"/>
    <w:rsid w:val="00A44CEB"/>
    <w:rsid w:val="00A450FB"/>
    <w:rsid w:val="00A4554D"/>
    <w:rsid w:val="00A45D63"/>
    <w:rsid w:val="00A46408"/>
    <w:rsid w:val="00A46EE2"/>
    <w:rsid w:val="00A46EEC"/>
    <w:rsid w:val="00A47406"/>
    <w:rsid w:val="00A47FD2"/>
    <w:rsid w:val="00A501D5"/>
    <w:rsid w:val="00A50E9B"/>
    <w:rsid w:val="00A510A2"/>
    <w:rsid w:val="00A51824"/>
    <w:rsid w:val="00A520C7"/>
    <w:rsid w:val="00A52151"/>
    <w:rsid w:val="00A521D9"/>
    <w:rsid w:val="00A53A8B"/>
    <w:rsid w:val="00A53AF4"/>
    <w:rsid w:val="00A550FC"/>
    <w:rsid w:val="00A5603D"/>
    <w:rsid w:val="00A560B4"/>
    <w:rsid w:val="00A56528"/>
    <w:rsid w:val="00A565C2"/>
    <w:rsid w:val="00A56676"/>
    <w:rsid w:val="00A569D4"/>
    <w:rsid w:val="00A56AB6"/>
    <w:rsid w:val="00A56BF0"/>
    <w:rsid w:val="00A56ECE"/>
    <w:rsid w:val="00A56F7D"/>
    <w:rsid w:val="00A5717A"/>
    <w:rsid w:val="00A6010D"/>
    <w:rsid w:val="00A601E1"/>
    <w:rsid w:val="00A60770"/>
    <w:rsid w:val="00A60BD1"/>
    <w:rsid w:val="00A6111D"/>
    <w:rsid w:val="00A614D1"/>
    <w:rsid w:val="00A61662"/>
    <w:rsid w:val="00A6198B"/>
    <w:rsid w:val="00A61D19"/>
    <w:rsid w:val="00A62345"/>
    <w:rsid w:val="00A625DA"/>
    <w:rsid w:val="00A626C7"/>
    <w:rsid w:val="00A62DCF"/>
    <w:rsid w:val="00A633E5"/>
    <w:rsid w:val="00A63BCE"/>
    <w:rsid w:val="00A6419F"/>
    <w:rsid w:val="00A64AA9"/>
    <w:rsid w:val="00A64D7F"/>
    <w:rsid w:val="00A658BE"/>
    <w:rsid w:val="00A65A04"/>
    <w:rsid w:val="00A65C56"/>
    <w:rsid w:val="00A65D81"/>
    <w:rsid w:val="00A66228"/>
    <w:rsid w:val="00A66A87"/>
    <w:rsid w:val="00A66E70"/>
    <w:rsid w:val="00A67988"/>
    <w:rsid w:val="00A702A3"/>
    <w:rsid w:val="00A70E2F"/>
    <w:rsid w:val="00A718B7"/>
    <w:rsid w:val="00A71B0D"/>
    <w:rsid w:val="00A71B43"/>
    <w:rsid w:val="00A72AC0"/>
    <w:rsid w:val="00A73CEE"/>
    <w:rsid w:val="00A74F02"/>
    <w:rsid w:val="00A75D26"/>
    <w:rsid w:val="00A75E43"/>
    <w:rsid w:val="00A76490"/>
    <w:rsid w:val="00A766F1"/>
    <w:rsid w:val="00A76FC0"/>
    <w:rsid w:val="00A774D8"/>
    <w:rsid w:val="00A8020D"/>
    <w:rsid w:val="00A803A7"/>
    <w:rsid w:val="00A8048C"/>
    <w:rsid w:val="00A8078A"/>
    <w:rsid w:val="00A80BDE"/>
    <w:rsid w:val="00A80D8F"/>
    <w:rsid w:val="00A81716"/>
    <w:rsid w:val="00A81782"/>
    <w:rsid w:val="00A81BBE"/>
    <w:rsid w:val="00A824F2"/>
    <w:rsid w:val="00A82B47"/>
    <w:rsid w:val="00A842BD"/>
    <w:rsid w:val="00A842EC"/>
    <w:rsid w:val="00A84542"/>
    <w:rsid w:val="00A84F6D"/>
    <w:rsid w:val="00A8645B"/>
    <w:rsid w:val="00A8695D"/>
    <w:rsid w:val="00A86DF5"/>
    <w:rsid w:val="00A86E97"/>
    <w:rsid w:val="00A86F63"/>
    <w:rsid w:val="00A90577"/>
    <w:rsid w:val="00A905E6"/>
    <w:rsid w:val="00A92434"/>
    <w:rsid w:val="00A9273A"/>
    <w:rsid w:val="00A929D9"/>
    <w:rsid w:val="00A92A55"/>
    <w:rsid w:val="00A9312D"/>
    <w:rsid w:val="00A93174"/>
    <w:rsid w:val="00A9359F"/>
    <w:rsid w:val="00A935CF"/>
    <w:rsid w:val="00A94411"/>
    <w:rsid w:val="00A944A8"/>
    <w:rsid w:val="00A9453A"/>
    <w:rsid w:val="00A955CF"/>
    <w:rsid w:val="00A959A1"/>
    <w:rsid w:val="00A95A17"/>
    <w:rsid w:val="00A95B11"/>
    <w:rsid w:val="00A95BCA"/>
    <w:rsid w:val="00A95C1A"/>
    <w:rsid w:val="00A96C8E"/>
    <w:rsid w:val="00AA01C2"/>
    <w:rsid w:val="00AA0269"/>
    <w:rsid w:val="00AA060E"/>
    <w:rsid w:val="00AA0E94"/>
    <w:rsid w:val="00AA0F77"/>
    <w:rsid w:val="00AA1090"/>
    <w:rsid w:val="00AA1178"/>
    <w:rsid w:val="00AA145F"/>
    <w:rsid w:val="00AA185B"/>
    <w:rsid w:val="00AA1CE0"/>
    <w:rsid w:val="00AA2075"/>
    <w:rsid w:val="00AA27A5"/>
    <w:rsid w:val="00AA2A2A"/>
    <w:rsid w:val="00AA2ADE"/>
    <w:rsid w:val="00AA432A"/>
    <w:rsid w:val="00AA4518"/>
    <w:rsid w:val="00AA4FCB"/>
    <w:rsid w:val="00AA56B1"/>
    <w:rsid w:val="00AA5806"/>
    <w:rsid w:val="00AA6070"/>
    <w:rsid w:val="00AA6A73"/>
    <w:rsid w:val="00AA6B88"/>
    <w:rsid w:val="00AA6E2C"/>
    <w:rsid w:val="00AA7EB8"/>
    <w:rsid w:val="00AB0357"/>
    <w:rsid w:val="00AB03B3"/>
    <w:rsid w:val="00AB04B7"/>
    <w:rsid w:val="00AB07FC"/>
    <w:rsid w:val="00AB08EE"/>
    <w:rsid w:val="00AB0AD5"/>
    <w:rsid w:val="00AB11C1"/>
    <w:rsid w:val="00AB1A2E"/>
    <w:rsid w:val="00AB1B93"/>
    <w:rsid w:val="00AB29D3"/>
    <w:rsid w:val="00AB2AEC"/>
    <w:rsid w:val="00AB336B"/>
    <w:rsid w:val="00AB3484"/>
    <w:rsid w:val="00AB35CA"/>
    <w:rsid w:val="00AB3AD6"/>
    <w:rsid w:val="00AB45CE"/>
    <w:rsid w:val="00AB4A3F"/>
    <w:rsid w:val="00AB4D70"/>
    <w:rsid w:val="00AB4DC1"/>
    <w:rsid w:val="00AB4FCF"/>
    <w:rsid w:val="00AB51F3"/>
    <w:rsid w:val="00AB5451"/>
    <w:rsid w:val="00AB579B"/>
    <w:rsid w:val="00AB5E48"/>
    <w:rsid w:val="00AB6082"/>
    <w:rsid w:val="00AB60DC"/>
    <w:rsid w:val="00AB6339"/>
    <w:rsid w:val="00AB6546"/>
    <w:rsid w:val="00AB6BAC"/>
    <w:rsid w:val="00AB6F12"/>
    <w:rsid w:val="00AB70D6"/>
    <w:rsid w:val="00AB7E2E"/>
    <w:rsid w:val="00AC054F"/>
    <w:rsid w:val="00AC0726"/>
    <w:rsid w:val="00AC0A86"/>
    <w:rsid w:val="00AC0C12"/>
    <w:rsid w:val="00AC0C2B"/>
    <w:rsid w:val="00AC1FD0"/>
    <w:rsid w:val="00AC2AAB"/>
    <w:rsid w:val="00AC2EF1"/>
    <w:rsid w:val="00AC3473"/>
    <w:rsid w:val="00AC3653"/>
    <w:rsid w:val="00AC36B6"/>
    <w:rsid w:val="00AC3AB0"/>
    <w:rsid w:val="00AC3E17"/>
    <w:rsid w:val="00AC4B45"/>
    <w:rsid w:val="00AC630B"/>
    <w:rsid w:val="00AC69C1"/>
    <w:rsid w:val="00AC6A24"/>
    <w:rsid w:val="00AC6C6E"/>
    <w:rsid w:val="00AC6E18"/>
    <w:rsid w:val="00AC740C"/>
    <w:rsid w:val="00AC78A2"/>
    <w:rsid w:val="00AC7B28"/>
    <w:rsid w:val="00AC7B5C"/>
    <w:rsid w:val="00AC7CAA"/>
    <w:rsid w:val="00AC7F20"/>
    <w:rsid w:val="00AD032F"/>
    <w:rsid w:val="00AD076D"/>
    <w:rsid w:val="00AD0C8F"/>
    <w:rsid w:val="00AD0DC4"/>
    <w:rsid w:val="00AD1676"/>
    <w:rsid w:val="00AD1DE4"/>
    <w:rsid w:val="00AD204D"/>
    <w:rsid w:val="00AD27BA"/>
    <w:rsid w:val="00AD29BF"/>
    <w:rsid w:val="00AD2B7D"/>
    <w:rsid w:val="00AD3A1F"/>
    <w:rsid w:val="00AD3AAF"/>
    <w:rsid w:val="00AD416C"/>
    <w:rsid w:val="00AD46B7"/>
    <w:rsid w:val="00AD4CD4"/>
    <w:rsid w:val="00AD4DC1"/>
    <w:rsid w:val="00AD4F3C"/>
    <w:rsid w:val="00AD5101"/>
    <w:rsid w:val="00AD5780"/>
    <w:rsid w:val="00AD694E"/>
    <w:rsid w:val="00AD6C51"/>
    <w:rsid w:val="00AD7332"/>
    <w:rsid w:val="00AE02E5"/>
    <w:rsid w:val="00AE065D"/>
    <w:rsid w:val="00AE075F"/>
    <w:rsid w:val="00AE0784"/>
    <w:rsid w:val="00AE08FD"/>
    <w:rsid w:val="00AE1098"/>
    <w:rsid w:val="00AE1469"/>
    <w:rsid w:val="00AE1916"/>
    <w:rsid w:val="00AE1B7F"/>
    <w:rsid w:val="00AE1EEC"/>
    <w:rsid w:val="00AE248F"/>
    <w:rsid w:val="00AE264E"/>
    <w:rsid w:val="00AE2BBE"/>
    <w:rsid w:val="00AE2DBA"/>
    <w:rsid w:val="00AE2DEB"/>
    <w:rsid w:val="00AE31AD"/>
    <w:rsid w:val="00AE3230"/>
    <w:rsid w:val="00AE3656"/>
    <w:rsid w:val="00AE397B"/>
    <w:rsid w:val="00AE3AFB"/>
    <w:rsid w:val="00AE3CC8"/>
    <w:rsid w:val="00AE4274"/>
    <w:rsid w:val="00AE4283"/>
    <w:rsid w:val="00AE5B88"/>
    <w:rsid w:val="00AE7370"/>
    <w:rsid w:val="00AE76B1"/>
    <w:rsid w:val="00AE7F7D"/>
    <w:rsid w:val="00AF1A6E"/>
    <w:rsid w:val="00AF1AD3"/>
    <w:rsid w:val="00AF1FCA"/>
    <w:rsid w:val="00AF2316"/>
    <w:rsid w:val="00AF2387"/>
    <w:rsid w:val="00AF2A2A"/>
    <w:rsid w:val="00AF2B67"/>
    <w:rsid w:val="00AF3049"/>
    <w:rsid w:val="00AF3AE8"/>
    <w:rsid w:val="00AF3C9C"/>
    <w:rsid w:val="00AF3FCA"/>
    <w:rsid w:val="00AF4278"/>
    <w:rsid w:val="00AF43A3"/>
    <w:rsid w:val="00AF48E5"/>
    <w:rsid w:val="00AF4C43"/>
    <w:rsid w:val="00AF5007"/>
    <w:rsid w:val="00AF5162"/>
    <w:rsid w:val="00AF5717"/>
    <w:rsid w:val="00AF5D1A"/>
    <w:rsid w:val="00AF6297"/>
    <w:rsid w:val="00AF7715"/>
    <w:rsid w:val="00AF7A51"/>
    <w:rsid w:val="00AF7EDD"/>
    <w:rsid w:val="00AF7FBB"/>
    <w:rsid w:val="00B000DE"/>
    <w:rsid w:val="00B0018A"/>
    <w:rsid w:val="00B0024D"/>
    <w:rsid w:val="00B009DF"/>
    <w:rsid w:val="00B00CC4"/>
    <w:rsid w:val="00B01000"/>
    <w:rsid w:val="00B01FB7"/>
    <w:rsid w:val="00B027CD"/>
    <w:rsid w:val="00B0301B"/>
    <w:rsid w:val="00B03081"/>
    <w:rsid w:val="00B03BD8"/>
    <w:rsid w:val="00B03C22"/>
    <w:rsid w:val="00B03C91"/>
    <w:rsid w:val="00B03D44"/>
    <w:rsid w:val="00B03E74"/>
    <w:rsid w:val="00B04B82"/>
    <w:rsid w:val="00B04DF8"/>
    <w:rsid w:val="00B04E0F"/>
    <w:rsid w:val="00B0590F"/>
    <w:rsid w:val="00B05CB6"/>
    <w:rsid w:val="00B06472"/>
    <w:rsid w:val="00B064FC"/>
    <w:rsid w:val="00B069FF"/>
    <w:rsid w:val="00B06D1B"/>
    <w:rsid w:val="00B07C17"/>
    <w:rsid w:val="00B07C20"/>
    <w:rsid w:val="00B07FA3"/>
    <w:rsid w:val="00B1043F"/>
    <w:rsid w:val="00B11A76"/>
    <w:rsid w:val="00B11E5C"/>
    <w:rsid w:val="00B1226A"/>
    <w:rsid w:val="00B129AF"/>
    <w:rsid w:val="00B12BD0"/>
    <w:rsid w:val="00B13005"/>
    <w:rsid w:val="00B132DE"/>
    <w:rsid w:val="00B13A65"/>
    <w:rsid w:val="00B13D81"/>
    <w:rsid w:val="00B14EE4"/>
    <w:rsid w:val="00B157E1"/>
    <w:rsid w:val="00B158F9"/>
    <w:rsid w:val="00B15C87"/>
    <w:rsid w:val="00B16A05"/>
    <w:rsid w:val="00B16F26"/>
    <w:rsid w:val="00B17022"/>
    <w:rsid w:val="00B17BED"/>
    <w:rsid w:val="00B17D44"/>
    <w:rsid w:val="00B20AAD"/>
    <w:rsid w:val="00B210DE"/>
    <w:rsid w:val="00B21353"/>
    <w:rsid w:val="00B21568"/>
    <w:rsid w:val="00B2183A"/>
    <w:rsid w:val="00B225A1"/>
    <w:rsid w:val="00B225CC"/>
    <w:rsid w:val="00B2291A"/>
    <w:rsid w:val="00B229E1"/>
    <w:rsid w:val="00B22CAA"/>
    <w:rsid w:val="00B23424"/>
    <w:rsid w:val="00B23718"/>
    <w:rsid w:val="00B23B0D"/>
    <w:rsid w:val="00B23C0C"/>
    <w:rsid w:val="00B242A9"/>
    <w:rsid w:val="00B247D5"/>
    <w:rsid w:val="00B2556D"/>
    <w:rsid w:val="00B25A29"/>
    <w:rsid w:val="00B25ACB"/>
    <w:rsid w:val="00B25ECF"/>
    <w:rsid w:val="00B26215"/>
    <w:rsid w:val="00B26314"/>
    <w:rsid w:val="00B263A0"/>
    <w:rsid w:val="00B263FD"/>
    <w:rsid w:val="00B26EC3"/>
    <w:rsid w:val="00B27007"/>
    <w:rsid w:val="00B27429"/>
    <w:rsid w:val="00B27E0F"/>
    <w:rsid w:val="00B30E17"/>
    <w:rsid w:val="00B30E1A"/>
    <w:rsid w:val="00B31258"/>
    <w:rsid w:val="00B3154D"/>
    <w:rsid w:val="00B31733"/>
    <w:rsid w:val="00B31766"/>
    <w:rsid w:val="00B31945"/>
    <w:rsid w:val="00B31983"/>
    <w:rsid w:val="00B3213F"/>
    <w:rsid w:val="00B32199"/>
    <w:rsid w:val="00B32280"/>
    <w:rsid w:val="00B32D93"/>
    <w:rsid w:val="00B33038"/>
    <w:rsid w:val="00B34086"/>
    <w:rsid w:val="00B35686"/>
    <w:rsid w:val="00B3577B"/>
    <w:rsid w:val="00B35A05"/>
    <w:rsid w:val="00B3680A"/>
    <w:rsid w:val="00B36E84"/>
    <w:rsid w:val="00B377F0"/>
    <w:rsid w:val="00B406E9"/>
    <w:rsid w:val="00B40814"/>
    <w:rsid w:val="00B409A3"/>
    <w:rsid w:val="00B40DA1"/>
    <w:rsid w:val="00B412AE"/>
    <w:rsid w:val="00B413D6"/>
    <w:rsid w:val="00B41EC4"/>
    <w:rsid w:val="00B42322"/>
    <w:rsid w:val="00B42720"/>
    <w:rsid w:val="00B4324A"/>
    <w:rsid w:val="00B433D1"/>
    <w:rsid w:val="00B43490"/>
    <w:rsid w:val="00B435DA"/>
    <w:rsid w:val="00B43690"/>
    <w:rsid w:val="00B43777"/>
    <w:rsid w:val="00B439A6"/>
    <w:rsid w:val="00B43C60"/>
    <w:rsid w:val="00B440DB"/>
    <w:rsid w:val="00B44455"/>
    <w:rsid w:val="00B4461D"/>
    <w:rsid w:val="00B449B5"/>
    <w:rsid w:val="00B45A1E"/>
    <w:rsid w:val="00B45A9B"/>
    <w:rsid w:val="00B45D10"/>
    <w:rsid w:val="00B46539"/>
    <w:rsid w:val="00B476FE"/>
    <w:rsid w:val="00B47B2B"/>
    <w:rsid w:val="00B47D8F"/>
    <w:rsid w:val="00B47DF0"/>
    <w:rsid w:val="00B47E8F"/>
    <w:rsid w:val="00B508D1"/>
    <w:rsid w:val="00B50F88"/>
    <w:rsid w:val="00B511BE"/>
    <w:rsid w:val="00B51B0C"/>
    <w:rsid w:val="00B51D6E"/>
    <w:rsid w:val="00B51EBA"/>
    <w:rsid w:val="00B521FA"/>
    <w:rsid w:val="00B5261C"/>
    <w:rsid w:val="00B52DCF"/>
    <w:rsid w:val="00B531F0"/>
    <w:rsid w:val="00B53226"/>
    <w:rsid w:val="00B53999"/>
    <w:rsid w:val="00B539C0"/>
    <w:rsid w:val="00B53AD1"/>
    <w:rsid w:val="00B53B99"/>
    <w:rsid w:val="00B54A18"/>
    <w:rsid w:val="00B5585B"/>
    <w:rsid w:val="00B55877"/>
    <w:rsid w:val="00B55DC0"/>
    <w:rsid w:val="00B55EE3"/>
    <w:rsid w:val="00B567B1"/>
    <w:rsid w:val="00B568B2"/>
    <w:rsid w:val="00B56C43"/>
    <w:rsid w:val="00B5767B"/>
    <w:rsid w:val="00B57774"/>
    <w:rsid w:val="00B60033"/>
    <w:rsid w:val="00B60439"/>
    <w:rsid w:val="00B60697"/>
    <w:rsid w:val="00B608AE"/>
    <w:rsid w:val="00B609C8"/>
    <w:rsid w:val="00B6134F"/>
    <w:rsid w:val="00B615F6"/>
    <w:rsid w:val="00B61E05"/>
    <w:rsid w:val="00B62443"/>
    <w:rsid w:val="00B62606"/>
    <w:rsid w:val="00B62733"/>
    <w:rsid w:val="00B62A45"/>
    <w:rsid w:val="00B631EC"/>
    <w:rsid w:val="00B6431E"/>
    <w:rsid w:val="00B6454B"/>
    <w:rsid w:val="00B663EA"/>
    <w:rsid w:val="00B6647E"/>
    <w:rsid w:val="00B66D88"/>
    <w:rsid w:val="00B66E88"/>
    <w:rsid w:val="00B66FE6"/>
    <w:rsid w:val="00B67AB9"/>
    <w:rsid w:val="00B70285"/>
    <w:rsid w:val="00B702CE"/>
    <w:rsid w:val="00B704D4"/>
    <w:rsid w:val="00B7080A"/>
    <w:rsid w:val="00B70969"/>
    <w:rsid w:val="00B71313"/>
    <w:rsid w:val="00B71655"/>
    <w:rsid w:val="00B721A7"/>
    <w:rsid w:val="00B72638"/>
    <w:rsid w:val="00B72EBD"/>
    <w:rsid w:val="00B73739"/>
    <w:rsid w:val="00B73C56"/>
    <w:rsid w:val="00B750AD"/>
    <w:rsid w:val="00B75147"/>
    <w:rsid w:val="00B75B75"/>
    <w:rsid w:val="00B7601A"/>
    <w:rsid w:val="00B76089"/>
    <w:rsid w:val="00B76693"/>
    <w:rsid w:val="00B76AAD"/>
    <w:rsid w:val="00B76D1E"/>
    <w:rsid w:val="00B76F42"/>
    <w:rsid w:val="00B776AB"/>
    <w:rsid w:val="00B77B07"/>
    <w:rsid w:val="00B80070"/>
    <w:rsid w:val="00B808B6"/>
    <w:rsid w:val="00B80A04"/>
    <w:rsid w:val="00B81459"/>
    <w:rsid w:val="00B818B1"/>
    <w:rsid w:val="00B818DE"/>
    <w:rsid w:val="00B82247"/>
    <w:rsid w:val="00B8251B"/>
    <w:rsid w:val="00B8291D"/>
    <w:rsid w:val="00B8295A"/>
    <w:rsid w:val="00B82E15"/>
    <w:rsid w:val="00B82E9E"/>
    <w:rsid w:val="00B83345"/>
    <w:rsid w:val="00B83490"/>
    <w:rsid w:val="00B85344"/>
    <w:rsid w:val="00B8730D"/>
    <w:rsid w:val="00B873CB"/>
    <w:rsid w:val="00B875D3"/>
    <w:rsid w:val="00B87DC8"/>
    <w:rsid w:val="00B90533"/>
    <w:rsid w:val="00B90BA9"/>
    <w:rsid w:val="00B90C85"/>
    <w:rsid w:val="00B90D7B"/>
    <w:rsid w:val="00B91AFC"/>
    <w:rsid w:val="00B91B11"/>
    <w:rsid w:val="00B92770"/>
    <w:rsid w:val="00B92BA3"/>
    <w:rsid w:val="00B933CB"/>
    <w:rsid w:val="00B93A66"/>
    <w:rsid w:val="00B93D77"/>
    <w:rsid w:val="00B944A3"/>
    <w:rsid w:val="00B949B7"/>
    <w:rsid w:val="00B9561E"/>
    <w:rsid w:val="00B95CC4"/>
    <w:rsid w:val="00B95E1B"/>
    <w:rsid w:val="00B9634D"/>
    <w:rsid w:val="00B972FF"/>
    <w:rsid w:val="00B9750F"/>
    <w:rsid w:val="00B97B15"/>
    <w:rsid w:val="00BA05F4"/>
    <w:rsid w:val="00BA09E5"/>
    <w:rsid w:val="00BA0DE0"/>
    <w:rsid w:val="00BA0ED1"/>
    <w:rsid w:val="00BA11B2"/>
    <w:rsid w:val="00BA1428"/>
    <w:rsid w:val="00BA179C"/>
    <w:rsid w:val="00BA18E3"/>
    <w:rsid w:val="00BA1C18"/>
    <w:rsid w:val="00BA22B5"/>
    <w:rsid w:val="00BA2334"/>
    <w:rsid w:val="00BA238A"/>
    <w:rsid w:val="00BA2617"/>
    <w:rsid w:val="00BA2689"/>
    <w:rsid w:val="00BA2EB6"/>
    <w:rsid w:val="00BA3676"/>
    <w:rsid w:val="00BA3DA9"/>
    <w:rsid w:val="00BA3EEC"/>
    <w:rsid w:val="00BA3F3A"/>
    <w:rsid w:val="00BA4176"/>
    <w:rsid w:val="00BA4496"/>
    <w:rsid w:val="00BA46B1"/>
    <w:rsid w:val="00BA46C1"/>
    <w:rsid w:val="00BA4E3A"/>
    <w:rsid w:val="00BA5321"/>
    <w:rsid w:val="00BA5B85"/>
    <w:rsid w:val="00BA5F87"/>
    <w:rsid w:val="00BA79F7"/>
    <w:rsid w:val="00BA7EB9"/>
    <w:rsid w:val="00BB00C0"/>
    <w:rsid w:val="00BB0DE3"/>
    <w:rsid w:val="00BB12B4"/>
    <w:rsid w:val="00BB1455"/>
    <w:rsid w:val="00BB1683"/>
    <w:rsid w:val="00BB197F"/>
    <w:rsid w:val="00BB1A04"/>
    <w:rsid w:val="00BB223D"/>
    <w:rsid w:val="00BB314D"/>
    <w:rsid w:val="00BB33A0"/>
    <w:rsid w:val="00BB39A7"/>
    <w:rsid w:val="00BB3D35"/>
    <w:rsid w:val="00BB3DC4"/>
    <w:rsid w:val="00BB468B"/>
    <w:rsid w:val="00BB50C8"/>
    <w:rsid w:val="00BB5411"/>
    <w:rsid w:val="00BB559F"/>
    <w:rsid w:val="00BB5A4F"/>
    <w:rsid w:val="00BB5BDC"/>
    <w:rsid w:val="00BB5F4F"/>
    <w:rsid w:val="00BB6613"/>
    <w:rsid w:val="00BB67A7"/>
    <w:rsid w:val="00BB688E"/>
    <w:rsid w:val="00BB7074"/>
    <w:rsid w:val="00BB731F"/>
    <w:rsid w:val="00BB753F"/>
    <w:rsid w:val="00BB765C"/>
    <w:rsid w:val="00BC00DE"/>
    <w:rsid w:val="00BC08E9"/>
    <w:rsid w:val="00BC1028"/>
    <w:rsid w:val="00BC1249"/>
    <w:rsid w:val="00BC15D2"/>
    <w:rsid w:val="00BC183F"/>
    <w:rsid w:val="00BC18DF"/>
    <w:rsid w:val="00BC1B81"/>
    <w:rsid w:val="00BC1D64"/>
    <w:rsid w:val="00BC1E26"/>
    <w:rsid w:val="00BC20C0"/>
    <w:rsid w:val="00BC255B"/>
    <w:rsid w:val="00BC28E6"/>
    <w:rsid w:val="00BC2AA0"/>
    <w:rsid w:val="00BC3106"/>
    <w:rsid w:val="00BC3499"/>
    <w:rsid w:val="00BC39D1"/>
    <w:rsid w:val="00BC4A68"/>
    <w:rsid w:val="00BC57A0"/>
    <w:rsid w:val="00BC6367"/>
    <w:rsid w:val="00BC66D9"/>
    <w:rsid w:val="00BC6C1F"/>
    <w:rsid w:val="00BC7209"/>
    <w:rsid w:val="00BD0085"/>
    <w:rsid w:val="00BD00CB"/>
    <w:rsid w:val="00BD12B1"/>
    <w:rsid w:val="00BD12DE"/>
    <w:rsid w:val="00BD1463"/>
    <w:rsid w:val="00BD2DFA"/>
    <w:rsid w:val="00BD2F34"/>
    <w:rsid w:val="00BD32AE"/>
    <w:rsid w:val="00BD33C4"/>
    <w:rsid w:val="00BD3648"/>
    <w:rsid w:val="00BD3937"/>
    <w:rsid w:val="00BD39D6"/>
    <w:rsid w:val="00BD3C88"/>
    <w:rsid w:val="00BD3D73"/>
    <w:rsid w:val="00BD401A"/>
    <w:rsid w:val="00BD49FE"/>
    <w:rsid w:val="00BD4E89"/>
    <w:rsid w:val="00BD5979"/>
    <w:rsid w:val="00BD5C4F"/>
    <w:rsid w:val="00BD63D5"/>
    <w:rsid w:val="00BD68E0"/>
    <w:rsid w:val="00BD6A01"/>
    <w:rsid w:val="00BD6D1B"/>
    <w:rsid w:val="00BD6D82"/>
    <w:rsid w:val="00BD6E59"/>
    <w:rsid w:val="00BD7A51"/>
    <w:rsid w:val="00BD7AC4"/>
    <w:rsid w:val="00BE059E"/>
    <w:rsid w:val="00BE0722"/>
    <w:rsid w:val="00BE0913"/>
    <w:rsid w:val="00BE0FA0"/>
    <w:rsid w:val="00BE165D"/>
    <w:rsid w:val="00BE1A27"/>
    <w:rsid w:val="00BE1C18"/>
    <w:rsid w:val="00BE1E32"/>
    <w:rsid w:val="00BE20AD"/>
    <w:rsid w:val="00BE23FD"/>
    <w:rsid w:val="00BE243F"/>
    <w:rsid w:val="00BE365C"/>
    <w:rsid w:val="00BE3FB7"/>
    <w:rsid w:val="00BE4020"/>
    <w:rsid w:val="00BE4191"/>
    <w:rsid w:val="00BE445E"/>
    <w:rsid w:val="00BE47D0"/>
    <w:rsid w:val="00BE5B34"/>
    <w:rsid w:val="00BE600F"/>
    <w:rsid w:val="00BE6155"/>
    <w:rsid w:val="00BE6CE4"/>
    <w:rsid w:val="00BE736B"/>
    <w:rsid w:val="00BE7803"/>
    <w:rsid w:val="00BE782E"/>
    <w:rsid w:val="00BF0B90"/>
    <w:rsid w:val="00BF0CE5"/>
    <w:rsid w:val="00BF1D5F"/>
    <w:rsid w:val="00BF1E0F"/>
    <w:rsid w:val="00BF31EA"/>
    <w:rsid w:val="00BF329E"/>
    <w:rsid w:val="00BF392F"/>
    <w:rsid w:val="00BF497A"/>
    <w:rsid w:val="00BF51C9"/>
    <w:rsid w:val="00BF5745"/>
    <w:rsid w:val="00BF66E7"/>
    <w:rsid w:val="00BF678B"/>
    <w:rsid w:val="00BF6D03"/>
    <w:rsid w:val="00BF6D95"/>
    <w:rsid w:val="00BF7426"/>
    <w:rsid w:val="00BF7442"/>
    <w:rsid w:val="00BF74D5"/>
    <w:rsid w:val="00BF7540"/>
    <w:rsid w:val="00BF75A3"/>
    <w:rsid w:val="00BF78A9"/>
    <w:rsid w:val="00C0012E"/>
    <w:rsid w:val="00C001B0"/>
    <w:rsid w:val="00C003CB"/>
    <w:rsid w:val="00C007CF"/>
    <w:rsid w:val="00C00D26"/>
    <w:rsid w:val="00C0120C"/>
    <w:rsid w:val="00C01344"/>
    <w:rsid w:val="00C01A47"/>
    <w:rsid w:val="00C01AD8"/>
    <w:rsid w:val="00C01C02"/>
    <w:rsid w:val="00C02063"/>
    <w:rsid w:val="00C0269C"/>
    <w:rsid w:val="00C02B28"/>
    <w:rsid w:val="00C02F76"/>
    <w:rsid w:val="00C03684"/>
    <w:rsid w:val="00C03D36"/>
    <w:rsid w:val="00C03F30"/>
    <w:rsid w:val="00C04319"/>
    <w:rsid w:val="00C04B5E"/>
    <w:rsid w:val="00C0593E"/>
    <w:rsid w:val="00C059E8"/>
    <w:rsid w:val="00C060D6"/>
    <w:rsid w:val="00C06465"/>
    <w:rsid w:val="00C069FE"/>
    <w:rsid w:val="00C074AD"/>
    <w:rsid w:val="00C07560"/>
    <w:rsid w:val="00C07E75"/>
    <w:rsid w:val="00C10621"/>
    <w:rsid w:val="00C113ED"/>
    <w:rsid w:val="00C1166D"/>
    <w:rsid w:val="00C11705"/>
    <w:rsid w:val="00C119A0"/>
    <w:rsid w:val="00C123A6"/>
    <w:rsid w:val="00C13CFE"/>
    <w:rsid w:val="00C14EFB"/>
    <w:rsid w:val="00C15D89"/>
    <w:rsid w:val="00C15E5A"/>
    <w:rsid w:val="00C15F79"/>
    <w:rsid w:val="00C16F8E"/>
    <w:rsid w:val="00C178C1"/>
    <w:rsid w:val="00C17CC4"/>
    <w:rsid w:val="00C20906"/>
    <w:rsid w:val="00C20BAB"/>
    <w:rsid w:val="00C21453"/>
    <w:rsid w:val="00C21943"/>
    <w:rsid w:val="00C21B2B"/>
    <w:rsid w:val="00C22416"/>
    <w:rsid w:val="00C23092"/>
    <w:rsid w:val="00C238DB"/>
    <w:rsid w:val="00C23FAB"/>
    <w:rsid w:val="00C2568C"/>
    <w:rsid w:val="00C25A20"/>
    <w:rsid w:val="00C25C89"/>
    <w:rsid w:val="00C25DFB"/>
    <w:rsid w:val="00C25FB9"/>
    <w:rsid w:val="00C262A4"/>
    <w:rsid w:val="00C264F6"/>
    <w:rsid w:val="00C26B07"/>
    <w:rsid w:val="00C2715E"/>
    <w:rsid w:val="00C277FD"/>
    <w:rsid w:val="00C2799E"/>
    <w:rsid w:val="00C27C61"/>
    <w:rsid w:val="00C27DA1"/>
    <w:rsid w:val="00C300F2"/>
    <w:rsid w:val="00C302C7"/>
    <w:rsid w:val="00C30C36"/>
    <w:rsid w:val="00C3189B"/>
    <w:rsid w:val="00C322A3"/>
    <w:rsid w:val="00C326FE"/>
    <w:rsid w:val="00C3270A"/>
    <w:rsid w:val="00C329A0"/>
    <w:rsid w:val="00C330CA"/>
    <w:rsid w:val="00C33309"/>
    <w:rsid w:val="00C3342D"/>
    <w:rsid w:val="00C346C4"/>
    <w:rsid w:val="00C34739"/>
    <w:rsid w:val="00C34A49"/>
    <w:rsid w:val="00C35D95"/>
    <w:rsid w:val="00C36A35"/>
    <w:rsid w:val="00C407EE"/>
    <w:rsid w:val="00C40869"/>
    <w:rsid w:val="00C40F22"/>
    <w:rsid w:val="00C4169B"/>
    <w:rsid w:val="00C419F9"/>
    <w:rsid w:val="00C41A39"/>
    <w:rsid w:val="00C41F50"/>
    <w:rsid w:val="00C425FE"/>
    <w:rsid w:val="00C42CA0"/>
    <w:rsid w:val="00C42CB3"/>
    <w:rsid w:val="00C42F5D"/>
    <w:rsid w:val="00C43E9C"/>
    <w:rsid w:val="00C4435A"/>
    <w:rsid w:val="00C44862"/>
    <w:rsid w:val="00C4486B"/>
    <w:rsid w:val="00C45261"/>
    <w:rsid w:val="00C4675B"/>
    <w:rsid w:val="00C46917"/>
    <w:rsid w:val="00C46AF1"/>
    <w:rsid w:val="00C47141"/>
    <w:rsid w:val="00C47156"/>
    <w:rsid w:val="00C474ED"/>
    <w:rsid w:val="00C4764C"/>
    <w:rsid w:val="00C47CD5"/>
    <w:rsid w:val="00C501CC"/>
    <w:rsid w:val="00C509DA"/>
    <w:rsid w:val="00C50BA5"/>
    <w:rsid w:val="00C513DF"/>
    <w:rsid w:val="00C5189E"/>
    <w:rsid w:val="00C51B3D"/>
    <w:rsid w:val="00C52045"/>
    <w:rsid w:val="00C520FC"/>
    <w:rsid w:val="00C521DE"/>
    <w:rsid w:val="00C52ABC"/>
    <w:rsid w:val="00C52C1C"/>
    <w:rsid w:val="00C5337A"/>
    <w:rsid w:val="00C53890"/>
    <w:rsid w:val="00C54362"/>
    <w:rsid w:val="00C565A9"/>
    <w:rsid w:val="00C56AA9"/>
    <w:rsid w:val="00C56E94"/>
    <w:rsid w:val="00C5765E"/>
    <w:rsid w:val="00C57826"/>
    <w:rsid w:val="00C57B27"/>
    <w:rsid w:val="00C6074E"/>
    <w:rsid w:val="00C61376"/>
    <w:rsid w:val="00C61C4F"/>
    <w:rsid w:val="00C61DAD"/>
    <w:rsid w:val="00C6259A"/>
    <w:rsid w:val="00C62759"/>
    <w:rsid w:val="00C62F17"/>
    <w:rsid w:val="00C63028"/>
    <w:rsid w:val="00C6314B"/>
    <w:rsid w:val="00C635E3"/>
    <w:rsid w:val="00C63A68"/>
    <w:rsid w:val="00C643E4"/>
    <w:rsid w:val="00C64577"/>
    <w:rsid w:val="00C64A69"/>
    <w:rsid w:val="00C64DA0"/>
    <w:rsid w:val="00C650CD"/>
    <w:rsid w:val="00C6528F"/>
    <w:rsid w:val="00C66271"/>
    <w:rsid w:val="00C66B3A"/>
    <w:rsid w:val="00C66E8E"/>
    <w:rsid w:val="00C66EB8"/>
    <w:rsid w:val="00C670AA"/>
    <w:rsid w:val="00C67305"/>
    <w:rsid w:val="00C678D6"/>
    <w:rsid w:val="00C67EAF"/>
    <w:rsid w:val="00C67F5A"/>
    <w:rsid w:val="00C70768"/>
    <w:rsid w:val="00C70ACC"/>
    <w:rsid w:val="00C7181D"/>
    <w:rsid w:val="00C71AA4"/>
    <w:rsid w:val="00C72377"/>
    <w:rsid w:val="00C72FCB"/>
    <w:rsid w:val="00C73505"/>
    <w:rsid w:val="00C735A7"/>
    <w:rsid w:val="00C73DA4"/>
    <w:rsid w:val="00C73EE5"/>
    <w:rsid w:val="00C743C2"/>
    <w:rsid w:val="00C74FC0"/>
    <w:rsid w:val="00C7592A"/>
    <w:rsid w:val="00C75A43"/>
    <w:rsid w:val="00C75CEA"/>
    <w:rsid w:val="00C76367"/>
    <w:rsid w:val="00C76863"/>
    <w:rsid w:val="00C768D4"/>
    <w:rsid w:val="00C76963"/>
    <w:rsid w:val="00C7697A"/>
    <w:rsid w:val="00C76981"/>
    <w:rsid w:val="00C76DCC"/>
    <w:rsid w:val="00C76F69"/>
    <w:rsid w:val="00C77042"/>
    <w:rsid w:val="00C771D2"/>
    <w:rsid w:val="00C77405"/>
    <w:rsid w:val="00C7770F"/>
    <w:rsid w:val="00C77B36"/>
    <w:rsid w:val="00C77DDF"/>
    <w:rsid w:val="00C801A0"/>
    <w:rsid w:val="00C80426"/>
    <w:rsid w:val="00C80BA9"/>
    <w:rsid w:val="00C81173"/>
    <w:rsid w:val="00C814CD"/>
    <w:rsid w:val="00C816EB"/>
    <w:rsid w:val="00C818F3"/>
    <w:rsid w:val="00C819DC"/>
    <w:rsid w:val="00C82312"/>
    <w:rsid w:val="00C82A68"/>
    <w:rsid w:val="00C82CF2"/>
    <w:rsid w:val="00C8331E"/>
    <w:rsid w:val="00C83C77"/>
    <w:rsid w:val="00C83D99"/>
    <w:rsid w:val="00C84661"/>
    <w:rsid w:val="00C84EDA"/>
    <w:rsid w:val="00C85384"/>
    <w:rsid w:val="00C855EE"/>
    <w:rsid w:val="00C85938"/>
    <w:rsid w:val="00C85962"/>
    <w:rsid w:val="00C85AAA"/>
    <w:rsid w:val="00C85DFA"/>
    <w:rsid w:val="00C85EA4"/>
    <w:rsid w:val="00C86548"/>
    <w:rsid w:val="00C86850"/>
    <w:rsid w:val="00C86903"/>
    <w:rsid w:val="00C86EE8"/>
    <w:rsid w:val="00C87E94"/>
    <w:rsid w:val="00C90A43"/>
    <w:rsid w:val="00C90AD9"/>
    <w:rsid w:val="00C90C38"/>
    <w:rsid w:val="00C90EF3"/>
    <w:rsid w:val="00C90F0D"/>
    <w:rsid w:val="00C91AC8"/>
    <w:rsid w:val="00C91C80"/>
    <w:rsid w:val="00C91CE1"/>
    <w:rsid w:val="00C924FA"/>
    <w:rsid w:val="00C92977"/>
    <w:rsid w:val="00C93146"/>
    <w:rsid w:val="00C941CF"/>
    <w:rsid w:val="00C94203"/>
    <w:rsid w:val="00C9493E"/>
    <w:rsid w:val="00C94AC3"/>
    <w:rsid w:val="00C954BE"/>
    <w:rsid w:val="00C9688A"/>
    <w:rsid w:val="00C96CCA"/>
    <w:rsid w:val="00C9725C"/>
    <w:rsid w:val="00C97D37"/>
    <w:rsid w:val="00CA00D5"/>
    <w:rsid w:val="00CA1034"/>
    <w:rsid w:val="00CA168E"/>
    <w:rsid w:val="00CA1751"/>
    <w:rsid w:val="00CA1B79"/>
    <w:rsid w:val="00CA1C38"/>
    <w:rsid w:val="00CA2213"/>
    <w:rsid w:val="00CA29AE"/>
    <w:rsid w:val="00CA497A"/>
    <w:rsid w:val="00CA4B68"/>
    <w:rsid w:val="00CA4CDC"/>
    <w:rsid w:val="00CA51F1"/>
    <w:rsid w:val="00CA522B"/>
    <w:rsid w:val="00CA57C3"/>
    <w:rsid w:val="00CA57D4"/>
    <w:rsid w:val="00CA6166"/>
    <w:rsid w:val="00CA6835"/>
    <w:rsid w:val="00CA6B28"/>
    <w:rsid w:val="00CA6D8D"/>
    <w:rsid w:val="00CA73CD"/>
    <w:rsid w:val="00CA7491"/>
    <w:rsid w:val="00CA7D80"/>
    <w:rsid w:val="00CB0172"/>
    <w:rsid w:val="00CB03EC"/>
    <w:rsid w:val="00CB07CF"/>
    <w:rsid w:val="00CB08E3"/>
    <w:rsid w:val="00CB1FE5"/>
    <w:rsid w:val="00CB2578"/>
    <w:rsid w:val="00CB2E93"/>
    <w:rsid w:val="00CB31A9"/>
    <w:rsid w:val="00CB33C4"/>
    <w:rsid w:val="00CB3A0C"/>
    <w:rsid w:val="00CB3A19"/>
    <w:rsid w:val="00CB3A8F"/>
    <w:rsid w:val="00CB3D10"/>
    <w:rsid w:val="00CB434A"/>
    <w:rsid w:val="00CB493E"/>
    <w:rsid w:val="00CB4ABD"/>
    <w:rsid w:val="00CB4FB9"/>
    <w:rsid w:val="00CB50E5"/>
    <w:rsid w:val="00CB53D1"/>
    <w:rsid w:val="00CB59E8"/>
    <w:rsid w:val="00CB5ADC"/>
    <w:rsid w:val="00CB5AF6"/>
    <w:rsid w:val="00CB5B03"/>
    <w:rsid w:val="00CB5EA0"/>
    <w:rsid w:val="00CB5ED4"/>
    <w:rsid w:val="00CB61C5"/>
    <w:rsid w:val="00CB71E7"/>
    <w:rsid w:val="00CB7751"/>
    <w:rsid w:val="00CB7872"/>
    <w:rsid w:val="00CB7C41"/>
    <w:rsid w:val="00CC0191"/>
    <w:rsid w:val="00CC046B"/>
    <w:rsid w:val="00CC0C25"/>
    <w:rsid w:val="00CC0F78"/>
    <w:rsid w:val="00CC182E"/>
    <w:rsid w:val="00CC1D7D"/>
    <w:rsid w:val="00CC269B"/>
    <w:rsid w:val="00CC29F3"/>
    <w:rsid w:val="00CC2F97"/>
    <w:rsid w:val="00CC3875"/>
    <w:rsid w:val="00CC3B09"/>
    <w:rsid w:val="00CC3B8A"/>
    <w:rsid w:val="00CC3F4A"/>
    <w:rsid w:val="00CC4235"/>
    <w:rsid w:val="00CC44B2"/>
    <w:rsid w:val="00CC4B79"/>
    <w:rsid w:val="00CC4BC4"/>
    <w:rsid w:val="00CC4C27"/>
    <w:rsid w:val="00CC50A6"/>
    <w:rsid w:val="00CC54C3"/>
    <w:rsid w:val="00CC56FA"/>
    <w:rsid w:val="00CC5C59"/>
    <w:rsid w:val="00CC5EC1"/>
    <w:rsid w:val="00CC6427"/>
    <w:rsid w:val="00CC6F0C"/>
    <w:rsid w:val="00CC708D"/>
    <w:rsid w:val="00CC7791"/>
    <w:rsid w:val="00CC7BAE"/>
    <w:rsid w:val="00CD000B"/>
    <w:rsid w:val="00CD0A43"/>
    <w:rsid w:val="00CD0C80"/>
    <w:rsid w:val="00CD1784"/>
    <w:rsid w:val="00CD235D"/>
    <w:rsid w:val="00CD2416"/>
    <w:rsid w:val="00CD38FF"/>
    <w:rsid w:val="00CD452F"/>
    <w:rsid w:val="00CD4623"/>
    <w:rsid w:val="00CD46DD"/>
    <w:rsid w:val="00CD5591"/>
    <w:rsid w:val="00CD5595"/>
    <w:rsid w:val="00CD5672"/>
    <w:rsid w:val="00CD5AB1"/>
    <w:rsid w:val="00CD5BBB"/>
    <w:rsid w:val="00CD61EB"/>
    <w:rsid w:val="00CD68DB"/>
    <w:rsid w:val="00CD69C0"/>
    <w:rsid w:val="00CD69F7"/>
    <w:rsid w:val="00CD6E8C"/>
    <w:rsid w:val="00CD70F3"/>
    <w:rsid w:val="00CD7AF1"/>
    <w:rsid w:val="00CE0032"/>
    <w:rsid w:val="00CE10CC"/>
    <w:rsid w:val="00CE1599"/>
    <w:rsid w:val="00CE15EA"/>
    <w:rsid w:val="00CE1639"/>
    <w:rsid w:val="00CE23F9"/>
    <w:rsid w:val="00CE269E"/>
    <w:rsid w:val="00CE2C7A"/>
    <w:rsid w:val="00CE2F57"/>
    <w:rsid w:val="00CE2FCF"/>
    <w:rsid w:val="00CE39EA"/>
    <w:rsid w:val="00CE3ABA"/>
    <w:rsid w:val="00CE3B8D"/>
    <w:rsid w:val="00CE4AD9"/>
    <w:rsid w:val="00CE59EF"/>
    <w:rsid w:val="00CE5BD7"/>
    <w:rsid w:val="00CE67A5"/>
    <w:rsid w:val="00CE6E83"/>
    <w:rsid w:val="00CE7DED"/>
    <w:rsid w:val="00CF00FE"/>
    <w:rsid w:val="00CF0391"/>
    <w:rsid w:val="00CF0610"/>
    <w:rsid w:val="00CF076C"/>
    <w:rsid w:val="00CF097B"/>
    <w:rsid w:val="00CF0A94"/>
    <w:rsid w:val="00CF15CF"/>
    <w:rsid w:val="00CF171E"/>
    <w:rsid w:val="00CF1C27"/>
    <w:rsid w:val="00CF2867"/>
    <w:rsid w:val="00CF297C"/>
    <w:rsid w:val="00CF2EB8"/>
    <w:rsid w:val="00CF344A"/>
    <w:rsid w:val="00CF3E92"/>
    <w:rsid w:val="00CF3F96"/>
    <w:rsid w:val="00CF45F6"/>
    <w:rsid w:val="00CF4C37"/>
    <w:rsid w:val="00CF5154"/>
    <w:rsid w:val="00CF55A0"/>
    <w:rsid w:val="00CF55CF"/>
    <w:rsid w:val="00CF5AD6"/>
    <w:rsid w:val="00CF5C98"/>
    <w:rsid w:val="00CF5F7C"/>
    <w:rsid w:val="00CF6283"/>
    <w:rsid w:val="00CF6539"/>
    <w:rsid w:val="00CF6EB1"/>
    <w:rsid w:val="00CF7953"/>
    <w:rsid w:val="00CF7B6C"/>
    <w:rsid w:val="00D001AD"/>
    <w:rsid w:val="00D008AB"/>
    <w:rsid w:val="00D0091D"/>
    <w:rsid w:val="00D00D9B"/>
    <w:rsid w:val="00D0149F"/>
    <w:rsid w:val="00D01696"/>
    <w:rsid w:val="00D02177"/>
    <w:rsid w:val="00D025B4"/>
    <w:rsid w:val="00D025C8"/>
    <w:rsid w:val="00D027D9"/>
    <w:rsid w:val="00D02A55"/>
    <w:rsid w:val="00D02E73"/>
    <w:rsid w:val="00D034CA"/>
    <w:rsid w:val="00D03708"/>
    <w:rsid w:val="00D03D1E"/>
    <w:rsid w:val="00D04331"/>
    <w:rsid w:val="00D043D5"/>
    <w:rsid w:val="00D044BE"/>
    <w:rsid w:val="00D04831"/>
    <w:rsid w:val="00D0514D"/>
    <w:rsid w:val="00D05FF3"/>
    <w:rsid w:val="00D063E4"/>
    <w:rsid w:val="00D06EC0"/>
    <w:rsid w:val="00D071CE"/>
    <w:rsid w:val="00D0765C"/>
    <w:rsid w:val="00D07665"/>
    <w:rsid w:val="00D07737"/>
    <w:rsid w:val="00D0776A"/>
    <w:rsid w:val="00D10364"/>
    <w:rsid w:val="00D10A59"/>
    <w:rsid w:val="00D10CE5"/>
    <w:rsid w:val="00D1124C"/>
    <w:rsid w:val="00D12428"/>
    <w:rsid w:val="00D124B9"/>
    <w:rsid w:val="00D12735"/>
    <w:rsid w:val="00D12A42"/>
    <w:rsid w:val="00D12C44"/>
    <w:rsid w:val="00D12F1A"/>
    <w:rsid w:val="00D12F26"/>
    <w:rsid w:val="00D13694"/>
    <w:rsid w:val="00D1376C"/>
    <w:rsid w:val="00D1412B"/>
    <w:rsid w:val="00D14592"/>
    <w:rsid w:val="00D14748"/>
    <w:rsid w:val="00D14BB3"/>
    <w:rsid w:val="00D153C6"/>
    <w:rsid w:val="00D157EE"/>
    <w:rsid w:val="00D15ACA"/>
    <w:rsid w:val="00D15EDA"/>
    <w:rsid w:val="00D1648A"/>
    <w:rsid w:val="00D164FD"/>
    <w:rsid w:val="00D17012"/>
    <w:rsid w:val="00D17481"/>
    <w:rsid w:val="00D20105"/>
    <w:rsid w:val="00D207B8"/>
    <w:rsid w:val="00D21FC6"/>
    <w:rsid w:val="00D230E8"/>
    <w:rsid w:val="00D2352A"/>
    <w:rsid w:val="00D23925"/>
    <w:rsid w:val="00D2407C"/>
    <w:rsid w:val="00D2466C"/>
    <w:rsid w:val="00D24849"/>
    <w:rsid w:val="00D24ACB"/>
    <w:rsid w:val="00D24F5E"/>
    <w:rsid w:val="00D252B4"/>
    <w:rsid w:val="00D25895"/>
    <w:rsid w:val="00D259D2"/>
    <w:rsid w:val="00D25D6A"/>
    <w:rsid w:val="00D25E05"/>
    <w:rsid w:val="00D25F31"/>
    <w:rsid w:val="00D2638D"/>
    <w:rsid w:val="00D2653B"/>
    <w:rsid w:val="00D26C5D"/>
    <w:rsid w:val="00D2712D"/>
    <w:rsid w:val="00D272C7"/>
    <w:rsid w:val="00D2790F"/>
    <w:rsid w:val="00D27C59"/>
    <w:rsid w:val="00D27CE7"/>
    <w:rsid w:val="00D305E8"/>
    <w:rsid w:val="00D309B7"/>
    <w:rsid w:val="00D30F49"/>
    <w:rsid w:val="00D31399"/>
    <w:rsid w:val="00D31841"/>
    <w:rsid w:val="00D3193C"/>
    <w:rsid w:val="00D31B16"/>
    <w:rsid w:val="00D31DCD"/>
    <w:rsid w:val="00D32223"/>
    <w:rsid w:val="00D32294"/>
    <w:rsid w:val="00D327D2"/>
    <w:rsid w:val="00D3280E"/>
    <w:rsid w:val="00D32B9E"/>
    <w:rsid w:val="00D3486D"/>
    <w:rsid w:val="00D35322"/>
    <w:rsid w:val="00D3545F"/>
    <w:rsid w:val="00D35C11"/>
    <w:rsid w:val="00D36305"/>
    <w:rsid w:val="00D363FB"/>
    <w:rsid w:val="00D36F40"/>
    <w:rsid w:val="00D37E19"/>
    <w:rsid w:val="00D37ECF"/>
    <w:rsid w:val="00D37FAF"/>
    <w:rsid w:val="00D40FA9"/>
    <w:rsid w:val="00D41BCE"/>
    <w:rsid w:val="00D41BDA"/>
    <w:rsid w:val="00D41E08"/>
    <w:rsid w:val="00D429D3"/>
    <w:rsid w:val="00D42AC2"/>
    <w:rsid w:val="00D42D9F"/>
    <w:rsid w:val="00D42E2F"/>
    <w:rsid w:val="00D42FF2"/>
    <w:rsid w:val="00D435AC"/>
    <w:rsid w:val="00D43C28"/>
    <w:rsid w:val="00D441C4"/>
    <w:rsid w:val="00D44975"/>
    <w:rsid w:val="00D45509"/>
    <w:rsid w:val="00D45B7A"/>
    <w:rsid w:val="00D46404"/>
    <w:rsid w:val="00D4736E"/>
    <w:rsid w:val="00D47428"/>
    <w:rsid w:val="00D47C38"/>
    <w:rsid w:val="00D47EDF"/>
    <w:rsid w:val="00D50389"/>
    <w:rsid w:val="00D50A66"/>
    <w:rsid w:val="00D51364"/>
    <w:rsid w:val="00D51A31"/>
    <w:rsid w:val="00D51D29"/>
    <w:rsid w:val="00D52539"/>
    <w:rsid w:val="00D52CDA"/>
    <w:rsid w:val="00D53007"/>
    <w:rsid w:val="00D53216"/>
    <w:rsid w:val="00D53888"/>
    <w:rsid w:val="00D53A6A"/>
    <w:rsid w:val="00D542FD"/>
    <w:rsid w:val="00D556F6"/>
    <w:rsid w:val="00D55D3B"/>
    <w:rsid w:val="00D56172"/>
    <w:rsid w:val="00D563FA"/>
    <w:rsid w:val="00D567F4"/>
    <w:rsid w:val="00D5731B"/>
    <w:rsid w:val="00D57511"/>
    <w:rsid w:val="00D57937"/>
    <w:rsid w:val="00D579DB"/>
    <w:rsid w:val="00D60056"/>
    <w:rsid w:val="00D60330"/>
    <w:rsid w:val="00D60AF9"/>
    <w:rsid w:val="00D60C51"/>
    <w:rsid w:val="00D61152"/>
    <w:rsid w:val="00D618AC"/>
    <w:rsid w:val="00D61A1B"/>
    <w:rsid w:val="00D61F51"/>
    <w:rsid w:val="00D620A3"/>
    <w:rsid w:val="00D620DA"/>
    <w:rsid w:val="00D62579"/>
    <w:rsid w:val="00D62709"/>
    <w:rsid w:val="00D62732"/>
    <w:rsid w:val="00D629A3"/>
    <w:rsid w:val="00D63BCD"/>
    <w:rsid w:val="00D643B7"/>
    <w:rsid w:val="00D64A6A"/>
    <w:rsid w:val="00D64DB6"/>
    <w:rsid w:val="00D64E48"/>
    <w:rsid w:val="00D64EAA"/>
    <w:rsid w:val="00D651DE"/>
    <w:rsid w:val="00D6593F"/>
    <w:rsid w:val="00D65F71"/>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3792"/>
    <w:rsid w:val="00D7452C"/>
    <w:rsid w:val="00D74AB9"/>
    <w:rsid w:val="00D75A26"/>
    <w:rsid w:val="00D76186"/>
    <w:rsid w:val="00D76968"/>
    <w:rsid w:val="00D7703A"/>
    <w:rsid w:val="00D7758B"/>
    <w:rsid w:val="00D800D0"/>
    <w:rsid w:val="00D806C6"/>
    <w:rsid w:val="00D80FE7"/>
    <w:rsid w:val="00D81355"/>
    <w:rsid w:val="00D81E49"/>
    <w:rsid w:val="00D825D2"/>
    <w:rsid w:val="00D82856"/>
    <w:rsid w:val="00D82F7C"/>
    <w:rsid w:val="00D8350B"/>
    <w:rsid w:val="00D83C03"/>
    <w:rsid w:val="00D83D25"/>
    <w:rsid w:val="00D83DDB"/>
    <w:rsid w:val="00D83EA3"/>
    <w:rsid w:val="00D84871"/>
    <w:rsid w:val="00D84899"/>
    <w:rsid w:val="00D84FB6"/>
    <w:rsid w:val="00D8548E"/>
    <w:rsid w:val="00D85623"/>
    <w:rsid w:val="00D85696"/>
    <w:rsid w:val="00D8571F"/>
    <w:rsid w:val="00D86013"/>
    <w:rsid w:val="00D86533"/>
    <w:rsid w:val="00D8678B"/>
    <w:rsid w:val="00D86C87"/>
    <w:rsid w:val="00D90CC5"/>
    <w:rsid w:val="00D91064"/>
    <w:rsid w:val="00D91F62"/>
    <w:rsid w:val="00D91FA4"/>
    <w:rsid w:val="00D9242B"/>
    <w:rsid w:val="00D9306B"/>
    <w:rsid w:val="00D938D0"/>
    <w:rsid w:val="00D93B48"/>
    <w:rsid w:val="00D93BFB"/>
    <w:rsid w:val="00D9402A"/>
    <w:rsid w:val="00D948D8"/>
    <w:rsid w:val="00D94B4C"/>
    <w:rsid w:val="00D94BD5"/>
    <w:rsid w:val="00D95299"/>
    <w:rsid w:val="00D95437"/>
    <w:rsid w:val="00D956AD"/>
    <w:rsid w:val="00D963C9"/>
    <w:rsid w:val="00D97482"/>
    <w:rsid w:val="00D97920"/>
    <w:rsid w:val="00D97B56"/>
    <w:rsid w:val="00DA0415"/>
    <w:rsid w:val="00DA1263"/>
    <w:rsid w:val="00DA1759"/>
    <w:rsid w:val="00DA1952"/>
    <w:rsid w:val="00DA26BA"/>
    <w:rsid w:val="00DA28F4"/>
    <w:rsid w:val="00DA3348"/>
    <w:rsid w:val="00DA355D"/>
    <w:rsid w:val="00DA3C37"/>
    <w:rsid w:val="00DA46DC"/>
    <w:rsid w:val="00DA499D"/>
    <w:rsid w:val="00DA4E53"/>
    <w:rsid w:val="00DA4F18"/>
    <w:rsid w:val="00DA5784"/>
    <w:rsid w:val="00DA5F24"/>
    <w:rsid w:val="00DB023D"/>
    <w:rsid w:val="00DB0F9A"/>
    <w:rsid w:val="00DB13A8"/>
    <w:rsid w:val="00DB1658"/>
    <w:rsid w:val="00DB16DE"/>
    <w:rsid w:val="00DB20FC"/>
    <w:rsid w:val="00DB2CF6"/>
    <w:rsid w:val="00DB311B"/>
    <w:rsid w:val="00DB3262"/>
    <w:rsid w:val="00DB3411"/>
    <w:rsid w:val="00DB3D5F"/>
    <w:rsid w:val="00DB4306"/>
    <w:rsid w:val="00DB4386"/>
    <w:rsid w:val="00DB4499"/>
    <w:rsid w:val="00DB4702"/>
    <w:rsid w:val="00DB4934"/>
    <w:rsid w:val="00DB49FE"/>
    <w:rsid w:val="00DB4E2B"/>
    <w:rsid w:val="00DB5376"/>
    <w:rsid w:val="00DB58AA"/>
    <w:rsid w:val="00DB5A67"/>
    <w:rsid w:val="00DB5BE8"/>
    <w:rsid w:val="00DB6339"/>
    <w:rsid w:val="00DB6906"/>
    <w:rsid w:val="00DB6939"/>
    <w:rsid w:val="00DB6D91"/>
    <w:rsid w:val="00DB724F"/>
    <w:rsid w:val="00DB75FB"/>
    <w:rsid w:val="00DC14AE"/>
    <w:rsid w:val="00DC17BA"/>
    <w:rsid w:val="00DC1810"/>
    <w:rsid w:val="00DC18FF"/>
    <w:rsid w:val="00DC1AC1"/>
    <w:rsid w:val="00DC2578"/>
    <w:rsid w:val="00DC2AA0"/>
    <w:rsid w:val="00DC2E47"/>
    <w:rsid w:val="00DC415B"/>
    <w:rsid w:val="00DC4C05"/>
    <w:rsid w:val="00DC6323"/>
    <w:rsid w:val="00DC6597"/>
    <w:rsid w:val="00DC6F8A"/>
    <w:rsid w:val="00DD1627"/>
    <w:rsid w:val="00DD19D8"/>
    <w:rsid w:val="00DD1FE5"/>
    <w:rsid w:val="00DD220F"/>
    <w:rsid w:val="00DD249E"/>
    <w:rsid w:val="00DD2F22"/>
    <w:rsid w:val="00DD3276"/>
    <w:rsid w:val="00DD35F5"/>
    <w:rsid w:val="00DD3BBB"/>
    <w:rsid w:val="00DD4316"/>
    <w:rsid w:val="00DD4719"/>
    <w:rsid w:val="00DD4779"/>
    <w:rsid w:val="00DD49A2"/>
    <w:rsid w:val="00DD4CF0"/>
    <w:rsid w:val="00DD5C73"/>
    <w:rsid w:val="00DD6665"/>
    <w:rsid w:val="00DD6680"/>
    <w:rsid w:val="00DD7183"/>
    <w:rsid w:val="00DD7DA0"/>
    <w:rsid w:val="00DE0200"/>
    <w:rsid w:val="00DE03BC"/>
    <w:rsid w:val="00DE04C3"/>
    <w:rsid w:val="00DE1194"/>
    <w:rsid w:val="00DE1519"/>
    <w:rsid w:val="00DE174C"/>
    <w:rsid w:val="00DE1756"/>
    <w:rsid w:val="00DE18E9"/>
    <w:rsid w:val="00DE1F9A"/>
    <w:rsid w:val="00DE2078"/>
    <w:rsid w:val="00DE255A"/>
    <w:rsid w:val="00DE307F"/>
    <w:rsid w:val="00DE318E"/>
    <w:rsid w:val="00DE322C"/>
    <w:rsid w:val="00DE4111"/>
    <w:rsid w:val="00DE501C"/>
    <w:rsid w:val="00DE5824"/>
    <w:rsid w:val="00DE61C6"/>
    <w:rsid w:val="00DE62BC"/>
    <w:rsid w:val="00DE67D0"/>
    <w:rsid w:val="00DE6833"/>
    <w:rsid w:val="00DE6A1A"/>
    <w:rsid w:val="00DE6F34"/>
    <w:rsid w:val="00DE7301"/>
    <w:rsid w:val="00DE7EF5"/>
    <w:rsid w:val="00DF023C"/>
    <w:rsid w:val="00DF02BC"/>
    <w:rsid w:val="00DF08D4"/>
    <w:rsid w:val="00DF0B23"/>
    <w:rsid w:val="00DF119C"/>
    <w:rsid w:val="00DF1851"/>
    <w:rsid w:val="00DF2B83"/>
    <w:rsid w:val="00DF34DE"/>
    <w:rsid w:val="00DF38F5"/>
    <w:rsid w:val="00DF3AA8"/>
    <w:rsid w:val="00DF586F"/>
    <w:rsid w:val="00DF5A0A"/>
    <w:rsid w:val="00DF5CEF"/>
    <w:rsid w:val="00DF6393"/>
    <w:rsid w:val="00DF7419"/>
    <w:rsid w:val="00DF75FB"/>
    <w:rsid w:val="00DF7E3E"/>
    <w:rsid w:val="00E006E3"/>
    <w:rsid w:val="00E00A9F"/>
    <w:rsid w:val="00E01404"/>
    <w:rsid w:val="00E015E4"/>
    <w:rsid w:val="00E01FA9"/>
    <w:rsid w:val="00E021FD"/>
    <w:rsid w:val="00E02B04"/>
    <w:rsid w:val="00E02C72"/>
    <w:rsid w:val="00E03388"/>
    <w:rsid w:val="00E03563"/>
    <w:rsid w:val="00E04958"/>
    <w:rsid w:val="00E05337"/>
    <w:rsid w:val="00E05447"/>
    <w:rsid w:val="00E06053"/>
    <w:rsid w:val="00E1075A"/>
    <w:rsid w:val="00E108BB"/>
    <w:rsid w:val="00E109DF"/>
    <w:rsid w:val="00E113F8"/>
    <w:rsid w:val="00E115D8"/>
    <w:rsid w:val="00E117FE"/>
    <w:rsid w:val="00E11D71"/>
    <w:rsid w:val="00E122E0"/>
    <w:rsid w:val="00E12DE7"/>
    <w:rsid w:val="00E12FE2"/>
    <w:rsid w:val="00E13224"/>
    <w:rsid w:val="00E14398"/>
    <w:rsid w:val="00E1509D"/>
    <w:rsid w:val="00E150F5"/>
    <w:rsid w:val="00E152BA"/>
    <w:rsid w:val="00E15446"/>
    <w:rsid w:val="00E15628"/>
    <w:rsid w:val="00E15878"/>
    <w:rsid w:val="00E15A37"/>
    <w:rsid w:val="00E15DB6"/>
    <w:rsid w:val="00E16040"/>
    <w:rsid w:val="00E163BA"/>
    <w:rsid w:val="00E16AD7"/>
    <w:rsid w:val="00E16C28"/>
    <w:rsid w:val="00E171E5"/>
    <w:rsid w:val="00E17C90"/>
    <w:rsid w:val="00E17CEB"/>
    <w:rsid w:val="00E17FBC"/>
    <w:rsid w:val="00E211B1"/>
    <w:rsid w:val="00E2138B"/>
    <w:rsid w:val="00E22416"/>
    <w:rsid w:val="00E239B6"/>
    <w:rsid w:val="00E23BEE"/>
    <w:rsid w:val="00E2453A"/>
    <w:rsid w:val="00E2482E"/>
    <w:rsid w:val="00E259AC"/>
    <w:rsid w:val="00E25ED8"/>
    <w:rsid w:val="00E26629"/>
    <w:rsid w:val="00E2673B"/>
    <w:rsid w:val="00E26EC5"/>
    <w:rsid w:val="00E26EF9"/>
    <w:rsid w:val="00E274A8"/>
    <w:rsid w:val="00E27575"/>
    <w:rsid w:val="00E2786F"/>
    <w:rsid w:val="00E278C9"/>
    <w:rsid w:val="00E27F28"/>
    <w:rsid w:val="00E30096"/>
    <w:rsid w:val="00E304A5"/>
    <w:rsid w:val="00E3064C"/>
    <w:rsid w:val="00E3158D"/>
    <w:rsid w:val="00E323F5"/>
    <w:rsid w:val="00E324AC"/>
    <w:rsid w:val="00E32E27"/>
    <w:rsid w:val="00E32EFD"/>
    <w:rsid w:val="00E33569"/>
    <w:rsid w:val="00E33BD4"/>
    <w:rsid w:val="00E33F28"/>
    <w:rsid w:val="00E343B9"/>
    <w:rsid w:val="00E34FD3"/>
    <w:rsid w:val="00E34FDD"/>
    <w:rsid w:val="00E34FF4"/>
    <w:rsid w:val="00E35CC3"/>
    <w:rsid w:val="00E35D21"/>
    <w:rsid w:val="00E3629B"/>
    <w:rsid w:val="00E3684C"/>
    <w:rsid w:val="00E36CA5"/>
    <w:rsid w:val="00E371EC"/>
    <w:rsid w:val="00E37997"/>
    <w:rsid w:val="00E37D7E"/>
    <w:rsid w:val="00E37E6C"/>
    <w:rsid w:val="00E40594"/>
    <w:rsid w:val="00E4069B"/>
    <w:rsid w:val="00E40778"/>
    <w:rsid w:val="00E410CA"/>
    <w:rsid w:val="00E411E1"/>
    <w:rsid w:val="00E41494"/>
    <w:rsid w:val="00E418E6"/>
    <w:rsid w:val="00E418F2"/>
    <w:rsid w:val="00E420D7"/>
    <w:rsid w:val="00E42E32"/>
    <w:rsid w:val="00E431B3"/>
    <w:rsid w:val="00E432E5"/>
    <w:rsid w:val="00E445C9"/>
    <w:rsid w:val="00E4493D"/>
    <w:rsid w:val="00E45B39"/>
    <w:rsid w:val="00E45C87"/>
    <w:rsid w:val="00E45EA2"/>
    <w:rsid w:val="00E46766"/>
    <w:rsid w:val="00E46AE9"/>
    <w:rsid w:val="00E46BB4"/>
    <w:rsid w:val="00E4781C"/>
    <w:rsid w:val="00E50467"/>
    <w:rsid w:val="00E51388"/>
    <w:rsid w:val="00E514E3"/>
    <w:rsid w:val="00E51650"/>
    <w:rsid w:val="00E51ADC"/>
    <w:rsid w:val="00E5208D"/>
    <w:rsid w:val="00E52356"/>
    <w:rsid w:val="00E526B3"/>
    <w:rsid w:val="00E52804"/>
    <w:rsid w:val="00E52CFB"/>
    <w:rsid w:val="00E5336E"/>
    <w:rsid w:val="00E53A64"/>
    <w:rsid w:val="00E53D96"/>
    <w:rsid w:val="00E5545D"/>
    <w:rsid w:val="00E557FA"/>
    <w:rsid w:val="00E55923"/>
    <w:rsid w:val="00E55F7C"/>
    <w:rsid w:val="00E5607C"/>
    <w:rsid w:val="00E56402"/>
    <w:rsid w:val="00E577A7"/>
    <w:rsid w:val="00E57D96"/>
    <w:rsid w:val="00E60595"/>
    <w:rsid w:val="00E606FA"/>
    <w:rsid w:val="00E60844"/>
    <w:rsid w:val="00E60A6F"/>
    <w:rsid w:val="00E60E62"/>
    <w:rsid w:val="00E610FD"/>
    <w:rsid w:val="00E611E5"/>
    <w:rsid w:val="00E613F0"/>
    <w:rsid w:val="00E622CD"/>
    <w:rsid w:val="00E622F4"/>
    <w:rsid w:val="00E62445"/>
    <w:rsid w:val="00E6256A"/>
    <w:rsid w:val="00E62C7C"/>
    <w:rsid w:val="00E62C92"/>
    <w:rsid w:val="00E630F0"/>
    <w:rsid w:val="00E6391F"/>
    <w:rsid w:val="00E641FC"/>
    <w:rsid w:val="00E64287"/>
    <w:rsid w:val="00E645FB"/>
    <w:rsid w:val="00E64658"/>
    <w:rsid w:val="00E64C07"/>
    <w:rsid w:val="00E64CD8"/>
    <w:rsid w:val="00E65759"/>
    <w:rsid w:val="00E658E6"/>
    <w:rsid w:val="00E65CE3"/>
    <w:rsid w:val="00E65E06"/>
    <w:rsid w:val="00E6619E"/>
    <w:rsid w:val="00E66360"/>
    <w:rsid w:val="00E67305"/>
    <w:rsid w:val="00E673E2"/>
    <w:rsid w:val="00E67990"/>
    <w:rsid w:val="00E67EF9"/>
    <w:rsid w:val="00E67F02"/>
    <w:rsid w:val="00E70124"/>
    <w:rsid w:val="00E70C58"/>
    <w:rsid w:val="00E710B9"/>
    <w:rsid w:val="00E71C58"/>
    <w:rsid w:val="00E7215C"/>
    <w:rsid w:val="00E72636"/>
    <w:rsid w:val="00E731FF"/>
    <w:rsid w:val="00E73226"/>
    <w:rsid w:val="00E74425"/>
    <w:rsid w:val="00E744EB"/>
    <w:rsid w:val="00E74FC1"/>
    <w:rsid w:val="00E752F3"/>
    <w:rsid w:val="00E7547C"/>
    <w:rsid w:val="00E75C2F"/>
    <w:rsid w:val="00E76566"/>
    <w:rsid w:val="00E76BE7"/>
    <w:rsid w:val="00E76D43"/>
    <w:rsid w:val="00E7788D"/>
    <w:rsid w:val="00E77A63"/>
    <w:rsid w:val="00E77F68"/>
    <w:rsid w:val="00E80031"/>
    <w:rsid w:val="00E8006D"/>
    <w:rsid w:val="00E8083A"/>
    <w:rsid w:val="00E8110C"/>
    <w:rsid w:val="00E81183"/>
    <w:rsid w:val="00E817EB"/>
    <w:rsid w:val="00E8184A"/>
    <w:rsid w:val="00E81CF8"/>
    <w:rsid w:val="00E825EF"/>
    <w:rsid w:val="00E82FFE"/>
    <w:rsid w:val="00E83A98"/>
    <w:rsid w:val="00E83C54"/>
    <w:rsid w:val="00E83E99"/>
    <w:rsid w:val="00E84FA0"/>
    <w:rsid w:val="00E85C58"/>
    <w:rsid w:val="00E85CF1"/>
    <w:rsid w:val="00E8602D"/>
    <w:rsid w:val="00E86082"/>
    <w:rsid w:val="00E86369"/>
    <w:rsid w:val="00E87269"/>
    <w:rsid w:val="00E87A9B"/>
    <w:rsid w:val="00E90264"/>
    <w:rsid w:val="00E902C2"/>
    <w:rsid w:val="00E909F8"/>
    <w:rsid w:val="00E91991"/>
    <w:rsid w:val="00E92450"/>
    <w:rsid w:val="00E92555"/>
    <w:rsid w:val="00E92B67"/>
    <w:rsid w:val="00E93075"/>
    <w:rsid w:val="00E93492"/>
    <w:rsid w:val="00E93ACB"/>
    <w:rsid w:val="00E941A7"/>
    <w:rsid w:val="00E943A5"/>
    <w:rsid w:val="00E94D80"/>
    <w:rsid w:val="00E950B8"/>
    <w:rsid w:val="00E96022"/>
    <w:rsid w:val="00E9604F"/>
    <w:rsid w:val="00E96280"/>
    <w:rsid w:val="00E96849"/>
    <w:rsid w:val="00E968D6"/>
    <w:rsid w:val="00E97649"/>
    <w:rsid w:val="00EA0281"/>
    <w:rsid w:val="00EA02C5"/>
    <w:rsid w:val="00EA0411"/>
    <w:rsid w:val="00EA0ACF"/>
    <w:rsid w:val="00EA0D81"/>
    <w:rsid w:val="00EA131C"/>
    <w:rsid w:val="00EA1DF4"/>
    <w:rsid w:val="00EA1E62"/>
    <w:rsid w:val="00EA28CA"/>
    <w:rsid w:val="00EA291E"/>
    <w:rsid w:val="00EA3E22"/>
    <w:rsid w:val="00EA401B"/>
    <w:rsid w:val="00EA40B1"/>
    <w:rsid w:val="00EA413C"/>
    <w:rsid w:val="00EA4643"/>
    <w:rsid w:val="00EA4817"/>
    <w:rsid w:val="00EA60B5"/>
    <w:rsid w:val="00EA6254"/>
    <w:rsid w:val="00EA62EF"/>
    <w:rsid w:val="00EA675A"/>
    <w:rsid w:val="00EA71AF"/>
    <w:rsid w:val="00EA73B7"/>
    <w:rsid w:val="00EA7A7E"/>
    <w:rsid w:val="00EA7A81"/>
    <w:rsid w:val="00EB0A47"/>
    <w:rsid w:val="00EB0B69"/>
    <w:rsid w:val="00EB0C31"/>
    <w:rsid w:val="00EB1598"/>
    <w:rsid w:val="00EB1763"/>
    <w:rsid w:val="00EB1846"/>
    <w:rsid w:val="00EB1CE7"/>
    <w:rsid w:val="00EB1E66"/>
    <w:rsid w:val="00EB2137"/>
    <w:rsid w:val="00EB3998"/>
    <w:rsid w:val="00EB3E73"/>
    <w:rsid w:val="00EB476F"/>
    <w:rsid w:val="00EB50EA"/>
    <w:rsid w:val="00EB5F7B"/>
    <w:rsid w:val="00EB6C50"/>
    <w:rsid w:val="00EB78A5"/>
    <w:rsid w:val="00EC0EE6"/>
    <w:rsid w:val="00EC0F26"/>
    <w:rsid w:val="00EC1383"/>
    <w:rsid w:val="00EC181A"/>
    <w:rsid w:val="00EC1D35"/>
    <w:rsid w:val="00EC22E9"/>
    <w:rsid w:val="00EC301A"/>
    <w:rsid w:val="00EC39FE"/>
    <w:rsid w:val="00EC3B1B"/>
    <w:rsid w:val="00EC3DCA"/>
    <w:rsid w:val="00EC3E41"/>
    <w:rsid w:val="00EC3F89"/>
    <w:rsid w:val="00EC44BA"/>
    <w:rsid w:val="00EC4A65"/>
    <w:rsid w:val="00EC4BD0"/>
    <w:rsid w:val="00EC4BE3"/>
    <w:rsid w:val="00EC4FC4"/>
    <w:rsid w:val="00EC5B4A"/>
    <w:rsid w:val="00EC694A"/>
    <w:rsid w:val="00EC6DA4"/>
    <w:rsid w:val="00EC7B03"/>
    <w:rsid w:val="00EC7F11"/>
    <w:rsid w:val="00EC7F2D"/>
    <w:rsid w:val="00ED08AA"/>
    <w:rsid w:val="00ED13C8"/>
    <w:rsid w:val="00ED1586"/>
    <w:rsid w:val="00ED2755"/>
    <w:rsid w:val="00ED2958"/>
    <w:rsid w:val="00ED2BA6"/>
    <w:rsid w:val="00ED2DD1"/>
    <w:rsid w:val="00ED30C7"/>
    <w:rsid w:val="00ED3A90"/>
    <w:rsid w:val="00ED3D67"/>
    <w:rsid w:val="00ED3D8C"/>
    <w:rsid w:val="00ED464C"/>
    <w:rsid w:val="00ED48C7"/>
    <w:rsid w:val="00ED4A4B"/>
    <w:rsid w:val="00ED536D"/>
    <w:rsid w:val="00ED6331"/>
    <w:rsid w:val="00ED6CCE"/>
    <w:rsid w:val="00ED761E"/>
    <w:rsid w:val="00EE03B4"/>
    <w:rsid w:val="00EE0624"/>
    <w:rsid w:val="00EE06FD"/>
    <w:rsid w:val="00EE0BEB"/>
    <w:rsid w:val="00EE1ABB"/>
    <w:rsid w:val="00EE1ACD"/>
    <w:rsid w:val="00EE1CA6"/>
    <w:rsid w:val="00EE1E06"/>
    <w:rsid w:val="00EE2277"/>
    <w:rsid w:val="00EE2452"/>
    <w:rsid w:val="00EE2957"/>
    <w:rsid w:val="00EE451B"/>
    <w:rsid w:val="00EE4A63"/>
    <w:rsid w:val="00EE4BA3"/>
    <w:rsid w:val="00EE4D69"/>
    <w:rsid w:val="00EE4FE4"/>
    <w:rsid w:val="00EE67C3"/>
    <w:rsid w:val="00EE6EEF"/>
    <w:rsid w:val="00EE722F"/>
    <w:rsid w:val="00EE735B"/>
    <w:rsid w:val="00EE7850"/>
    <w:rsid w:val="00EE7A4C"/>
    <w:rsid w:val="00EE7C2E"/>
    <w:rsid w:val="00EF00E6"/>
    <w:rsid w:val="00EF06B0"/>
    <w:rsid w:val="00EF0988"/>
    <w:rsid w:val="00EF0AAF"/>
    <w:rsid w:val="00EF0E05"/>
    <w:rsid w:val="00EF1255"/>
    <w:rsid w:val="00EF1BA5"/>
    <w:rsid w:val="00EF2BB9"/>
    <w:rsid w:val="00EF2C93"/>
    <w:rsid w:val="00EF36A8"/>
    <w:rsid w:val="00EF37BA"/>
    <w:rsid w:val="00EF4305"/>
    <w:rsid w:val="00EF43BC"/>
    <w:rsid w:val="00EF45C4"/>
    <w:rsid w:val="00EF4711"/>
    <w:rsid w:val="00EF47A5"/>
    <w:rsid w:val="00EF47CC"/>
    <w:rsid w:val="00EF4B55"/>
    <w:rsid w:val="00EF4B58"/>
    <w:rsid w:val="00EF4DA1"/>
    <w:rsid w:val="00EF592B"/>
    <w:rsid w:val="00EF5B13"/>
    <w:rsid w:val="00EF638E"/>
    <w:rsid w:val="00EF65D3"/>
    <w:rsid w:val="00EF7259"/>
    <w:rsid w:val="00EF75D0"/>
    <w:rsid w:val="00EF76C3"/>
    <w:rsid w:val="00EF7F41"/>
    <w:rsid w:val="00F0006D"/>
    <w:rsid w:val="00F001F5"/>
    <w:rsid w:val="00F0029A"/>
    <w:rsid w:val="00F01339"/>
    <w:rsid w:val="00F0222B"/>
    <w:rsid w:val="00F04489"/>
    <w:rsid w:val="00F05519"/>
    <w:rsid w:val="00F05536"/>
    <w:rsid w:val="00F05B0E"/>
    <w:rsid w:val="00F05BC8"/>
    <w:rsid w:val="00F06204"/>
    <w:rsid w:val="00F0630F"/>
    <w:rsid w:val="00F068B9"/>
    <w:rsid w:val="00F06F52"/>
    <w:rsid w:val="00F07E53"/>
    <w:rsid w:val="00F1003D"/>
    <w:rsid w:val="00F1018C"/>
    <w:rsid w:val="00F10970"/>
    <w:rsid w:val="00F10CF4"/>
    <w:rsid w:val="00F1101A"/>
    <w:rsid w:val="00F1154A"/>
    <w:rsid w:val="00F11A18"/>
    <w:rsid w:val="00F11B9E"/>
    <w:rsid w:val="00F11C8B"/>
    <w:rsid w:val="00F1227A"/>
    <w:rsid w:val="00F13970"/>
    <w:rsid w:val="00F14128"/>
    <w:rsid w:val="00F1477E"/>
    <w:rsid w:val="00F14988"/>
    <w:rsid w:val="00F15586"/>
    <w:rsid w:val="00F163B0"/>
    <w:rsid w:val="00F17215"/>
    <w:rsid w:val="00F173A4"/>
    <w:rsid w:val="00F177FC"/>
    <w:rsid w:val="00F20B8D"/>
    <w:rsid w:val="00F210A1"/>
    <w:rsid w:val="00F212C4"/>
    <w:rsid w:val="00F21B5A"/>
    <w:rsid w:val="00F21D9C"/>
    <w:rsid w:val="00F22F72"/>
    <w:rsid w:val="00F22FC5"/>
    <w:rsid w:val="00F2393D"/>
    <w:rsid w:val="00F23B11"/>
    <w:rsid w:val="00F23E6D"/>
    <w:rsid w:val="00F24367"/>
    <w:rsid w:val="00F25D42"/>
    <w:rsid w:val="00F266A6"/>
    <w:rsid w:val="00F26D70"/>
    <w:rsid w:val="00F27BAF"/>
    <w:rsid w:val="00F308AF"/>
    <w:rsid w:val="00F310F9"/>
    <w:rsid w:val="00F31395"/>
    <w:rsid w:val="00F31B4C"/>
    <w:rsid w:val="00F31FC3"/>
    <w:rsid w:val="00F3281F"/>
    <w:rsid w:val="00F32D35"/>
    <w:rsid w:val="00F32EAB"/>
    <w:rsid w:val="00F33467"/>
    <w:rsid w:val="00F3379E"/>
    <w:rsid w:val="00F3439A"/>
    <w:rsid w:val="00F345B3"/>
    <w:rsid w:val="00F34882"/>
    <w:rsid w:val="00F348A7"/>
    <w:rsid w:val="00F34C7B"/>
    <w:rsid w:val="00F35012"/>
    <w:rsid w:val="00F357CB"/>
    <w:rsid w:val="00F35A0C"/>
    <w:rsid w:val="00F36D2F"/>
    <w:rsid w:val="00F36E7C"/>
    <w:rsid w:val="00F376E5"/>
    <w:rsid w:val="00F3787B"/>
    <w:rsid w:val="00F37AB6"/>
    <w:rsid w:val="00F40309"/>
    <w:rsid w:val="00F404B1"/>
    <w:rsid w:val="00F408C2"/>
    <w:rsid w:val="00F42019"/>
    <w:rsid w:val="00F423A3"/>
    <w:rsid w:val="00F44125"/>
    <w:rsid w:val="00F449E6"/>
    <w:rsid w:val="00F45022"/>
    <w:rsid w:val="00F455DC"/>
    <w:rsid w:val="00F4571D"/>
    <w:rsid w:val="00F45E66"/>
    <w:rsid w:val="00F45FD8"/>
    <w:rsid w:val="00F46325"/>
    <w:rsid w:val="00F469DF"/>
    <w:rsid w:val="00F46A95"/>
    <w:rsid w:val="00F46AC3"/>
    <w:rsid w:val="00F473A3"/>
    <w:rsid w:val="00F47DDD"/>
    <w:rsid w:val="00F50CEA"/>
    <w:rsid w:val="00F50D7E"/>
    <w:rsid w:val="00F50EA5"/>
    <w:rsid w:val="00F51003"/>
    <w:rsid w:val="00F51F84"/>
    <w:rsid w:val="00F52E02"/>
    <w:rsid w:val="00F530AA"/>
    <w:rsid w:val="00F53203"/>
    <w:rsid w:val="00F53EFD"/>
    <w:rsid w:val="00F54447"/>
    <w:rsid w:val="00F548C9"/>
    <w:rsid w:val="00F55840"/>
    <w:rsid w:val="00F55D8B"/>
    <w:rsid w:val="00F56CAC"/>
    <w:rsid w:val="00F56D0E"/>
    <w:rsid w:val="00F5733E"/>
    <w:rsid w:val="00F57E30"/>
    <w:rsid w:val="00F602BB"/>
    <w:rsid w:val="00F60B5D"/>
    <w:rsid w:val="00F60FB8"/>
    <w:rsid w:val="00F61318"/>
    <w:rsid w:val="00F615BD"/>
    <w:rsid w:val="00F61667"/>
    <w:rsid w:val="00F61984"/>
    <w:rsid w:val="00F6246A"/>
    <w:rsid w:val="00F624CC"/>
    <w:rsid w:val="00F625A8"/>
    <w:rsid w:val="00F626C3"/>
    <w:rsid w:val="00F62C2D"/>
    <w:rsid w:val="00F631BF"/>
    <w:rsid w:val="00F63819"/>
    <w:rsid w:val="00F63E71"/>
    <w:rsid w:val="00F64538"/>
    <w:rsid w:val="00F6458D"/>
    <w:rsid w:val="00F64721"/>
    <w:rsid w:val="00F64CDB"/>
    <w:rsid w:val="00F6643E"/>
    <w:rsid w:val="00F66850"/>
    <w:rsid w:val="00F66E22"/>
    <w:rsid w:val="00F67256"/>
    <w:rsid w:val="00F67840"/>
    <w:rsid w:val="00F7148B"/>
    <w:rsid w:val="00F72118"/>
    <w:rsid w:val="00F723D8"/>
    <w:rsid w:val="00F72770"/>
    <w:rsid w:val="00F72E51"/>
    <w:rsid w:val="00F744E6"/>
    <w:rsid w:val="00F746BF"/>
    <w:rsid w:val="00F74823"/>
    <w:rsid w:val="00F74CCB"/>
    <w:rsid w:val="00F751D0"/>
    <w:rsid w:val="00F75AF0"/>
    <w:rsid w:val="00F76238"/>
    <w:rsid w:val="00F765F5"/>
    <w:rsid w:val="00F76E36"/>
    <w:rsid w:val="00F7708A"/>
    <w:rsid w:val="00F77AFB"/>
    <w:rsid w:val="00F8084B"/>
    <w:rsid w:val="00F815C7"/>
    <w:rsid w:val="00F818FA"/>
    <w:rsid w:val="00F81A86"/>
    <w:rsid w:val="00F81F1E"/>
    <w:rsid w:val="00F8251E"/>
    <w:rsid w:val="00F8252E"/>
    <w:rsid w:val="00F83005"/>
    <w:rsid w:val="00F830AC"/>
    <w:rsid w:val="00F830B3"/>
    <w:rsid w:val="00F83E6A"/>
    <w:rsid w:val="00F83EE4"/>
    <w:rsid w:val="00F841DE"/>
    <w:rsid w:val="00F842F6"/>
    <w:rsid w:val="00F851B7"/>
    <w:rsid w:val="00F85778"/>
    <w:rsid w:val="00F8647B"/>
    <w:rsid w:val="00F86A00"/>
    <w:rsid w:val="00F86A4B"/>
    <w:rsid w:val="00F86BFE"/>
    <w:rsid w:val="00F86E5D"/>
    <w:rsid w:val="00F872D6"/>
    <w:rsid w:val="00F87529"/>
    <w:rsid w:val="00F878EA"/>
    <w:rsid w:val="00F90029"/>
    <w:rsid w:val="00F903F1"/>
    <w:rsid w:val="00F90854"/>
    <w:rsid w:val="00F90E81"/>
    <w:rsid w:val="00F910FA"/>
    <w:rsid w:val="00F92B17"/>
    <w:rsid w:val="00F92DC3"/>
    <w:rsid w:val="00F92E4F"/>
    <w:rsid w:val="00F93177"/>
    <w:rsid w:val="00F936B7"/>
    <w:rsid w:val="00F93719"/>
    <w:rsid w:val="00F9388A"/>
    <w:rsid w:val="00F94658"/>
    <w:rsid w:val="00F948EE"/>
    <w:rsid w:val="00F94AA5"/>
    <w:rsid w:val="00F94CD5"/>
    <w:rsid w:val="00F94CF2"/>
    <w:rsid w:val="00F94D17"/>
    <w:rsid w:val="00F94FEA"/>
    <w:rsid w:val="00F9597B"/>
    <w:rsid w:val="00F95A31"/>
    <w:rsid w:val="00F9608D"/>
    <w:rsid w:val="00F96143"/>
    <w:rsid w:val="00F964B4"/>
    <w:rsid w:val="00F96AD2"/>
    <w:rsid w:val="00F96B69"/>
    <w:rsid w:val="00F96CEB"/>
    <w:rsid w:val="00F977DA"/>
    <w:rsid w:val="00F97D6A"/>
    <w:rsid w:val="00FA016B"/>
    <w:rsid w:val="00FA0409"/>
    <w:rsid w:val="00FA05F7"/>
    <w:rsid w:val="00FA0730"/>
    <w:rsid w:val="00FA1952"/>
    <w:rsid w:val="00FA21AF"/>
    <w:rsid w:val="00FA2587"/>
    <w:rsid w:val="00FA26B3"/>
    <w:rsid w:val="00FA2F50"/>
    <w:rsid w:val="00FA3E07"/>
    <w:rsid w:val="00FA4A30"/>
    <w:rsid w:val="00FA56B9"/>
    <w:rsid w:val="00FA573E"/>
    <w:rsid w:val="00FA5F02"/>
    <w:rsid w:val="00FA5F86"/>
    <w:rsid w:val="00FA6295"/>
    <w:rsid w:val="00FA64BB"/>
    <w:rsid w:val="00FA6AAE"/>
    <w:rsid w:val="00FA6C9E"/>
    <w:rsid w:val="00FA6F06"/>
    <w:rsid w:val="00FA7132"/>
    <w:rsid w:val="00FA78EF"/>
    <w:rsid w:val="00FB052F"/>
    <w:rsid w:val="00FB0D96"/>
    <w:rsid w:val="00FB1B29"/>
    <w:rsid w:val="00FB2E47"/>
    <w:rsid w:val="00FB2E66"/>
    <w:rsid w:val="00FB367B"/>
    <w:rsid w:val="00FB3D0E"/>
    <w:rsid w:val="00FB4317"/>
    <w:rsid w:val="00FB449C"/>
    <w:rsid w:val="00FB51EA"/>
    <w:rsid w:val="00FB530C"/>
    <w:rsid w:val="00FB54D1"/>
    <w:rsid w:val="00FB5757"/>
    <w:rsid w:val="00FB58D8"/>
    <w:rsid w:val="00FB5946"/>
    <w:rsid w:val="00FB5A7C"/>
    <w:rsid w:val="00FB5BE8"/>
    <w:rsid w:val="00FB5D61"/>
    <w:rsid w:val="00FB644A"/>
    <w:rsid w:val="00FB6541"/>
    <w:rsid w:val="00FB6D07"/>
    <w:rsid w:val="00FB7CE1"/>
    <w:rsid w:val="00FC01F0"/>
    <w:rsid w:val="00FC0216"/>
    <w:rsid w:val="00FC0276"/>
    <w:rsid w:val="00FC0696"/>
    <w:rsid w:val="00FC1680"/>
    <w:rsid w:val="00FC1B43"/>
    <w:rsid w:val="00FC240A"/>
    <w:rsid w:val="00FC27EA"/>
    <w:rsid w:val="00FC3452"/>
    <w:rsid w:val="00FC377C"/>
    <w:rsid w:val="00FC3D46"/>
    <w:rsid w:val="00FC4A67"/>
    <w:rsid w:val="00FC4C83"/>
    <w:rsid w:val="00FC4E44"/>
    <w:rsid w:val="00FC6BA8"/>
    <w:rsid w:val="00FC72D6"/>
    <w:rsid w:val="00FC7860"/>
    <w:rsid w:val="00FC7B3A"/>
    <w:rsid w:val="00FD0C23"/>
    <w:rsid w:val="00FD0E78"/>
    <w:rsid w:val="00FD10D9"/>
    <w:rsid w:val="00FD173A"/>
    <w:rsid w:val="00FD197F"/>
    <w:rsid w:val="00FD1DF0"/>
    <w:rsid w:val="00FD1E97"/>
    <w:rsid w:val="00FD27CD"/>
    <w:rsid w:val="00FD2E08"/>
    <w:rsid w:val="00FD2FD0"/>
    <w:rsid w:val="00FD315A"/>
    <w:rsid w:val="00FD32C7"/>
    <w:rsid w:val="00FD3557"/>
    <w:rsid w:val="00FD355B"/>
    <w:rsid w:val="00FD3677"/>
    <w:rsid w:val="00FD3708"/>
    <w:rsid w:val="00FD3AC5"/>
    <w:rsid w:val="00FD3CEC"/>
    <w:rsid w:val="00FD4182"/>
    <w:rsid w:val="00FD4650"/>
    <w:rsid w:val="00FD4F07"/>
    <w:rsid w:val="00FD5A35"/>
    <w:rsid w:val="00FD5A99"/>
    <w:rsid w:val="00FD5FC1"/>
    <w:rsid w:val="00FD6018"/>
    <w:rsid w:val="00FD60FD"/>
    <w:rsid w:val="00FD6AE9"/>
    <w:rsid w:val="00FD6C0E"/>
    <w:rsid w:val="00FD76E8"/>
    <w:rsid w:val="00FD7996"/>
    <w:rsid w:val="00FD7EB1"/>
    <w:rsid w:val="00FE07DE"/>
    <w:rsid w:val="00FE07FD"/>
    <w:rsid w:val="00FE168E"/>
    <w:rsid w:val="00FE252A"/>
    <w:rsid w:val="00FE271D"/>
    <w:rsid w:val="00FE2C1C"/>
    <w:rsid w:val="00FE2F2F"/>
    <w:rsid w:val="00FE3142"/>
    <w:rsid w:val="00FE323E"/>
    <w:rsid w:val="00FE3524"/>
    <w:rsid w:val="00FE3762"/>
    <w:rsid w:val="00FE3CB6"/>
    <w:rsid w:val="00FE4424"/>
    <w:rsid w:val="00FE478E"/>
    <w:rsid w:val="00FE49F0"/>
    <w:rsid w:val="00FE4D6A"/>
    <w:rsid w:val="00FE55C1"/>
    <w:rsid w:val="00FE58E1"/>
    <w:rsid w:val="00FE5A90"/>
    <w:rsid w:val="00FE5E1E"/>
    <w:rsid w:val="00FE6138"/>
    <w:rsid w:val="00FE63F7"/>
    <w:rsid w:val="00FE6883"/>
    <w:rsid w:val="00FE6F9E"/>
    <w:rsid w:val="00FE749E"/>
    <w:rsid w:val="00FE7740"/>
    <w:rsid w:val="00FE78A6"/>
    <w:rsid w:val="00FE79C0"/>
    <w:rsid w:val="00FE7F8F"/>
    <w:rsid w:val="00FF0068"/>
    <w:rsid w:val="00FF0978"/>
    <w:rsid w:val="00FF0D62"/>
    <w:rsid w:val="00FF1079"/>
    <w:rsid w:val="00FF1A08"/>
    <w:rsid w:val="00FF1B09"/>
    <w:rsid w:val="00FF1CC6"/>
    <w:rsid w:val="00FF200A"/>
    <w:rsid w:val="00FF275C"/>
    <w:rsid w:val="00FF2AEA"/>
    <w:rsid w:val="00FF2B0E"/>
    <w:rsid w:val="00FF31AD"/>
    <w:rsid w:val="00FF36A3"/>
    <w:rsid w:val="00FF3902"/>
    <w:rsid w:val="00FF404B"/>
    <w:rsid w:val="00FF41A5"/>
    <w:rsid w:val="00FF43B2"/>
    <w:rsid w:val="00FF4849"/>
    <w:rsid w:val="00FF48DC"/>
    <w:rsid w:val="00FF4DBC"/>
    <w:rsid w:val="00FF4E7E"/>
    <w:rsid w:val="00FF5ED0"/>
    <w:rsid w:val="00FF66D9"/>
    <w:rsid w:val="00FF672E"/>
    <w:rsid w:val="00FF6A79"/>
    <w:rsid w:val="00FF6A8B"/>
    <w:rsid w:val="00FF6D36"/>
    <w:rsid w:val="00FF6F3D"/>
    <w:rsid w:val="00FF6F52"/>
    <w:rsid w:val="00FF6FB3"/>
    <w:rsid w:val="00FF7675"/>
    <w:rsid w:val="00FF7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35183C"/>
  <w15:chartTrackingRefBased/>
  <w15:docId w15:val="{F648D5C8-B368-40D2-89DF-3AF40573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213894"/>
    <w:pPr>
      <w:widowControl w:val="0"/>
      <w:ind w:left="72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34"/>
    <w:qFormat/>
    <w:rsid w:val="00DA3348"/>
  </w:style>
  <w:style w:type="character" w:customStyle="1" w:styleId="DecisionBodyChar">
    <w:name w:val="DecisionBody Char"/>
    <w:link w:val="DecisionBody"/>
    <w:locked/>
    <w:rsid w:val="00213894"/>
    <w:rPr>
      <w:rFonts w:ascii="Arial" w:hAnsi="Arial"/>
      <w:bCs/>
      <w:sz w:val="24"/>
      <w:szCs w:val="24"/>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paragraph" w:customStyle="1" w:styleId="MTBody">
    <w:name w:val="MTBody"/>
    <w:basedOn w:val="Normal"/>
    <w:link w:val="MTBodyChar"/>
    <w:rsid w:val="00B70969"/>
    <w:pPr>
      <w:spacing w:after="240" w:line="240" w:lineRule="auto"/>
    </w:pPr>
    <w:rPr>
      <w:szCs w:val="20"/>
      <w:lang w:val="en-CA"/>
    </w:rPr>
  </w:style>
  <w:style w:type="character" w:customStyle="1" w:styleId="MTBodyChar">
    <w:name w:val="MTBody Char"/>
    <w:link w:val="MTBody"/>
    <w:locked/>
    <w:rsid w:val="00B70969"/>
    <w:rPr>
      <w:rFonts w:ascii="Arial" w:hAnsi="Arial"/>
      <w:sz w:val="24"/>
      <w:lang w:eastAsia="en-US"/>
    </w:rPr>
  </w:style>
  <w:style w:type="paragraph" w:customStyle="1" w:styleId="MT1">
    <w:name w:val="MT1"/>
    <w:basedOn w:val="Normal"/>
    <w:rsid w:val="006B1DA8"/>
    <w:pPr>
      <w:spacing w:after="240" w:line="240" w:lineRule="auto"/>
      <w:ind w:left="720" w:hanging="720"/>
      <w:outlineLvl w:val="0"/>
    </w:pPr>
    <w:rPr>
      <w:szCs w:val="20"/>
      <w:lang w:val="en"/>
    </w:rPr>
  </w:style>
  <w:style w:type="paragraph" w:customStyle="1" w:styleId="MT2">
    <w:name w:val="MT2"/>
    <w:basedOn w:val="Normal"/>
    <w:rsid w:val="006B1DA8"/>
    <w:pPr>
      <w:numPr>
        <w:ilvl w:val="1"/>
        <w:numId w:val="3"/>
      </w:numPr>
      <w:spacing w:after="240" w:line="240" w:lineRule="auto"/>
      <w:outlineLvl w:val="1"/>
    </w:pPr>
    <w:rPr>
      <w:szCs w:val="20"/>
      <w:lang w:val="en-CA"/>
    </w:rPr>
  </w:style>
  <w:style w:type="paragraph" w:customStyle="1" w:styleId="MT3">
    <w:name w:val="MT3"/>
    <w:basedOn w:val="Normal"/>
    <w:rsid w:val="006B1DA8"/>
    <w:pPr>
      <w:numPr>
        <w:ilvl w:val="2"/>
        <w:numId w:val="3"/>
      </w:numPr>
      <w:spacing w:after="240" w:line="240" w:lineRule="auto"/>
    </w:pPr>
    <w:rPr>
      <w:szCs w:val="20"/>
      <w:lang w:val="en-CA"/>
    </w:rPr>
  </w:style>
  <w:style w:type="paragraph" w:customStyle="1" w:styleId="MT4">
    <w:name w:val="MT4"/>
    <w:basedOn w:val="Normal"/>
    <w:rsid w:val="006B1DA8"/>
    <w:pPr>
      <w:numPr>
        <w:ilvl w:val="3"/>
        <w:numId w:val="3"/>
      </w:numPr>
      <w:spacing w:after="240" w:line="240" w:lineRule="auto"/>
    </w:pPr>
    <w:rPr>
      <w:szCs w:val="20"/>
      <w:lang w:val="en-CA"/>
    </w:rPr>
  </w:style>
  <w:style w:type="paragraph" w:customStyle="1" w:styleId="MT5">
    <w:name w:val="MT5"/>
    <w:basedOn w:val="Normal"/>
    <w:rsid w:val="006B1DA8"/>
    <w:pPr>
      <w:numPr>
        <w:ilvl w:val="4"/>
        <w:numId w:val="3"/>
      </w:numPr>
      <w:spacing w:after="240" w:line="240" w:lineRule="auto"/>
    </w:pPr>
    <w:rPr>
      <w:szCs w:val="20"/>
      <w:lang w:val="en-CA"/>
    </w:rPr>
  </w:style>
  <w:style w:type="paragraph" w:customStyle="1" w:styleId="MT6">
    <w:name w:val="MT6"/>
    <w:basedOn w:val="Normal"/>
    <w:rsid w:val="006B1DA8"/>
    <w:pPr>
      <w:numPr>
        <w:ilvl w:val="5"/>
        <w:numId w:val="3"/>
      </w:numPr>
      <w:spacing w:after="240" w:line="240" w:lineRule="auto"/>
    </w:pPr>
    <w:rPr>
      <w:szCs w:val="20"/>
      <w:lang w:val="en-CA"/>
    </w:rPr>
  </w:style>
  <w:style w:type="paragraph" w:customStyle="1" w:styleId="MT7">
    <w:name w:val="MT7"/>
    <w:basedOn w:val="Normal"/>
    <w:rsid w:val="006B1DA8"/>
    <w:pPr>
      <w:numPr>
        <w:ilvl w:val="6"/>
        <w:numId w:val="3"/>
      </w:numPr>
      <w:spacing w:after="240" w:line="240" w:lineRule="auto"/>
    </w:pPr>
    <w:rPr>
      <w:szCs w:val="20"/>
      <w:lang w:val="en-CA"/>
    </w:rPr>
  </w:style>
  <w:style w:type="paragraph" w:customStyle="1" w:styleId="MT8">
    <w:name w:val="MT8"/>
    <w:basedOn w:val="Normal"/>
    <w:rsid w:val="006B1DA8"/>
    <w:pPr>
      <w:numPr>
        <w:ilvl w:val="7"/>
        <w:numId w:val="3"/>
      </w:numPr>
      <w:spacing w:after="240" w:line="240" w:lineRule="auto"/>
    </w:pPr>
    <w:rPr>
      <w:szCs w:val="20"/>
      <w:lang w:val="en-CA"/>
    </w:rPr>
  </w:style>
  <w:style w:type="paragraph" w:customStyle="1" w:styleId="MT9">
    <w:name w:val="MT9"/>
    <w:basedOn w:val="Normal"/>
    <w:rsid w:val="006B1DA8"/>
    <w:pPr>
      <w:numPr>
        <w:ilvl w:val="8"/>
        <w:numId w:val="3"/>
      </w:numPr>
      <w:spacing w:after="240" w:line="240" w:lineRule="auto"/>
    </w:pPr>
    <w:rPr>
      <w:szCs w:val="20"/>
      <w:lang w:val="en-CA"/>
    </w:rPr>
  </w:style>
  <w:style w:type="paragraph" w:customStyle="1" w:styleId="DecimalNumbers">
    <w:name w:val="Decimal Numbers"/>
    <w:basedOn w:val="Normal"/>
    <w:rsid w:val="006B1DA8"/>
    <w:pPr>
      <w:numPr>
        <w:numId w:val="4"/>
      </w:numPr>
      <w:spacing w:line="240" w:lineRule="auto"/>
    </w:pPr>
    <w:rPr>
      <w:rFonts w:ascii="Times New Roman" w:hAnsi="Times New Roman"/>
      <w:sz w:val="20"/>
      <w:szCs w:val="20"/>
      <w:lang w:eastAsia="en-CA"/>
    </w:rPr>
  </w:style>
  <w:style w:type="paragraph" w:styleId="Title">
    <w:name w:val="Title"/>
    <w:aliases w:val="DPL Title"/>
    <w:basedOn w:val="Normal"/>
    <w:next w:val="Normal"/>
    <w:link w:val="TitleChar"/>
    <w:qFormat/>
    <w:rsid w:val="00FA6C9E"/>
    <w:pPr>
      <w:spacing w:after="300" w:line="240" w:lineRule="auto"/>
      <w:contextualSpacing/>
    </w:pPr>
    <w:rPr>
      <w:rFonts w:eastAsiaTheme="majorEastAsia" w:cstheme="majorBidi"/>
      <w:b/>
      <w:spacing w:val="5"/>
      <w:kern w:val="28"/>
      <w:sz w:val="28"/>
      <w:szCs w:val="52"/>
      <w:lang w:val="en-CA"/>
    </w:rPr>
  </w:style>
  <w:style w:type="character" w:customStyle="1" w:styleId="TitleChar">
    <w:name w:val="Title Char"/>
    <w:aliases w:val="DPL Title Char"/>
    <w:basedOn w:val="DefaultParagraphFont"/>
    <w:link w:val="Title"/>
    <w:rsid w:val="00FA6C9E"/>
    <w:rPr>
      <w:rFonts w:ascii="Arial" w:eastAsiaTheme="majorEastAsia" w:hAnsi="Arial" w:cstheme="majorBidi"/>
      <w:b/>
      <w:spacing w:val="5"/>
      <w:kern w:val="28"/>
      <w:sz w:val="28"/>
      <w:szCs w:val="52"/>
      <w:lang w:eastAsia="en-US"/>
    </w:rPr>
  </w:style>
  <w:style w:type="paragraph" w:customStyle="1" w:styleId="DPLHeading2">
    <w:name w:val="DPL Heading 2"/>
    <w:basedOn w:val="Normal"/>
    <w:next w:val="Normal"/>
    <w:rsid w:val="00FA6C9E"/>
    <w:pPr>
      <w:keepNext/>
      <w:spacing w:after="240" w:line="276" w:lineRule="auto"/>
    </w:pPr>
    <w:rPr>
      <w:rFonts w:eastAsiaTheme="minorHAnsi" w:cstheme="majorBidi"/>
      <w:b/>
      <w:sz w:val="20"/>
      <w:szCs w:val="20"/>
    </w:rPr>
  </w:style>
  <w:style w:type="paragraph" w:customStyle="1" w:styleId="MemberSignature">
    <w:name w:val="Member Signature"/>
    <w:basedOn w:val="Member"/>
    <w:rsid w:val="00EE1ABB"/>
    <w:pPr>
      <w:spacing w:line="240" w:lineRule="auto"/>
      <w:ind w:left="5041"/>
      <w:jc w:val="right"/>
    </w:pPr>
  </w:style>
  <w:style w:type="paragraph" w:styleId="BodyTextIndent">
    <w:name w:val="Body Text Indent"/>
    <w:basedOn w:val="Normal"/>
    <w:link w:val="BodyTextIndentChar"/>
    <w:rsid w:val="00AC3E17"/>
    <w:pPr>
      <w:spacing w:after="120"/>
      <w:ind w:left="283"/>
    </w:pPr>
  </w:style>
  <w:style w:type="character" w:customStyle="1" w:styleId="BodyTextIndentChar">
    <w:name w:val="Body Text Indent Char"/>
    <w:basedOn w:val="DefaultParagraphFont"/>
    <w:link w:val="BodyTextIndent"/>
    <w:rsid w:val="00AC3E17"/>
    <w:rPr>
      <w:rFonts w:ascii="Arial" w:hAnsi="Arial"/>
      <w:sz w:val="24"/>
      <w:szCs w:val="24"/>
      <w:lang w:val="en-US" w:eastAsia="en-US"/>
    </w:rPr>
  </w:style>
  <w:style w:type="paragraph" w:styleId="BodyTextIndent2">
    <w:name w:val="Body Text Indent 2"/>
    <w:basedOn w:val="Normal"/>
    <w:link w:val="BodyTextIndent2Char"/>
    <w:rsid w:val="00AC3E17"/>
    <w:pPr>
      <w:spacing w:after="120" w:line="480" w:lineRule="auto"/>
      <w:ind w:left="283"/>
    </w:pPr>
  </w:style>
  <w:style w:type="character" w:customStyle="1" w:styleId="BodyTextIndent2Char">
    <w:name w:val="Body Text Indent 2 Char"/>
    <w:basedOn w:val="DefaultParagraphFont"/>
    <w:link w:val="BodyTextIndent2"/>
    <w:rsid w:val="00AC3E17"/>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598563514">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90961A9F2644C9F25292A4B18A071" ma:contentTypeVersion="10" ma:contentTypeDescription="Create a new document." ma:contentTypeScope="" ma:versionID="48ac832c82f413e90eb529adfb84dc6e">
  <xsd:schema xmlns:xsd="http://www.w3.org/2001/XMLSchema" xmlns:xs="http://www.w3.org/2001/XMLSchema" xmlns:p="http://schemas.microsoft.com/office/2006/metadata/properties" xmlns:ns3="a40d4fbf-d14b-4b79-8db4-8c77ece2ea1d" targetNamespace="http://schemas.microsoft.com/office/2006/metadata/properties" ma:root="true" ma:fieldsID="ca9a12393f6a65cc9edf46c88f68ce31" ns3:_="">
    <xsd:import namespace="a40d4fbf-d14b-4b79-8db4-8c77ece2e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d4fbf-d14b-4b79-8db4-8c77ece2e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0311C-C090-464D-9547-69C368732FD8}">
  <ds:schemaRefs>
    <ds:schemaRef ds:uri="http://schemas.openxmlformats.org/officeDocument/2006/bibliography"/>
  </ds:schemaRefs>
</ds:datastoreItem>
</file>

<file path=customXml/itemProps2.xml><?xml version="1.0" encoding="utf-8"?>
<ds:datastoreItem xmlns:ds="http://schemas.openxmlformats.org/officeDocument/2006/customXml" ds:itemID="{E137A4C2-B5ED-4125-BDC4-0297E245D4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0d4fbf-d14b-4b79-8db4-8c77ece2ea1d"/>
    <ds:schemaRef ds:uri="http://www.w3.org/XML/1998/namespace"/>
    <ds:schemaRef ds:uri="http://purl.org/dc/dcmitype/"/>
  </ds:schemaRefs>
</ds:datastoreItem>
</file>

<file path=customXml/itemProps3.xml><?xml version="1.0" encoding="utf-8"?>
<ds:datastoreItem xmlns:ds="http://schemas.openxmlformats.org/officeDocument/2006/customXml" ds:itemID="{01DE31D7-6A11-4E6B-8524-17A0AC6F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d4fbf-d14b-4b79-8db4-8c77ece2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5A361-6939-48DE-914E-F71E63B47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5879</Words>
  <Characters>31947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37751</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6</cp:revision>
  <cp:lastPrinted>2022-01-20T17:16:00Z</cp:lastPrinted>
  <dcterms:created xsi:type="dcterms:W3CDTF">2022-01-20T17:09:00Z</dcterms:created>
  <dcterms:modified xsi:type="dcterms:W3CDTF">2022-01-20T17:17:00Z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0x0101003F290961A9F2644C9F25292A4B18A071</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2021-08-23T14:20:34Z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