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614A65">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6CA34FB7" wp14:editId="5035FDAA">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614A65">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614A65">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614A65">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F4310A" w:rsidP="002159B4">
            <w:pPr>
              <w:rPr>
                <w:rFonts w:ascii="Arial" w:hAnsi="Arial" w:cs="Arial"/>
              </w:rPr>
            </w:pPr>
            <w:r>
              <w:rPr>
                <w:rFonts w:ascii="Arial" w:hAnsi="Arial" w:cs="Arial"/>
              </w:rPr>
              <w:t>November 02,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8954A0" w:rsidRPr="001E764F" w:rsidRDefault="00254EE1" w:rsidP="00443661">
            <w:pPr>
              <w:jc w:val="right"/>
              <w:rPr>
                <w:rFonts w:ascii="Arial" w:hAnsi="Arial" w:cs="Arial"/>
              </w:rPr>
            </w:pPr>
            <w:r>
              <w:rPr>
                <w:rFonts w:ascii="Arial" w:hAnsi="Arial" w:cs="Arial"/>
              </w:rPr>
              <w:t>PL171169</w:t>
            </w:r>
          </w:p>
        </w:tc>
      </w:tr>
      <w:tr w:rsidR="00443661" w:rsidRPr="001E764F" w:rsidTr="00614A65">
        <w:tc>
          <w:tcPr>
            <w:tcW w:w="1818" w:type="dxa"/>
            <w:shd w:val="clear" w:color="auto" w:fill="auto"/>
            <w:vAlign w:val="center"/>
          </w:tcPr>
          <w:p w:rsidR="00443661" w:rsidRPr="001E764F" w:rsidRDefault="00443661" w:rsidP="002159B4">
            <w:pPr>
              <w:rPr>
                <w:rFonts w:ascii="Arial" w:hAnsi="Arial" w:cs="Arial"/>
                <w:b/>
              </w:rPr>
            </w:pPr>
          </w:p>
        </w:tc>
        <w:tc>
          <w:tcPr>
            <w:tcW w:w="3960" w:type="dxa"/>
            <w:shd w:val="clear" w:color="auto" w:fill="auto"/>
            <w:vAlign w:val="center"/>
          </w:tcPr>
          <w:p w:rsidR="00443661" w:rsidRPr="001D67CE" w:rsidRDefault="00443661" w:rsidP="002159B4">
            <w:pPr>
              <w:rPr>
                <w:rFonts w:ascii="Arial" w:hAnsi="Arial" w:cs="Arial"/>
              </w:rPr>
            </w:pPr>
          </w:p>
        </w:tc>
        <w:tc>
          <w:tcPr>
            <w:tcW w:w="1890" w:type="dxa"/>
            <w:shd w:val="clear" w:color="auto" w:fill="auto"/>
            <w:vAlign w:val="center"/>
          </w:tcPr>
          <w:p w:rsidR="00443661" w:rsidRPr="001E764F" w:rsidRDefault="00443661" w:rsidP="002159B4">
            <w:pPr>
              <w:rPr>
                <w:rFonts w:ascii="Arial" w:hAnsi="Arial" w:cs="Arial"/>
                <w:b/>
              </w:rPr>
            </w:pPr>
          </w:p>
        </w:tc>
        <w:tc>
          <w:tcPr>
            <w:tcW w:w="1938" w:type="dxa"/>
            <w:shd w:val="clear" w:color="auto" w:fill="auto"/>
            <w:vAlign w:val="center"/>
          </w:tcPr>
          <w:p w:rsidR="00443661" w:rsidRDefault="00443661" w:rsidP="00371D83">
            <w:pPr>
              <w:jc w:val="right"/>
              <w:rPr>
                <w:rFonts w:ascii="Arial" w:hAnsi="Arial" w:cs="Arial"/>
              </w:rPr>
            </w:pPr>
            <w:r>
              <w:rPr>
                <w:rFonts w:ascii="Arial" w:hAnsi="Arial" w:cs="Arial"/>
              </w:rPr>
              <w:t>PL180649</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614A65">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1D67CE" w:rsidRDefault="001D67CE" w:rsidP="00680779">
      <w:pPr>
        <w:pStyle w:val="Heading1"/>
        <w:rPr>
          <w:highlight w:val="yellow"/>
        </w:rPr>
      </w:pPr>
    </w:p>
    <w:tbl>
      <w:tblPr>
        <w:tblW w:w="9558" w:type="dxa"/>
        <w:tblLook w:val="04A0" w:firstRow="1" w:lastRow="0" w:firstColumn="1" w:lastColumn="0" w:noHBand="0" w:noVBand="1"/>
      </w:tblPr>
      <w:tblGrid>
        <w:gridCol w:w="4338"/>
        <w:gridCol w:w="5220"/>
      </w:tblGrid>
      <w:tr w:rsidR="006E4FF6" w:rsidRPr="00EB4B00" w:rsidTr="00CB660C">
        <w:trPr>
          <w:cantSplit/>
          <w:trHeight w:val="732"/>
        </w:trPr>
        <w:tc>
          <w:tcPr>
            <w:tcW w:w="955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22(7)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 and Appellant:</w:t>
            </w:r>
          </w:p>
        </w:tc>
        <w:tc>
          <w:tcPr>
            <w:tcW w:w="522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Subject:</w:t>
            </w:r>
          </w:p>
        </w:tc>
        <w:tc>
          <w:tcPr>
            <w:tcW w:w="5220" w:type="dxa"/>
            <w:hideMark/>
          </w:tcPr>
          <w:p w:rsidR="006E4FF6" w:rsidRPr="00EB4B00" w:rsidRDefault="006E4FF6" w:rsidP="00CB660C">
            <w:pPr>
              <w:rPr>
                <w:rFonts w:ascii="Arial" w:hAnsi="Arial" w:cs="Arial"/>
              </w:rPr>
            </w:pPr>
            <w:r w:rsidRPr="00EB4B00">
              <w:rPr>
                <w:rFonts w:ascii="Arial" w:hAnsi="Arial" w:cs="Arial"/>
              </w:rPr>
              <w:t>Request to amend the Official Plan - Failure of the City of Mississauga to adopt the requested amendment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Existing Designation:</w:t>
            </w:r>
          </w:p>
        </w:tc>
        <w:tc>
          <w:tcPr>
            <w:tcW w:w="5220" w:type="dxa"/>
            <w:hideMark/>
          </w:tcPr>
          <w:p w:rsidR="006E4FF6" w:rsidRPr="00EB4B00" w:rsidRDefault="006E4FF6" w:rsidP="00CB660C">
            <w:pPr>
              <w:rPr>
                <w:rFonts w:ascii="Arial" w:hAnsi="Arial" w:cs="Arial"/>
              </w:rPr>
            </w:pPr>
            <w:r w:rsidRPr="00EB4B00">
              <w:rPr>
                <w:rFonts w:ascii="Arial" w:hAnsi="Arial" w:cs="Arial"/>
              </w:rPr>
              <w:t>Low Density 1</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Proposed Designated: </w:t>
            </w:r>
          </w:p>
        </w:tc>
        <w:tc>
          <w:tcPr>
            <w:tcW w:w="5220" w:type="dxa"/>
            <w:hideMark/>
          </w:tcPr>
          <w:p w:rsidR="006E4FF6" w:rsidRPr="00EB4B00" w:rsidRDefault="006E4FF6" w:rsidP="00CB660C">
            <w:pPr>
              <w:rPr>
                <w:rFonts w:ascii="Arial" w:hAnsi="Arial" w:cs="Arial"/>
              </w:rPr>
            </w:pPr>
            <w:r w:rsidRPr="00EB4B00">
              <w:rPr>
                <w:rFonts w:ascii="Arial" w:hAnsi="Arial" w:cs="Arial"/>
              </w:rPr>
              <w:t>Low Density II and Special Site policy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Purpose: </w:t>
            </w:r>
          </w:p>
        </w:tc>
        <w:tc>
          <w:tcPr>
            <w:tcW w:w="5220" w:type="dxa"/>
            <w:hideMark/>
          </w:tcPr>
          <w:p w:rsidR="006E4FF6" w:rsidRPr="00EB4B00" w:rsidRDefault="006E4FF6" w:rsidP="00CB660C">
            <w:pPr>
              <w:rPr>
                <w:rFonts w:ascii="Arial" w:hAnsi="Arial" w:cs="Arial"/>
              </w:rPr>
            </w:pPr>
            <w:r w:rsidRPr="00EB4B00">
              <w:rPr>
                <w:rFonts w:ascii="Arial" w:hAnsi="Arial" w:cs="Arial"/>
              </w:rPr>
              <w:t xml:space="preserve">To permit 2 detached dwellings units, 6 semi-detached dwelling units and 6 townhouse dwelling units. </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220" w:type="dxa"/>
            <w:hideMark/>
          </w:tcPr>
          <w:p w:rsidR="006E4FF6" w:rsidRPr="00EB4B00" w:rsidRDefault="006E4FF6" w:rsidP="00CB660C">
            <w:pPr>
              <w:rPr>
                <w:rFonts w:ascii="Arial" w:hAnsi="Arial" w:cs="Arial"/>
              </w:rPr>
            </w:pPr>
            <w:r w:rsidRPr="00EB4B00">
              <w:rPr>
                <w:rFonts w:ascii="Arial" w:hAnsi="Arial" w:cs="Arial"/>
              </w:rPr>
              <w:t>1190 &amp; 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22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Approval Authority File No.: </w:t>
            </w:r>
          </w:p>
        </w:tc>
        <w:tc>
          <w:tcPr>
            <w:tcW w:w="5220" w:type="dxa"/>
            <w:hideMark/>
          </w:tcPr>
          <w:p w:rsidR="006E4FF6" w:rsidRPr="00EB4B00" w:rsidRDefault="006E4FF6" w:rsidP="00CB660C">
            <w:pPr>
              <w:rPr>
                <w:rFonts w:ascii="Arial" w:hAnsi="Arial" w:cs="Arial"/>
              </w:rPr>
            </w:pPr>
            <w:r w:rsidRPr="00EB4B00">
              <w:rPr>
                <w:rFonts w:ascii="Arial" w:hAnsi="Arial" w:cs="Arial"/>
              </w:rPr>
              <w:t>OZ 16/014 WZ</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Case No.: </w:t>
            </w:r>
          </w:p>
        </w:tc>
        <w:tc>
          <w:tcPr>
            <w:tcW w:w="5220" w:type="dxa"/>
            <w:hideMark/>
          </w:tcPr>
          <w:p w:rsidR="006E4FF6" w:rsidRPr="00EB4B00" w:rsidRDefault="006E4FF6" w:rsidP="00CB660C">
            <w:pPr>
              <w:rPr>
                <w:rFonts w:ascii="Arial" w:hAnsi="Arial" w:cs="Arial"/>
              </w:rPr>
            </w:pPr>
            <w:r w:rsidRPr="00EB4B00">
              <w:rPr>
                <w:rFonts w:ascii="Arial" w:hAnsi="Arial" w:cs="Arial"/>
              </w:rPr>
              <w:t>PL171169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File No.: </w:t>
            </w:r>
          </w:p>
        </w:tc>
        <w:tc>
          <w:tcPr>
            <w:tcW w:w="5220" w:type="dxa"/>
            <w:hideMark/>
          </w:tcPr>
          <w:p w:rsidR="006E4FF6" w:rsidRPr="00EB4B00" w:rsidRDefault="006E4FF6" w:rsidP="00CB660C">
            <w:pPr>
              <w:rPr>
                <w:rFonts w:ascii="Arial" w:hAnsi="Arial" w:cs="Arial"/>
              </w:rPr>
            </w:pPr>
            <w:r w:rsidRPr="00EB4B00">
              <w:rPr>
                <w:rFonts w:ascii="Arial" w:hAnsi="Arial" w:cs="Arial"/>
              </w:rPr>
              <w:t>PL171169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Case Name: </w:t>
            </w:r>
          </w:p>
        </w:tc>
        <w:tc>
          <w:tcPr>
            <w:tcW w:w="5220" w:type="dxa"/>
            <w:hideMark/>
          </w:tcPr>
          <w:p w:rsidR="006E4FF6" w:rsidRPr="00EB4B00" w:rsidRDefault="006E4FF6" w:rsidP="00CB660C">
            <w:pPr>
              <w:rPr>
                <w:rFonts w:ascii="Arial" w:hAnsi="Arial" w:cs="Arial"/>
              </w:rPr>
            </w:pPr>
            <w:r w:rsidRPr="00EB4B00">
              <w:rPr>
                <w:rFonts w:ascii="Arial" w:hAnsi="Arial" w:cs="Arial"/>
              </w:rPr>
              <w:t>2517015 Ontario Inc. (Format Group Inc.) v. Mississauga (City)</w:t>
            </w:r>
          </w:p>
        </w:tc>
      </w:tr>
      <w:tr w:rsidR="006E4FF6" w:rsidRPr="00EB4B00" w:rsidTr="006E4FF6">
        <w:tc>
          <w:tcPr>
            <w:tcW w:w="4338" w:type="dxa"/>
          </w:tcPr>
          <w:p w:rsidR="006E4FF6" w:rsidRPr="00EB4B00" w:rsidRDefault="006E4FF6" w:rsidP="00CB660C">
            <w:pPr>
              <w:rPr>
                <w:rFonts w:ascii="Arial" w:hAnsi="Arial" w:cs="Arial"/>
              </w:rPr>
            </w:pPr>
          </w:p>
        </w:tc>
        <w:tc>
          <w:tcPr>
            <w:tcW w:w="5220" w:type="dxa"/>
          </w:tcPr>
          <w:p w:rsidR="006E4FF6" w:rsidRPr="00EB4B00" w:rsidRDefault="006E4FF6" w:rsidP="00CB660C">
            <w:pPr>
              <w:rPr>
                <w:rFonts w:ascii="Arial" w:hAnsi="Arial" w:cs="Arial"/>
              </w:rPr>
            </w:pPr>
          </w:p>
        </w:tc>
      </w:tr>
    </w:tbl>
    <w:p w:rsidR="00F46275" w:rsidRDefault="00F46275" w:rsidP="00270AAE">
      <w:pPr>
        <w:rPr>
          <w:rFonts w:ascii="Arial" w:hAnsi="Arial" w:cs="Arial"/>
          <w:lang w:val="en-CA"/>
        </w:rPr>
      </w:pPr>
    </w:p>
    <w:tbl>
      <w:tblPr>
        <w:tblW w:w="0" w:type="auto"/>
        <w:tblLook w:val="04A0" w:firstRow="1" w:lastRow="0" w:firstColumn="1" w:lastColumn="0" w:noHBand="0" w:noVBand="1"/>
      </w:tblPr>
      <w:tblGrid>
        <w:gridCol w:w="4338"/>
        <w:gridCol w:w="5220"/>
      </w:tblGrid>
      <w:tr w:rsidR="006E4FF6" w:rsidRPr="00EB4B00" w:rsidTr="006E4FF6">
        <w:trPr>
          <w:cantSplit/>
          <w:trHeight w:val="732"/>
        </w:trPr>
        <w:tc>
          <w:tcPr>
            <w:tcW w:w="955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34(11)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 and Appellant:</w:t>
            </w:r>
          </w:p>
        </w:tc>
        <w:tc>
          <w:tcPr>
            <w:tcW w:w="522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Subject:</w:t>
            </w:r>
          </w:p>
        </w:tc>
        <w:tc>
          <w:tcPr>
            <w:tcW w:w="5220" w:type="dxa"/>
            <w:hideMark/>
          </w:tcPr>
          <w:p w:rsidR="006E4FF6" w:rsidRPr="00EB4B00" w:rsidRDefault="006E4FF6" w:rsidP="00CB660C">
            <w:pPr>
              <w:rPr>
                <w:rFonts w:ascii="Arial" w:hAnsi="Arial" w:cs="Arial"/>
              </w:rPr>
            </w:pPr>
            <w:r w:rsidRPr="00EB4B00">
              <w:rPr>
                <w:rFonts w:ascii="Arial" w:hAnsi="Arial" w:cs="Arial"/>
              </w:rPr>
              <w:t>Application to amend Zoning By-law No.0225-2007 - Refusal or neglect of the City of Mississauga to make a decision</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Existing Zoning:</w:t>
            </w:r>
          </w:p>
        </w:tc>
        <w:tc>
          <w:tcPr>
            <w:tcW w:w="5220" w:type="dxa"/>
            <w:hideMark/>
          </w:tcPr>
          <w:p w:rsidR="006E4FF6" w:rsidRPr="00EB4B00" w:rsidRDefault="006E4FF6" w:rsidP="00CB660C">
            <w:pPr>
              <w:rPr>
                <w:rFonts w:ascii="Arial" w:hAnsi="Arial" w:cs="Arial"/>
              </w:rPr>
            </w:pPr>
            <w:r w:rsidRPr="00EB4B00">
              <w:rPr>
                <w:rFonts w:ascii="Arial" w:hAnsi="Arial" w:cs="Arial"/>
              </w:rPr>
              <w:t>R2-4</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Proposed Zoning: </w:t>
            </w:r>
          </w:p>
        </w:tc>
        <w:tc>
          <w:tcPr>
            <w:tcW w:w="5220" w:type="dxa"/>
            <w:hideMark/>
          </w:tcPr>
          <w:p w:rsidR="006E4FF6" w:rsidRPr="00EB4B00" w:rsidRDefault="006E4FF6" w:rsidP="00CB660C">
            <w:pPr>
              <w:rPr>
                <w:rFonts w:ascii="Arial" w:hAnsi="Arial" w:cs="Arial"/>
              </w:rPr>
            </w:pPr>
            <w:r w:rsidRPr="00EB4B00">
              <w:rPr>
                <w:rFonts w:ascii="Arial" w:hAnsi="Arial" w:cs="Arial"/>
              </w:rPr>
              <w:t>Site Specific (To be determined)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Purpose: </w:t>
            </w:r>
          </w:p>
        </w:tc>
        <w:tc>
          <w:tcPr>
            <w:tcW w:w="5220" w:type="dxa"/>
            <w:hideMark/>
          </w:tcPr>
          <w:p w:rsidR="006E4FF6" w:rsidRPr="00EB4B00" w:rsidRDefault="006E4FF6" w:rsidP="00CB660C">
            <w:pPr>
              <w:rPr>
                <w:rFonts w:ascii="Arial" w:hAnsi="Arial" w:cs="Arial"/>
              </w:rPr>
            </w:pPr>
            <w:r w:rsidRPr="00EB4B00">
              <w:rPr>
                <w:rFonts w:ascii="Arial" w:hAnsi="Arial" w:cs="Arial"/>
              </w:rPr>
              <w:t>To permit 2 detached dwellings units, 6 semi-</w:t>
            </w:r>
            <w:r w:rsidRPr="00EB4B00">
              <w:rPr>
                <w:rFonts w:ascii="Arial" w:hAnsi="Arial" w:cs="Arial"/>
              </w:rPr>
              <w:lastRenderedPageBreak/>
              <w:t>detached dwelling units and 6 townhouse dwelling units.</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lastRenderedPageBreak/>
              <w:t xml:space="preserve">Property Address/Description: </w:t>
            </w:r>
          </w:p>
        </w:tc>
        <w:tc>
          <w:tcPr>
            <w:tcW w:w="5220" w:type="dxa"/>
            <w:hideMark/>
          </w:tcPr>
          <w:p w:rsidR="006E4FF6" w:rsidRPr="00EB4B00" w:rsidRDefault="006E4FF6" w:rsidP="00CB660C">
            <w:pPr>
              <w:rPr>
                <w:rFonts w:ascii="Arial" w:hAnsi="Arial" w:cs="Arial"/>
              </w:rPr>
            </w:pPr>
            <w:r w:rsidRPr="00EB4B00">
              <w:rPr>
                <w:rFonts w:ascii="Arial" w:hAnsi="Arial" w:cs="Arial"/>
              </w:rPr>
              <w:t>1190 &amp; 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22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File No.: </w:t>
            </w:r>
          </w:p>
        </w:tc>
        <w:tc>
          <w:tcPr>
            <w:tcW w:w="5220" w:type="dxa"/>
            <w:hideMark/>
          </w:tcPr>
          <w:p w:rsidR="006E4FF6" w:rsidRPr="00EB4B00" w:rsidRDefault="006E4FF6" w:rsidP="00CB660C">
            <w:pPr>
              <w:rPr>
                <w:rFonts w:ascii="Arial" w:hAnsi="Arial" w:cs="Arial"/>
              </w:rPr>
            </w:pPr>
            <w:r w:rsidRPr="00EB4B00">
              <w:rPr>
                <w:rFonts w:ascii="Arial" w:hAnsi="Arial" w:cs="Arial"/>
              </w:rPr>
              <w:t>OZ 16/014 W2</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Case No.: </w:t>
            </w:r>
          </w:p>
        </w:tc>
        <w:tc>
          <w:tcPr>
            <w:tcW w:w="5220" w:type="dxa"/>
            <w:hideMark/>
          </w:tcPr>
          <w:p w:rsidR="006E4FF6" w:rsidRPr="00EB4B00" w:rsidRDefault="006E4FF6" w:rsidP="00CB660C">
            <w:pPr>
              <w:rPr>
                <w:rFonts w:ascii="Arial" w:hAnsi="Arial" w:cs="Arial"/>
              </w:rPr>
            </w:pPr>
            <w:r w:rsidRPr="00EB4B00">
              <w:rPr>
                <w:rFonts w:ascii="Arial" w:hAnsi="Arial" w:cs="Arial"/>
              </w:rPr>
              <w:t>PL171169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File No.: </w:t>
            </w:r>
          </w:p>
        </w:tc>
        <w:tc>
          <w:tcPr>
            <w:tcW w:w="5220" w:type="dxa"/>
            <w:hideMark/>
          </w:tcPr>
          <w:p w:rsidR="006E4FF6" w:rsidRPr="00EB4B00" w:rsidRDefault="006E4FF6" w:rsidP="00CB660C">
            <w:pPr>
              <w:rPr>
                <w:rFonts w:ascii="Arial" w:hAnsi="Arial" w:cs="Arial"/>
              </w:rPr>
            </w:pPr>
            <w:r w:rsidRPr="00EB4B00">
              <w:rPr>
                <w:rFonts w:ascii="Arial" w:hAnsi="Arial" w:cs="Arial"/>
              </w:rPr>
              <w:t>PL171170</w:t>
            </w:r>
          </w:p>
        </w:tc>
      </w:tr>
    </w:tbl>
    <w:p w:rsidR="006E4FF6" w:rsidRDefault="006E4FF6" w:rsidP="00270AAE">
      <w:pPr>
        <w:rPr>
          <w:rFonts w:ascii="Arial" w:hAnsi="Arial" w:cs="Arial"/>
          <w:lang w:val="en-CA"/>
        </w:rPr>
      </w:pPr>
    </w:p>
    <w:tbl>
      <w:tblPr>
        <w:tblW w:w="9378" w:type="dxa"/>
        <w:tblLook w:val="04A0" w:firstRow="1" w:lastRow="0" w:firstColumn="1" w:lastColumn="0" w:noHBand="0" w:noVBand="1"/>
      </w:tblPr>
      <w:tblGrid>
        <w:gridCol w:w="4338"/>
        <w:gridCol w:w="5040"/>
      </w:tblGrid>
      <w:tr w:rsidR="006E4FF6" w:rsidRPr="00EB4B00" w:rsidTr="00CB660C">
        <w:trPr>
          <w:cantSplit/>
          <w:trHeight w:val="732"/>
        </w:trPr>
        <w:tc>
          <w:tcPr>
            <w:tcW w:w="937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53(19)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Appellant:</w:t>
            </w:r>
          </w:p>
        </w:tc>
        <w:tc>
          <w:tcPr>
            <w:tcW w:w="5040" w:type="dxa"/>
            <w:hideMark/>
          </w:tcPr>
          <w:p w:rsidR="006E4FF6" w:rsidRPr="00EB4B00" w:rsidRDefault="006E4FF6" w:rsidP="00CB660C">
            <w:pPr>
              <w:rPr>
                <w:rFonts w:ascii="Arial" w:hAnsi="Arial" w:cs="Arial"/>
              </w:rPr>
            </w:pPr>
            <w:r w:rsidRPr="00EB4B00">
              <w:rPr>
                <w:rFonts w:ascii="Arial" w:hAnsi="Arial" w:cs="Arial"/>
              </w:rPr>
              <w:t>Tim Connelly and Ruth Connelly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w:t>
            </w:r>
          </w:p>
        </w:tc>
        <w:tc>
          <w:tcPr>
            <w:tcW w:w="504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Subject: </w:t>
            </w:r>
          </w:p>
        </w:tc>
        <w:tc>
          <w:tcPr>
            <w:tcW w:w="5040" w:type="dxa"/>
            <w:hideMark/>
          </w:tcPr>
          <w:p w:rsidR="006E4FF6" w:rsidRPr="00EB4B00" w:rsidRDefault="006E4FF6" w:rsidP="00CB660C">
            <w:pPr>
              <w:rPr>
                <w:rFonts w:ascii="Arial" w:hAnsi="Arial" w:cs="Arial"/>
              </w:rPr>
            </w:pPr>
            <w:r w:rsidRPr="00EB4B00">
              <w:rPr>
                <w:rFonts w:ascii="Arial" w:hAnsi="Arial" w:cs="Arial"/>
              </w:rPr>
              <w:t>Consent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040" w:type="dxa"/>
            <w:hideMark/>
          </w:tcPr>
          <w:p w:rsidR="006E4FF6" w:rsidRPr="00EB4B00" w:rsidRDefault="006E4FF6" w:rsidP="00CB660C">
            <w:pPr>
              <w:rPr>
                <w:rFonts w:ascii="Arial" w:hAnsi="Arial" w:cs="Arial"/>
              </w:rPr>
            </w:pPr>
            <w:r w:rsidRPr="00EB4B00">
              <w:rPr>
                <w:rFonts w:ascii="Arial" w:hAnsi="Arial" w:cs="Arial"/>
              </w:rPr>
              <w:t>1190-1200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04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 File No.: </w:t>
            </w:r>
          </w:p>
        </w:tc>
        <w:tc>
          <w:tcPr>
            <w:tcW w:w="5040" w:type="dxa"/>
            <w:hideMark/>
          </w:tcPr>
          <w:p w:rsidR="006E4FF6" w:rsidRPr="00EB4B00" w:rsidRDefault="006E4FF6" w:rsidP="00CB660C">
            <w:pPr>
              <w:rPr>
                <w:rFonts w:ascii="Arial" w:hAnsi="Arial" w:cs="Arial"/>
              </w:rPr>
            </w:pPr>
            <w:r w:rsidRPr="00EB4B00">
              <w:rPr>
                <w:rFonts w:ascii="Arial" w:hAnsi="Arial" w:cs="Arial"/>
              </w:rPr>
              <w:t>B038/18</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No.: </w:t>
            </w:r>
          </w:p>
        </w:tc>
        <w:tc>
          <w:tcPr>
            <w:tcW w:w="504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File No.: </w:t>
            </w:r>
          </w:p>
        </w:tc>
        <w:tc>
          <w:tcPr>
            <w:tcW w:w="504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Name: </w:t>
            </w:r>
          </w:p>
        </w:tc>
        <w:tc>
          <w:tcPr>
            <w:tcW w:w="5040" w:type="dxa"/>
            <w:hideMark/>
          </w:tcPr>
          <w:p w:rsidR="006E4FF6" w:rsidRPr="00EB4B00" w:rsidRDefault="006E4FF6" w:rsidP="00CB660C">
            <w:pPr>
              <w:rPr>
                <w:rFonts w:ascii="Arial" w:hAnsi="Arial" w:cs="Arial"/>
              </w:rPr>
            </w:pPr>
            <w:r w:rsidRPr="00EB4B00">
              <w:rPr>
                <w:rFonts w:ascii="Arial" w:hAnsi="Arial" w:cs="Arial"/>
              </w:rPr>
              <w:t>Connelly v. Mississauga (City)</w:t>
            </w:r>
          </w:p>
        </w:tc>
      </w:tr>
    </w:tbl>
    <w:p w:rsidR="006E4FF6" w:rsidRDefault="006E4FF6" w:rsidP="00270AAE">
      <w:pPr>
        <w:rPr>
          <w:rFonts w:ascii="Arial" w:hAnsi="Arial" w:cs="Arial"/>
          <w:lang w:val="en-CA"/>
        </w:rPr>
      </w:pPr>
    </w:p>
    <w:tbl>
      <w:tblPr>
        <w:tblW w:w="0" w:type="auto"/>
        <w:tblLook w:val="04A0" w:firstRow="1" w:lastRow="0" w:firstColumn="1" w:lastColumn="0" w:noHBand="0" w:noVBand="1"/>
      </w:tblPr>
      <w:tblGrid>
        <w:gridCol w:w="4338"/>
        <w:gridCol w:w="5130"/>
      </w:tblGrid>
      <w:tr w:rsidR="006E4FF6" w:rsidRPr="00EB4B00" w:rsidTr="00CB660C">
        <w:trPr>
          <w:cantSplit/>
          <w:trHeight w:val="732"/>
        </w:trPr>
        <w:tc>
          <w:tcPr>
            <w:tcW w:w="946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53(19)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Appellant:</w:t>
            </w:r>
          </w:p>
        </w:tc>
        <w:tc>
          <w:tcPr>
            <w:tcW w:w="5130" w:type="dxa"/>
            <w:hideMark/>
          </w:tcPr>
          <w:p w:rsidR="006E4FF6" w:rsidRPr="00EB4B00" w:rsidRDefault="006E4FF6" w:rsidP="00CB660C">
            <w:pPr>
              <w:rPr>
                <w:rFonts w:ascii="Arial" w:hAnsi="Arial" w:cs="Arial"/>
              </w:rPr>
            </w:pPr>
            <w:r w:rsidRPr="00EB4B00">
              <w:rPr>
                <w:rFonts w:ascii="Arial" w:hAnsi="Arial" w:cs="Arial"/>
              </w:rPr>
              <w:t>Tim Connelly and Ruth Connelly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w:t>
            </w:r>
          </w:p>
        </w:tc>
        <w:tc>
          <w:tcPr>
            <w:tcW w:w="513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Subject: </w:t>
            </w:r>
          </w:p>
        </w:tc>
        <w:tc>
          <w:tcPr>
            <w:tcW w:w="5130" w:type="dxa"/>
            <w:hideMark/>
          </w:tcPr>
          <w:p w:rsidR="006E4FF6" w:rsidRPr="00EB4B00" w:rsidRDefault="006E4FF6" w:rsidP="00CB660C">
            <w:pPr>
              <w:rPr>
                <w:rFonts w:ascii="Arial" w:hAnsi="Arial" w:cs="Arial"/>
              </w:rPr>
            </w:pPr>
            <w:r w:rsidRPr="00EB4B00">
              <w:rPr>
                <w:rFonts w:ascii="Arial" w:hAnsi="Arial" w:cs="Arial"/>
              </w:rPr>
              <w:t>Consent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130" w:type="dxa"/>
            <w:hideMark/>
          </w:tcPr>
          <w:p w:rsidR="006E4FF6" w:rsidRPr="00EB4B00" w:rsidRDefault="006E4FF6" w:rsidP="00CB660C">
            <w:pPr>
              <w:rPr>
                <w:rFonts w:ascii="Arial" w:hAnsi="Arial" w:cs="Arial"/>
              </w:rPr>
            </w:pPr>
            <w:r w:rsidRPr="00EB4B00">
              <w:rPr>
                <w:rFonts w:ascii="Arial" w:hAnsi="Arial" w:cs="Arial"/>
              </w:rPr>
              <w:t>1190-1200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13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 File No.: </w:t>
            </w:r>
          </w:p>
        </w:tc>
        <w:tc>
          <w:tcPr>
            <w:tcW w:w="5130" w:type="dxa"/>
            <w:hideMark/>
          </w:tcPr>
          <w:p w:rsidR="006E4FF6" w:rsidRPr="00EB4B00" w:rsidRDefault="006E4FF6" w:rsidP="00CB660C">
            <w:pPr>
              <w:rPr>
                <w:rFonts w:ascii="Arial" w:hAnsi="Arial" w:cs="Arial"/>
              </w:rPr>
            </w:pPr>
            <w:r w:rsidRPr="00EB4B00">
              <w:rPr>
                <w:rFonts w:ascii="Arial" w:hAnsi="Arial" w:cs="Arial"/>
              </w:rPr>
              <w:t>B39/18</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No.: </w:t>
            </w:r>
          </w:p>
        </w:tc>
        <w:tc>
          <w:tcPr>
            <w:tcW w:w="513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File No.: </w:t>
            </w:r>
          </w:p>
        </w:tc>
        <w:tc>
          <w:tcPr>
            <w:tcW w:w="5130" w:type="dxa"/>
            <w:hideMark/>
          </w:tcPr>
          <w:p w:rsidR="006E4FF6" w:rsidRPr="00EB4B00" w:rsidRDefault="006E4FF6" w:rsidP="00CB660C">
            <w:pPr>
              <w:rPr>
                <w:rFonts w:ascii="Arial" w:hAnsi="Arial" w:cs="Arial"/>
              </w:rPr>
            </w:pPr>
            <w:r w:rsidRPr="00EB4B00">
              <w:rPr>
                <w:rFonts w:ascii="Arial" w:hAnsi="Arial" w:cs="Arial"/>
              </w:rPr>
              <w:t>PL180650</w:t>
            </w:r>
          </w:p>
        </w:tc>
      </w:tr>
    </w:tbl>
    <w:p w:rsidR="006E4FF6" w:rsidRDefault="006E4FF6" w:rsidP="00270AAE">
      <w:pPr>
        <w:rPr>
          <w:rFonts w:ascii="Arial" w:hAnsi="Arial" w:cs="Arial"/>
          <w:lang w:val="en-CA"/>
        </w:rPr>
      </w:pPr>
    </w:p>
    <w:tbl>
      <w:tblPr>
        <w:tblW w:w="0" w:type="auto"/>
        <w:tblLook w:val="04A0" w:firstRow="1" w:lastRow="0" w:firstColumn="1" w:lastColumn="0" w:noHBand="0" w:noVBand="1"/>
      </w:tblPr>
      <w:tblGrid>
        <w:gridCol w:w="4338"/>
        <w:gridCol w:w="5130"/>
      </w:tblGrid>
      <w:tr w:rsidR="006E4FF6" w:rsidRPr="00EB4B00" w:rsidTr="00CB660C">
        <w:trPr>
          <w:cantSplit/>
          <w:trHeight w:val="732"/>
        </w:trPr>
        <w:tc>
          <w:tcPr>
            <w:tcW w:w="946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53(19)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Appellant:</w:t>
            </w:r>
          </w:p>
        </w:tc>
        <w:tc>
          <w:tcPr>
            <w:tcW w:w="5130" w:type="dxa"/>
            <w:hideMark/>
          </w:tcPr>
          <w:p w:rsidR="006E4FF6" w:rsidRPr="00EB4B00" w:rsidRDefault="006E4FF6" w:rsidP="00CB660C">
            <w:pPr>
              <w:rPr>
                <w:rFonts w:ascii="Arial" w:hAnsi="Arial" w:cs="Arial"/>
              </w:rPr>
            </w:pPr>
            <w:r w:rsidRPr="00EB4B00">
              <w:rPr>
                <w:rFonts w:ascii="Arial" w:hAnsi="Arial" w:cs="Arial"/>
              </w:rPr>
              <w:t>Tim Connelly and Ruth Connelly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w:t>
            </w:r>
          </w:p>
        </w:tc>
        <w:tc>
          <w:tcPr>
            <w:tcW w:w="513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Subject: </w:t>
            </w:r>
          </w:p>
        </w:tc>
        <w:tc>
          <w:tcPr>
            <w:tcW w:w="5130" w:type="dxa"/>
            <w:hideMark/>
          </w:tcPr>
          <w:p w:rsidR="006E4FF6" w:rsidRPr="00EB4B00" w:rsidRDefault="006E4FF6" w:rsidP="00CB660C">
            <w:pPr>
              <w:rPr>
                <w:rFonts w:ascii="Arial" w:hAnsi="Arial" w:cs="Arial"/>
              </w:rPr>
            </w:pPr>
            <w:r w:rsidRPr="00EB4B00">
              <w:rPr>
                <w:rFonts w:ascii="Arial" w:hAnsi="Arial" w:cs="Arial"/>
              </w:rPr>
              <w:t>Consent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130" w:type="dxa"/>
            <w:hideMark/>
          </w:tcPr>
          <w:p w:rsidR="006E4FF6" w:rsidRPr="00EB4B00" w:rsidRDefault="006E4FF6" w:rsidP="00CB660C">
            <w:pPr>
              <w:rPr>
                <w:rFonts w:ascii="Arial" w:hAnsi="Arial" w:cs="Arial"/>
              </w:rPr>
            </w:pPr>
            <w:r w:rsidRPr="00EB4B00">
              <w:rPr>
                <w:rFonts w:ascii="Arial" w:hAnsi="Arial" w:cs="Arial"/>
              </w:rPr>
              <w:t>1190-1200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13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 File No.: </w:t>
            </w:r>
          </w:p>
        </w:tc>
        <w:tc>
          <w:tcPr>
            <w:tcW w:w="5130" w:type="dxa"/>
            <w:hideMark/>
          </w:tcPr>
          <w:p w:rsidR="006E4FF6" w:rsidRPr="00EB4B00" w:rsidRDefault="006E4FF6" w:rsidP="00CB660C">
            <w:pPr>
              <w:rPr>
                <w:rFonts w:ascii="Arial" w:hAnsi="Arial" w:cs="Arial"/>
              </w:rPr>
            </w:pPr>
            <w:r w:rsidRPr="00EB4B00">
              <w:rPr>
                <w:rFonts w:ascii="Arial" w:hAnsi="Arial" w:cs="Arial"/>
              </w:rPr>
              <w:t>B40/18</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No.: </w:t>
            </w:r>
          </w:p>
        </w:tc>
        <w:tc>
          <w:tcPr>
            <w:tcW w:w="513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File No.: </w:t>
            </w:r>
          </w:p>
        </w:tc>
        <w:tc>
          <w:tcPr>
            <w:tcW w:w="5130" w:type="dxa"/>
            <w:hideMark/>
          </w:tcPr>
          <w:p w:rsidR="006E4FF6" w:rsidRPr="00EB4B00" w:rsidRDefault="006E4FF6" w:rsidP="00CB660C">
            <w:pPr>
              <w:rPr>
                <w:rFonts w:ascii="Arial" w:hAnsi="Arial" w:cs="Arial"/>
              </w:rPr>
            </w:pPr>
            <w:r w:rsidRPr="00EB4B00">
              <w:rPr>
                <w:rFonts w:ascii="Arial" w:hAnsi="Arial" w:cs="Arial"/>
              </w:rPr>
              <w:t>PL180651</w:t>
            </w:r>
          </w:p>
        </w:tc>
      </w:tr>
    </w:tbl>
    <w:p w:rsidR="006E4FF6" w:rsidRDefault="006E4FF6" w:rsidP="00270AAE">
      <w:pPr>
        <w:rPr>
          <w:rFonts w:ascii="Arial" w:hAnsi="Arial" w:cs="Arial"/>
          <w:lang w:val="en-CA"/>
        </w:rPr>
      </w:pPr>
    </w:p>
    <w:p w:rsidR="00865D8E" w:rsidRPr="006E4FF6" w:rsidRDefault="00865D8E" w:rsidP="00270AAE">
      <w:pPr>
        <w:rPr>
          <w:rFonts w:ascii="Arial" w:hAnsi="Arial" w:cs="Arial"/>
          <w:lang w:val="en-CA"/>
        </w:rPr>
      </w:pPr>
    </w:p>
    <w:tbl>
      <w:tblPr>
        <w:tblpPr w:leftFromText="180" w:rightFromText="180" w:vertAnchor="text" w:horzAnchor="margin" w:tblpY="98"/>
        <w:tblW w:w="0" w:type="auto"/>
        <w:tblBorders>
          <w:insideH w:val="nil"/>
          <w:insideV w:val="nil"/>
        </w:tblBorders>
        <w:tblLook w:val="00A0" w:firstRow="1" w:lastRow="0" w:firstColumn="1" w:lastColumn="0" w:noHBand="0" w:noVBand="0"/>
      </w:tblPr>
      <w:tblGrid>
        <w:gridCol w:w="4338"/>
        <w:gridCol w:w="5220"/>
      </w:tblGrid>
      <w:tr w:rsidR="00876D4E" w:rsidRPr="000655C0" w:rsidTr="00876D4E">
        <w:trPr>
          <w:trHeight w:val="291"/>
        </w:trPr>
        <w:tc>
          <w:tcPr>
            <w:tcW w:w="9558" w:type="dxa"/>
            <w:gridSpan w:val="2"/>
            <w:tcBorders>
              <w:top w:val="nil"/>
              <w:left w:val="nil"/>
              <w:bottom w:val="nil"/>
              <w:right w:val="nil"/>
            </w:tcBorders>
          </w:tcPr>
          <w:p w:rsidR="00876D4E" w:rsidRDefault="00876D4E" w:rsidP="00865D8E">
            <w:pPr>
              <w:rPr>
                <w:rFonts w:ascii="Arial" w:hAnsi="Arial" w:cs="Arial"/>
              </w:rPr>
            </w:pPr>
            <w:r w:rsidRPr="000655C0">
              <w:rPr>
                <w:rFonts w:ascii="Arial" w:hAnsi="Arial" w:cs="Arial"/>
                <w:b/>
              </w:rPr>
              <w:lastRenderedPageBreak/>
              <w:t xml:space="preserve">PROCEEDING COMMENCED UNDER </w:t>
            </w:r>
            <w:r w:rsidRPr="000655C0">
              <w:rPr>
                <w:rFonts w:ascii="Arial" w:hAnsi="Arial" w:cs="Arial"/>
              </w:rPr>
              <w:t xml:space="preserve">subsection 12(1) of the </w:t>
            </w:r>
            <w:r w:rsidRPr="000655C0">
              <w:rPr>
                <w:rFonts w:ascii="Arial" w:hAnsi="Arial" w:cs="Arial"/>
                <w:i/>
                <w:iCs/>
              </w:rPr>
              <w:t>Local Planning Appeal Tribunal Act, 2017</w:t>
            </w:r>
            <w:r w:rsidRPr="000655C0">
              <w:rPr>
                <w:rFonts w:ascii="Arial" w:hAnsi="Arial" w:cs="Arial"/>
                <w:iCs/>
              </w:rPr>
              <w:t>, S.O. 2017, c. 23, Sched. 1</w:t>
            </w:r>
            <w:r w:rsidRPr="000655C0">
              <w:rPr>
                <w:rFonts w:ascii="Arial" w:hAnsi="Arial" w:cs="Arial"/>
              </w:rPr>
              <w:t>, and Rule 9.01 of the Tribunal’s Rules of Practice and Procedure</w:t>
            </w:r>
          </w:p>
          <w:p w:rsidR="00865D8E" w:rsidRPr="000655C0" w:rsidRDefault="00865D8E" w:rsidP="00865D8E">
            <w:pPr>
              <w:rPr>
                <w:rFonts w:ascii="Arial" w:hAnsi="Arial" w:cs="Arial"/>
              </w:rPr>
            </w:pPr>
          </w:p>
        </w:tc>
      </w:tr>
      <w:tr w:rsidR="00876D4E" w:rsidRPr="000655C0" w:rsidTr="00876D4E">
        <w:trPr>
          <w:trHeight w:val="291"/>
        </w:trPr>
        <w:tc>
          <w:tcPr>
            <w:tcW w:w="4338" w:type="dxa"/>
            <w:tcBorders>
              <w:top w:val="nil"/>
              <w:left w:val="nil"/>
              <w:bottom w:val="nil"/>
              <w:right w:val="nil"/>
            </w:tcBorders>
            <w:hideMark/>
          </w:tcPr>
          <w:p w:rsidR="00876D4E" w:rsidRPr="000655C0" w:rsidRDefault="00876D4E" w:rsidP="005B515F">
            <w:pPr>
              <w:rPr>
                <w:rFonts w:ascii="Arial" w:hAnsi="Arial" w:cs="Arial"/>
              </w:rPr>
            </w:pPr>
            <w:r w:rsidRPr="000655C0">
              <w:rPr>
                <w:rFonts w:ascii="Arial" w:hAnsi="Arial" w:cs="Arial"/>
              </w:rPr>
              <w:t>Request by:</w:t>
            </w:r>
          </w:p>
        </w:tc>
        <w:tc>
          <w:tcPr>
            <w:tcW w:w="5220" w:type="dxa"/>
            <w:tcBorders>
              <w:top w:val="nil"/>
              <w:left w:val="nil"/>
              <w:bottom w:val="nil"/>
              <w:right w:val="nil"/>
            </w:tcBorders>
          </w:tcPr>
          <w:p w:rsidR="00876D4E" w:rsidRPr="000655C0" w:rsidRDefault="00876D4E" w:rsidP="005B515F">
            <w:pPr>
              <w:rPr>
                <w:rFonts w:ascii="Arial" w:hAnsi="Arial" w:cs="Arial"/>
              </w:rPr>
            </w:pPr>
            <w:r w:rsidRPr="000655C0">
              <w:rPr>
                <w:rFonts w:ascii="Arial" w:hAnsi="Arial" w:cs="Arial"/>
              </w:rPr>
              <w:t>City of Mississauga , Tim and Ruth Connelly, Andrew Davies</w:t>
            </w:r>
          </w:p>
        </w:tc>
      </w:tr>
      <w:tr w:rsidR="00876D4E" w:rsidRPr="000655C0" w:rsidTr="00876D4E">
        <w:trPr>
          <w:trHeight w:val="280"/>
        </w:trPr>
        <w:tc>
          <w:tcPr>
            <w:tcW w:w="4338" w:type="dxa"/>
            <w:tcBorders>
              <w:top w:val="nil"/>
              <w:left w:val="nil"/>
              <w:bottom w:val="nil"/>
              <w:right w:val="nil"/>
            </w:tcBorders>
            <w:hideMark/>
          </w:tcPr>
          <w:p w:rsidR="00876D4E" w:rsidRPr="000655C0" w:rsidRDefault="00876D4E" w:rsidP="005B515F">
            <w:pPr>
              <w:rPr>
                <w:rFonts w:ascii="Arial" w:hAnsi="Arial" w:cs="Arial"/>
              </w:rPr>
            </w:pPr>
            <w:r w:rsidRPr="000655C0">
              <w:rPr>
                <w:rFonts w:ascii="Arial" w:hAnsi="Arial" w:cs="Arial"/>
              </w:rPr>
              <w:t>Request for:</w:t>
            </w:r>
          </w:p>
        </w:tc>
        <w:tc>
          <w:tcPr>
            <w:tcW w:w="5220" w:type="dxa"/>
            <w:tcBorders>
              <w:top w:val="nil"/>
              <w:left w:val="nil"/>
              <w:bottom w:val="nil"/>
              <w:right w:val="nil"/>
            </w:tcBorders>
            <w:hideMark/>
          </w:tcPr>
          <w:p w:rsidR="00876D4E" w:rsidRPr="000655C0" w:rsidRDefault="00876D4E" w:rsidP="005B515F">
            <w:pPr>
              <w:rPr>
                <w:rFonts w:ascii="Arial" w:hAnsi="Arial" w:cs="Arial"/>
              </w:rPr>
            </w:pPr>
            <w:r w:rsidRPr="000655C0">
              <w:rPr>
                <w:rFonts w:ascii="Arial" w:hAnsi="Arial" w:cs="Arial"/>
              </w:rPr>
              <w:t xml:space="preserve">Request for Directions </w:t>
            </w:r>
          </w:p>
        </w:tc>
      </w:tr>
    </w:tbl>
    <w:p w:rsidR="00B268A7" w:rsidRPr="001D67CE" w:rsidRDefault="00B268A7"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876D4E">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22760B" w:rsidP="00EA6011">
            <w:pPr>
              <w:rPr>
                <w:rFonts w:ascii="Arial" w:hAnsi="Arial" w:cs="Arial"/>
              </w:rPr>
            </w:pPr>
            <w:r>
              <w:rPr>
                <w:rFonts w:ascii="Arial" w:hAnsi="Arial" w:cs="Arial"/>
              </w:rPr>
              <w:t>In writing and by tele</w:t>
            </w:r>
            <w:r w:rsidR="0017766F">
              <w:rPr>
                <w:rFonts w:ascii="Arial" w:hAnsi="Arial" w:cs="Arial"/>
              </w:rPr>
              <w:t xml:space="preserve">phone </w:t>
            </w:r>
            <w:r>
              <w:rPr>
                <w:rFonts w:ascii="Arial" w:hAnsi="Arial" w:cs="Arial"/>
              </w:rPr>
              <w:t xml:space="preserve">conference call on October </w:t>
            </w:r>
            <w:r w:rsidR="00EA6011">
              <w:rPr>
                <w:rFonts w:ascii="Arial" w:hAnsi="Arial" w:cs="Arial"/>
              </w:rPr>
              <w:t>18</w:t>
            </w:r>
            <w:r>
              <w:rPr>
                <w:rFonts w:ascii="Arial" w:hAnsi="Arial" w:cs="Arial"/>
              </w:rPr>
              <w:t>, 2018</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254EE1" w:rsidRPr="001E764F" w:rsidTr="00876D4E">
        <w:tc>
          <w:tcPr>
            <w:tcW w:w="4361" w:type="dxa"/>
          </w:tcPr>
          <w:p w:rsidR="00254EE1" w:rsidRPr="00C940BC" w:rsidRDefault="00254EE1" w:rsidP="00D245F7">
            <w:pPr>
              <w:rPr>
                <w:rFonts w:ascii="Arial" w:hAnsi="Arial" w:cs="Arial"/>
              </w:rPr>
            </w:pPr>
            <w:r w:rsidRPr="001E764F">
              <w:rPr>
                <w:rFonts w:ascii="Arial" w:hAnsi="Arial" w:cs="Arial"/>
                <w:b/>
              </w:rPr>
              <w:t>APPEARANCES:</w:t>
            </w:r>
          </w:p>
        </w:tc>
        <w:tc>
          <w:tcPr>
            <w:tcW w:w="5245" w:type="dxa"/>
          </w:tcPr>
          <w:p w:rsidR="00254EE1" w:rsidRPr="001E764F"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E764F" w:rsidRDefault="00254EE1" w:rsidP="00D245F7">
            <w:pPr>
              <w:rPr>
                <w:rFonts w:ascii="Arial" w:hAnsi="Arial" w:cs="Arial"/>
              </w:rPr>
            </w:pPr>
          </w:p>
        </w:tc>
      </w:tr>
      <w:tr w:rsidR="00254EE1" w:rsidRPr="001E764F" w:rsidTr="00876D4E">
        <w:tc>
          <w:tcPr>
            <w:tcW w:w="4361" w:type="dxa"/>
          </w:tcPr>
          <w:p w:rsidR="00254EE1" w:rsidRPr="00C940BC" w:rsidRDefault="00254EE1" w:rsidP="00D245F7">
            <w:pPr>
              <w:rPr>
                <w:rFonts w:ascii="Arial" w:hAnsi="Arial" w:cs="Arial"/>
              </w:rPr>
            </w:pPr>
            <w:r w:rsidRPr="00C300F2">
              <w:rPr>
                <w:rFonts w:ascii="Arial" w:hAnsi="Arial" w:cs="Arial"/>
                <w:b/>
                <w:u w:val="single"/>
              </w:rPr>
              <w:t>Parties</w:t>
            </w:r>
          </w:p>
        </w:tc>
        <w:tc>
          <w:tcPr>
            <w:tcW w:w="5245" w:type="dxa"/>
          </w:tcPr>
          <w:p w:rsidR="00254EE1" w:rsidRPr="00C940BC" w:rsidRDefault="00254EE1" w:rsidP="00D245F7">
            <w:pPr>
              <w:rPr>
                <w:rFonts w:ascii="Arial" w:hAnsi="Arial" w:cs="Arial"/>
              </w:rPr>
            </w:pPr>
            <w:r w:rsidRPr="00C300F2">
              <w:rPr>
                <w:rFonts w:ascii="Arial" w:hAnsi="Arial" w:cs="Arial"/>
                <w:b/>
                <w:u w:val="single"/>
              </w:rPr>
              <w:t>Counsel</w:t>
            </w:r>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D67CE"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r>
              <w:rPr>
                <w:rFonts w:ascii="Arial" w:hAnsi="Arial" w:cs="Arial"/>
              </w:rPr>
              <w:t>2517015 Ontario Inc. (Format Group</w:t>
            </w:r>
            <w:r w:rsidR="001E6521">
              <w:rPr>
                <w:rFonts w:ascii="Arial" w:hAnsi="Arial" w:cs="Arial"/>
              </w:rPr>
              <w:t xml:space="preserve"> Inc.</w:t>
            </w:r>
            <w:r>
              <w:rPr>
                <w:rFonts w:ascii="Arial" w:hAnsi="Arial" w:cs="Arial"/>
              </w:rPr>
              <w:t>)</w:t>
            </w:r>
          </w:p>
        </w:tc>
        <w:tc>
          <w:tcPr>
            <w:tcW w:w="5245" w:type="dxa"/>
          </w:tcPr>
          <w:p w:rsidR="00254EE1" w:rsidRPr="001D67CE" w:rsidRDefault="00254EE1" w:rsidP="00D245F7">
            <w:pPr>
              <w:rPr>
                <w:rFonts w:ascii="Arial" w:hAnsi="Arial" w:cs="Arial"/>
              </w:rPr>
            </w:pPr>
            <w:r>
              <w:rPr>
                <w:rFonts w:ascii="Arial" w:hAnsi="Arial" w:cs="Arial"/>
              </w:rPr>
              <w:t>Ira Kagan and Kristie Jennings</w:t>
            </w:r>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D67CE"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r>
              <w:rPr>
                <w:rFonts w:ascii="Arial" w:hAnsi="Arial" w:cs="Arial"/>
              </w:rPr>
              <w:t>City of Mississauga</w:t>
            </w:r>
          </w:p>
        </w:tc>
        <w:tc>
          <w:tcPr>
            <w:tcW w:w="5245" w:type="dxa"/>
          </w:tcPr>
          <w:p w:rsidR="00254EE1" w:rsidRPr="001D67CE" w:rsidRDefault="00254EE1" w:rsidP="00D245F7">
            <w:pPr>
              <w:rPr>
                <w:rFonts w:ascii="Arial" w:hAnsi="Arial" w:cs="Arial"/>
              </w:rPr>
            </w:pPr>
            <w:proofErr w:type="spellStart"/>
            <w:r>
              <w:rPr>
                <w:rFonts w:ascii="Arial" w:hAnsi="Arial" w:cs="Arial"/>
              </w:rPr>
              <w:t>Rajan</w:t>
            </w:r>
            <w:proofErr w:type="spellEnd"/>
            <w:r>
              <w:rPr>
                <w:rFonts w:ascii="Arial" w:hAnsi="Arial" w:cs="Arial"/>
              </w:rPr>
              <w:t xml:space="preserve"> </w:t>
            </w:r>
            <w:proofErr w:type="spellStart"/>
            <w:r>
              <w:rPr>
                <w:rFonts w:ascii="Arial" w:hAnsi="Arial" w:cs="Arial"/>
              </w:rPr>
              <w:t>Kehar</w:t>
            </w:r>
            <w:proofErr w:type="spellEnd"/>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D67CE"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r>
              <w:rPr>
                <w:rFonts w:ascii="Arial" w:hAnsi="Arial" w:cs="Arial"/>
              </w:rPr>
              <w:t>Tim and Ruth Connelly</w:t>
            </w:r>
          </w:p>
        </w:tc>
        <w:tc>
          <w:tcPr>
            <w:tcW w:w="5245" w:type="dxa"/>
          </w:tcPr>
          <w:p w:rsidR="00254EE1" w:rsidRPr="001D67CE" w:rsidRDefault="00254EE1" w:rsidP="00D245F7">
            <w:pPr>
              <w:rPr>
                <w:rFonts w:ascii="Arial" w:hAnsi="Arial" w:cs="Arial"/>
              </w:rPr>
            </w:pPr>
            <w:r>
              <w:rPr>
                <w:rFonts w:ascii="Arial" w:hAnsi="Arial" w:cs="Arial"/>
              </w:rPr>
              <w:t xml:space="preserve">Ian </w:t>
            </w:r>
            <w:proofErr w:type="spellStart"/>
            <w:r>
              <w:rPr>
                <w:rFonts w:ascii="Arial" w:hAnsi="Arial" w:cs="Arial"/>
              </w:rPr>
              <w:t>Flett</w:t>
            </w:r>
            <w:proofErr w:type="spellEnd"/>
          </w:p>
        </w:tc>
      </w:tr>
      <w:tr w:rsidR="0017766F" w:rsidRPr="001E764F" w:rsidTr="00876D4E">
        <w:tc>
          <w:tcPr>
            <w:tcW w:w="4361" w:type="dxa"/>
          </w:tcPr>
          <w:p w:rsidR="0017766F" w:rsidRDefault="00CA7D13" w:rsidP="00D245F7">
            <w:pPr>
              <w:rPr>
                <w:rFonts w:ascii="Arial" w:hAnsi="Arial" w:cs="Arial"/>
              </w:rPr>
            </w:pPr>
            <w:r>
              <w:rPr>
                <w:rFonts w:ascii="Arial" w:hAnsi="Arial" w:cs="Arial"/>
              </w:rPr>
              <w:t>Andrew Davies</w:t>
            </w:r>
          </w:p>
        </w:tc>
        <w:tc>
          <w:tcPr>
            <w:tcW w:w="5245" w:type="dxa"/>
          </w:tcPr>
          <w:p w:rsidR="0017766F" w:rsidRDefault="0017766F" w:rsidP="00D245F7">
            <w:pPr>
              <w:rPr>
                <w:rFonts w:ascii="Arial" w:hAnsi="Arial" w:cs="Arial"/>
              </w:rPr>
            </w:pPr>
          </w:p>
        </w:tc>
      </w:tr>
      <w:bookmarkEnd w:id="0"/>
    </w:tbl>
    <w:p w:rsidR="0026320F" w:rsidRDefault="0026320F" w:rsidP="00270AAE">
      <w:pPr>
        <w:rPr>
          <w:rFonts w:ascii="Arial" w:hAnsi="Arial" w:cs="Arial"/>
        </w:rPr>
      </w:pPr>
    </w:p>
    <w:p w:rsidR="00935095" w:rsidRDefault="00935095" w:rsidP="00270AAE">
      <w:pPr>
        <w:rPr>
          <w:rFonts w:ascii="Arial" w:hAnsi="Arial" w:cs="Arial"/>
        </w:rPr>
      </w:pPr>
    </w:p>
    <w:p w:rsidR="00935095" w:rsidRPr="00C940BC" w:rsidRDefault="00935095" w:rsidP="00935095">
      <w:pPr>
        <w:pStyle w:val="DecisionDeliveredby"/>
        <w:pBdr>
          <w:bottom w:val="single" w:sz="4" w:space="1" w:color="auto"/>
        </w:pBdr>
        <w:rPr>
          <w:rFonts w:cs="Arial"/>
          <w:b w:val="0"/>
        </w:rPr>
      </w:pPr>
      <w:r w:rsidRPr="005A767F">
        <w:rPr>
          <w:rFonts w:cs="Arial"/>
        </w:rPr>
        <w:t>DECISION DELIVERED BY</w:t>
      </w:r>
      <w:r w:rsidR="009F1D55">
        <w:rPr>
          <w:rFonts w:cs="Arial"/>
        </w:rPr>
        <w:t xml:space="preserve"> PAULA BOUTIS AND ORDER OF THE TRIBUNAL</w:t>
      </w:r>
      <w:r w:rsidRPr="005A767F">
        <w:rPr>
          <w:rFonts w:cs="Arial"/>
        </w:rPr>
        <w:t xml:space="preserve"> </w:t>
      </w:r>
    </w:p>
    <w:p w:rsidR="00935095" w:rsidRDefault="00935095" w:rsidP="0017766F">
      <w:pPr>
        <w:pStyle w:val="Heading1"/>
        <w:spacing w:beforeLines="150" w:before="360" w:afterLines="150" w:after="360"/>
      </w:pPr>
      <w:r w:rsidRPr="003148C9">
        <w:t>INTRODUCTION</w:t>
      </w:r>
    </w:p>
    <w:p w:rsidR="00E13F77" w:rsidRDefault="009A4564" w:rsidP="0017766F">
      <w:pPr>
        <w:pStyle w:val="DecisionBody"/>
        <w:numPr>
          <w:ilvl w:val="0"/>
          <w:numId w:val="31"/>
        </w:numPr>
        <w:spacing w:beforeLines="150" w:before="360" w:afterLines="150" w:after="360"/>
        <w:ind w:left="0" w:firstLine="0"/>
      </w:pPr>
      <w:r>
        <w:t>Following the second Pre-h</w:t>
      </w:r>
      <w:r w:rsidR="0022760B">
        <w:t xml:space="preserve">earing </w:t>
      </w:r>
      <w:r>
        <w:t>C</w:t>
      </w:r>
      <w:r w:rsidR="0022760B">
        <w:t xml:space="preserve">onference for Case File No. PL171169, the </w:t>
      </w:r>
      <w:r w:rsidR="00614A65">
        <w:t>Local Planning Appeal Tribunal (“</w:t>
      </w:r>
      <w:r w:rsidR="0022760B">
        <w:t>Tribunal</w:t>
      </w:r>
      <w:r w:rsidR="00614A65">
        <w:t>”)</w:t>
      </w:r>
      <w:r w:rsidR="0022760B">
        <w:t xml:space="preserve"> heard, in writing and by tele</w:t>
      </w:r>
      <w:r w:rsidR="0017766F">
        <w:t xml:space="preserve">phone </w:t>
      </w:r>
      <w:r w:rsidR="0022760B">
        <w:t>conference call</w:t>
      </w:r>
      <w:r w:rsidR="00A323DA">
        <w:t xml:space="preserve"> (“TCC”)</w:t>
      </w:r>
      <w:r w:rsidR="0022760B">
        <w:t xml:space="preserve">, a </w:t>
      </w:r>
      <w:r w:rsidR="00B129F7">
        <w:t xml:space="preserve">joint </w:t>
      </w:r>
      <w:r w:rsidR="0022760B">
        <w:t xml:space="preserve">motion by </w:t>
      </w:r>
      <w:r w:rsidR="00942D00">
        <w:t xml:space="preserve">the City of Mississauga (“City”), </w:t>
      </w:r>
      <w:r w:rsidR="0022760B">
        <w:t xml:space="preserve">Tim and Ruth Connelly, Andrew Davies </w:t>
      </w:r>
      <w:r w:rsidR="00942D00">
        <w:t>(collectively, the “Moving Parties”)</w:t>
      </w:r>
      <w:r w:rsidR="0022760B">
        <w:t xml:space="preserve"> to have Case File No. PL180649 consolidated with or</w:t>
      </w:r>
      <w:r>
        <w:t>, in the alternative</w:t>
      </w:r>
      <w:r w:rsidR="0022760B">
        <w:t xml:space="preserve"> heard together with</w:t>
      </w:r>
      <w:r>
        <w:t>,</w:t>
      </w:r>
      <w:r w:rsidR="0022760B">
        <w:t xml:space="preserve"> </w:t>
      </w:r>
      <w:r>
        <w:t xml:space="preserve">Case File No. </w:t>
      </w:r>
      <w:r w:rsidR="0022760B">
        <w:t>PL171169.</w:t>
      </w:r>
      <w:r w:rsidR="0051707A">
        <w:t xml:space="preserve"> Format Group </w:t>
      </w:r>
      <w:r w:rsidR="001E6521">
        <w:t xml:space="preserve">Inc. </w:t>
      </w:r>
      <w:r w:rsidR="0051707A">
        <w:t>is the Applicant/Respondent in the motion</w:t>
      </w:r>
      <w:r>
        <w:t xml:space="preserve"> and </w:t>
      </w:r>
      <w:r w:rsidR="00EA6011">
        <w:t xml:space="preserve">opposed </w:t>
      </w:r>
      <w:r>
        <w:t>the motion to consolidate</w:t>
      </w:r>
      <w:r w:rsidR="0051707A">
        <w:t xml:space="preserve">. </w:t>
      </w:r>
    </w:p>
    <w:p w:rsidR="00686901" w:rsidRDefault="0022760B" w:rsidP="0017766F">
      <w:pPr>
        <w:pStyle w:val="DecisionBody"/>
        <w:numPr>
          <w:ilvl w:val="0"/>
          <w:numId w:val="31"/>
        </w:numPr>
        <w:spacing w:beforeLines="150" w:before="360" w:afterLines="150" w:after="360"/>
        <w:ind w:left="0" w:firstLine="0"/>
      </w:pPr>
      <w:r>
        <w:t xml:space="preserve">PL171169 relates to official plan amendment (“OPA”) and zoning by-law amendment (“ZBLA”) appeals </w:t>
      </w:r>
      <w:r w:rsidR="00B129F7">
        <w:t xml:space="preserve">(“Legacy Appeals”) </w:t>
      </w:r>
      <w:r>
        <w:t xml:space="preserve">for property located at 1190 and 1200 Lorne Park Road (“Subject Site”). These </w:t>
      </w:r>
      <w:r w:rsidR="0051707A">
        <w:t xml:space="preserve">Legacy Appeals are </w:t>
      </w:r>
      <w:r w:rsidR="00CF303B">
        <w:t>subject to pre-</w:t>
      </w:r>
      <w:r>
        <w:t>Bill 139 procedures</w:t>
      </w:r>
      <w:r w:rsidR="00CF303B">
        <w:t xml:space="preserve"> and law</w:t>
      </w:r>
      <w:r>
        <w:t>.</w:t>
      </w:r>
    </w:p>
    <w:p w:rsidR="00CF303B" w:rsidRDefault="0022760B" w:rsidP="0017766F">
      <w:pPr>
        <w:pStyle w:val="DecisionBody"/>
        <w:numPr>
          <w:ilvl w:val="0"/>
          <w:numId w:val="31"/>
        </w:numPr>
        <w:spacing w:beforeLines="150" w:before="360" w:afterLines="150" w:after="360"/>
        <w:ind w:left="0" w:firstLine="0"/>
      </w:pPr>
      <w:r>
        <w:t xml:space="preserve">PL180649 relates to an application to </w:t>
      </w:r>
      <w:r w:rsidR="00CF303B">
        <w:t>sever</w:t>
      </w:r>
      <w:r>
        <w:t xml:space="preserve"> the Subject Site</w:t>
      </w:r>
      <w:r w:rsidR="004C5A0D">
        <w:t xml:space="preserve"> (“Consent Application”)</w:t>
      </w:r>
      <w:r>
        <w:t xml:space="preserve">, such that lands fronting Garden Road </w:t>
      </w:r>
      <w:r w:rsidR="000F5653">
        <w:t xml:space="preserve">would provisionally </w:t>
      </w:r>
      <w:r w:rsidR="00CF303B">
        <w:t>be authorized to create</w:t>
      </w:r>
      <w:r w:rsidR="000F5653">
        <w:t xml:space="preserve"> three lots</w:t>
      </w:r>
      <w:r w:rsidR="00CF303B">
        <w:t xml:space="preserve">, </w:t>
      </w:r>
      <w:r w:rsidR="0051707A">
        <w:t>leaving a larger retained lot on</w:t>
      </w:r>
      <w:r w:rsidR="00CF303B">
        <w:t xml:space="preserve"> the north </w:t>
      </w:r>
      <w:r w:rsidR="0051707A">
        <w:t>end</w:t>
      </w:r>
      <w:r w:rsidR="00CF303B">
        <w:t xml:space="preserve"> of the Subject Site</w:t>
      </w:r>
      <w:r w:rsidR="0051707A">
        <w:t xml:space="preserve">. It is that larger retained lot area that is </w:t>
      </w:r>
      <w:r w:rsidR="00616C10">
        <w:t xml:space="preserve">now </w:t>
      </w:r>
      <w:r w:rsidR="0051707A">
        <w:t>the subject of the Legacy Appeals</w:t>
      </w:r>
      <w:r w:rsidR="000F5653">
        <w:t xml:space="preserve">. </w:t>
      </w:r>
    </w:p>
    <w:p w:rsidR="00EC1BFD" w:rsidRDefault="00EC1BFD" w:rsidP="0017766F">
      <w:pPr>
        <w:pStyle w:val="DecisionBody"/>
        <w:numPr>
          <w:ilvl w:val="0"/>
          <w:numId w:val="31"/>
        </w:numPr>
        <w:spacing w:beforeLines="150" w:before="360" w:afterLines="150" w:after="360"/>
        <w:ind w:left="0" w:firstLine="0"/>
      </w:pPr>
      <w:r>
        <w:t>The Tribunal had before it the affidavits of three planners</w:t>
      </w:r>
      <w:r w:rsidR="00EA6011">
        <w:t>: o</w:t>
      </w:r>
      <w:r>
        <w:t xml:space="preserve">n behalf of the Moving Parties, Allan Ramsay (engaged by the City) and John </w:t>
      </w:r>
      <w:proofErr w:type="spellStart"/>
      <w:r>
        <w:t>Lohmus</w:t>
      </w:r>
      <w:proofErr w:type="spellEnd"/>
      <w:r>
        <w:t xml:space="preserve"> (engaged by the Connellys and Mr. Davies</w:t>
      </w:r>
      <w:r w:rsidR="00EA6011">
        <w:t xml:space="preserve">); on </w:t>
      </w:r>
      <w:r>
        <w:t>behalf of the Applicant, Ruth Victor filed an affidavit. There was no opposition to the qualifications of these individuals to provide opinion evidence in the area of land use planning and the Tribunal so qualified them for that purpose.</w:t>
      </w:r>
    </w:p>
    <w:p w:rsidR="0022760B" w:rsidRDefault="000F5653" w:rsidP="0017766F">
      <w:pPr>
        <w:pStyle w:val="DecisionBody"/>
        <w:numPr>
          <w:ilvl w:val="0"/>
          <w:numId w:val="31"/>
        </w:numPr>
        <w:spacing w:beforeLines="150" w:before="360" w:afterLines="150" w:after="360"/>
        <w:ind w:left="0" w:firstLine="0"/>
      </w:pPr>
      <w:r>
        <w:t xml:space="preserve">Proposed to be developed on </w:t>
      </w:r>
      <w:r w:rsidR="00CF303B">
        <w:t>the Garden Road</w:t>
      </w:r>
      <w:r>
        <w:t xml:space="preserve"> lots are </w:t>
      </w:r>
      <w:r w:rsidR="006253CB">
        <w:t xml:space="preserve">three </w:t>
      </w:r>
      <w:r>
        <w:t xml:space="preserve">detached dwellings, </w:t>
      </w:r>
      <w:r w:rsidR="008A0CE7">
        <w:t xml:space="preserve">all </w:t>
      </w:r>
      <w:r>
        <w:t>within</w:t>
      </w:r>
      <w:r w:rsidR="008A0CE7">
        <w:t xml:space="preserve"> and as permitted by</w:t>
      </w:r>
      <w:r>
        <w:t xml:space="preserve"> the zoning permissions. No official plan amendments are sought or required. The </w:t>
      </w:r>
      <w:r w:rsidR="008A0CE7">
        <w:t xml:space="preserve">proposed </w:t>
      </w:r>
      <w:r>
        <w:t xml:space="preserve">larger retained lot </w:t>
      </w:r>
      <w:r w:rsidR="008A0CE7">
        <w:t>continues to require</w:t>
      </w:r>
      <w:r>
        <w:t xml:space="preserve"> the</w:t>
      </w:r>
      <w:r w:rsidR="008A0CE7">
        <w:t xml:space="preserve"> requested</w:t>
      </w:r>
      <w:r>
        <w:t xml:space="preserve"> ZBLA and OPA to allow for the development of townhouses and semi-detached homes as part of a condominium development. </w:t>
      </w:r>
    </w:p>
    <w:p w:rsidR="000F5653" w:rsidRDefault="000F5653" w:rsidP="0017766F">
      <w:pPr>
        <w:pStyle w:val="DecisionBody"/>
        <w:numPr>
          <w:ilvl w:val="0"/>
          <w:numId w:val="31"/>
        </w:numPr>
        <w:spacing w:beforeLines="150" w:before="360" w:afterLines="150" w:after="360"/>
        <w:ind w:left="0" w:firstLine="0"/>
      </w:pPr>
      <w:r>
        <w:t xml:space="preserve">The Applicant’s initial </w:t>
      </w:r>
      <w:r w:rsidR="008A0CE7">
        <w:t>ZBLA and OPA applications</w:t>
      </w:r>
      <w:r>
        <w:t xml:space="preserve"> pertained to the entire Subject Site.</w:t>
      </w:r>
      <w:r w:rsidR="004C5A0D">
        <w:t xml:space="preserve"> T</w:t>
      </w:r>
      <w:r>
        <w:t xml:space="preserve">he lots that are now proposed to be severed for detached dwellings were originally proposed for semi-detached dwellings, </w:t>
      </w:r>
      <w:r w:rsidR="004C5A0D">
        <w:t>which made</w:t>
      </w:r>
      <w:r>
        <w:t xml:space="preserve"> it necessary to seek an OPA and ZBLA for this portion of the site as well. </w:t>
      </w:r>
      <w:r w:rsidR="00616C10">
        <w:t>It was further to City s</w:t>
      </w:r>
      <w:r w:rsidR="004C5A0D">
        <w:t xml:space="preserve">taff comments that the Applicant revised its proposal </w:t>
      </w:r>
      <w:r w:rsidR="008A0CE7">
        <w:t>to eliminate the semi-detached houses fronting Garden Road, and instead</w:t>
      </w:r>
      <w:r w:rsidR="0002680D">
        <w:t>, ultimately,</w:t>
      </w:r>
      <w:r w:rsidR="008A0CE7">
        <w:t xml:space="preserve"> proceed</w:t>
      </w:r>
      <w:r w:rsidR="004C5A0D">
        <w:t xml:space="preserve"> by way of Consent Application for the development of three detached dwellings</w:t>
      </w:r>
      <w:r w:rsidR="006253CB">
        <w:t xml:space="preserve"> on that portion of the Subject Site</w:t>
      </w:r>
      <w:r w:rsidR="008A0CE7">
        <w:t xml:space="preserve"> instead</w:t>
      </w:r>
      <w:r w:rsidR="004C5A0D">
        <w:t>.</w:t>
      </w:r>
    </w:p>
    <w:p w:rsidR="000F5653" w:rsidRDefault="000F5653" w:rsidP="00754E3A">
      <w:pPr>
        <w:pStyle w:val="DecisionBody"/>
        <w:numPr>
          <w:ilvl w:val="0"/>
          <w:numId w:val="31"/>
        </w:numPr>
        <w:spacing w:beforeLines="150" w:before="360" w:afterLines="150" w:after="360"/>
        <w:ind w:left="0" w:firstLine="0"/>
      </w:pPr>
      <w:r>
        <w:t>T</w:t>
      </w:r>
      <w:r w:rsidR="003A589B">
        <w:t>he Consent Application</w:t>
      </w:r>
      <w:r>
        <w:t xml:space="preserve"> was authorized by the City’s Committee of Adjustment and appealed by </w:t>
      </w:r>
      <w:r w:rsidR="001E6521">
        <w:t>Mr.</w:t>
      </w:r>
      <w:r w:rsidR="00FE392A">
        <w:t xml:space="preserve"> and </w:t>
      </w:r>
      <w:r w:rsidR="001E6521">
        <w:t>Ms.</w:t>
      </w:r>
      <w:r w:rsidR="00FE392A">
        <w:t xml:space="preserve"> Connelly, who are parties to PL171169. </w:t>
      </w:r>
      <w:r w:rsidR="00024870">
        <w:t xml:space="preserve">To permit </w:t>
      </w:r>
      <w:r w:rsidR="001E6521">
        <w:t>Mr.</w:t>
      </w:r>
      <w:r w:rsidR="00024870">
        <w:t xml:space="preserve"> Davies and the City to participate in the </w:t>
      </w:r>
      <w:r w:rsidR="00FE392A">
        <w:t>consolidation motion</w:t>
      </w:r>
      <w:r w:rsidR="00A323DA">
        <w:t xml:space="preserve"> along with the Connellys</w:t>
      </w:r>
      <w:r w:rsidR="00FE392A">
        <w:t xml:space="preserve">, the Tribunal granted party status to </w:t>
      </w:r>
      <w:r w:rsidR="00024870">
        <w:t>both</w:t>
      </w:r>
      <w:r w:rsidR="00A323DA">
        <w:t xml:space="preserve"> Mr. Davies and the City</w:t>
      </w:r>
      <w:r w:rsidR="00024870">
        <w:t xml:space="preserve"> in</w:t>
      </w:r>
      <w:r w:rsidR="00FE392A">
        <w:t xml:space="preserve"> PL180649</w:t>
      </w:r>
      <w:r w:rsidR="00616C10">
        <w:t>, as addressed in the Tribunal’s disposition dated August 28, 2018. The Tribunal now confirms this status</w:t>
      </w:r>
      <w:r w:rsidR="00024870">
        <w:t xml:space="preserve">. </w:t>
      </w:r>
      <w:r w:rsidR="00616C10">
        <w:t xml:space="preserve"> </w:t>
      </w:r>
      <w:r w:rsidR="009C19CA">
        <w:t xml:space="preserve"> </w:t>
      </w:r>
    </w:p>
    <w:p w:rsidR="006253CB" w:rsidRDefault="00807122" w:rsidP="009C4323">
      <w:pPr>
        <w:pStyle w:val="DecisionBody"/>
        <w:numPr>
          <w:ilvl w:val="0"/>
          <w:numId w:val="31"/>
        </w:numPr>
        <w:spacing w:beforeLines="150" w:before="360" w:afterLines="150" w:after="360"/>
        <w:ind w:left="0" w:firstLine="0"/>
      </w:pPr>
      <w:r>
        <w:t>After a careful review of the records and upon hearing submissions from counsel, the Tribunal concludes it must dismiss the motion.</w:t>
      </w:r>
    </w:p>
    <w:p w:rsidR="006253CB" w:rsidRDefault="006253CB" w:rsidP="009C4323">
      <w:pPr>
        <w:pStyle w:val="Heading1"/>
        <w:spacing w:beforeLines="150" w:before="360" w:afterLines="150" w:after="360"/>
      </w:pPr>
      <w:r>
        <w:t>EVIDENCE AND ANALYSIS</w:t>
      </w:r>
    </w:p>
    <w:p w:rsidR="006253CB" w:rsidRDefault="006253CB" w:rsidP="009C4323">
      <w:pPr>
        <w:pStyle w:val="Heading2"/>
        <w:spacing w:beforeLines="150" w:before="360" w:afterLines="150" w:after="360"/>
      </w:pPr>
      <w:r>
        <w:t>Legal Framework for the Appeals</w:t>
      </w:r>
    </w:p>
    <w:p w:rsidR="00807122" w:rsidRDefault="00807122" w:rsidP="009C4323">
      <w:pPr>
        <w:pStyle w:val="DecisionBody"/>
        <w:numPr>
          <w:ilvl w:val="0"/>
          <w:numId w:val="31"/>
        </w:numPr>
        <w:spacing w:beforeLines="150" w:before="360" w:afterLines="150" w:after="360"/>
        <w:ind w:left="0" w:firstLine="0"/>
      </w:pPr>
      <w:r>
        <w:t>This is likely the first matter in which parties are seeking to consolidate legacy and post</w:t>
      </w:r>
      <w:r w:rsidR="008A0CE7">
        <w:t>-</w:t>
      </w:r>
      <w:r>
        <w:t xml:space="preserve">Bill 139 appeals. </w:t>
      </w:r>
    </w:p>
    <w:p w:rsidR="00807122" w:rsidRDefault="006253CB" w:rsidP="009C4323">
      <w:pPr>
        <w:pStyle w:val="DecisionBody"/>
        <w:numPr>
          <w:ilvl w:val="0"/>
          <w:numId w:val="31"/>
        </w:numPr>
        <w:spacing w:beforeLines="150" w:before="360" w:afterLines="150" w:after="360"/>
        <w:ind w:left="0" w:firstLine="0"/>
      </w:pPr>
      <w:r>
        <w:t xml:space="preserve">The Consent Application is subject to post-Bill 139 rules. In the context of </w:t>
      </w:r>
      <w:r w:rsidR="00EA6011">
        <w:t>consent a</w:t>
      </w:r>
      <w:r>
        <w:t>pplications, this means that the only change relates to timing</w:t>
      </w:r>
      <w:r w:rsidR="00807122">
        <w:t xml:space="preserve"> of that appeal</w:t>
      </w:r>
      <w:r>
        <w:t>.</w:t>
      </w:r>
      <w:r w:rsidR="00807122">
        <w:t xml:space="preserve"> The process and evidence by which this type of appeal is disposed of is unchanged, i.e. it is a hearing </w:t>
      </w:r>
      <w:r w:rsidR="00807122" w:rsidRPr="008A0CE7">
        <w:rPr>
          <w:i/>
        </w:rPr>
        <w:t>de novo</w:t>
      </w:r>
      <w:r w:rsidR="00807122">
        <w:t xml:space="preserve">. In that way, it is the same as the Legacy Appeals, which are also hearings </w:t>
      </w:r>
      <w:r w:rsidR="00807122" w:rsidRPr="008A0CE7">
        <w:rPr>
          <w:i/>
        </w:rPr>
        <w:t>de novo</w:t>
      </w:r>
      <w:r w:rsidR="00807122">
        <w:t>.</w:t>
      </w:r>
      <w:r>
        <w:t xml:space="preserve"> </w:t>
      </w:r>
      <w:r w:rsidR="00807122">
        <w:t>However</w:t>
      </w:r>
      <w:r>
        <w:t xml:space="preserve">, </w:t>
      </w:r>
      <w:r w:rsidR="00EA6011">
        <w:t>the Consent Application</w:t>
      </w:r>
      <w:r w:rsidR="00807122">
        <w:t xml:space="preserve"> is now subject to a time period within which it is to be disposed of (i.e. it is to be heard and disp</w:t>
      </w:r>
      <w:r w:rsidR="008A0CE7">
        <w:t>osed of within six months</w:t>
      </w:r>
      <w:r w:rsidR="00807122">
        <w:t>)</w:t>
      </w:r>
      <w:r>
        <w:t xml:space="preserve">. </w:t>
      </w:r>
    </w:p>
    <w:p w:rsidR="00FE392A" w:rsidRDefault="006253CB" w:rsidP="0017766F">
      <w:pPr>
        <w:pStyle w:val="DecisionBody"/>
        <w:numPr>
          <w:ilvl w:val="0"/>
          <w:numId w:val="31"/>
        </w:numPr>
        <w:spacing w:beforeLines="150" w:before="360" w:afterLines="150" w:after="360"/>
        <w:ind w:left="0" w:firstLine="0"/>
      </w:pPr>
      <w:r>
        <w:t xml:space="preserve">The Tribunal has the </w:t>
      </w:r>
      <w:r w:rsidR="00807122">
        <w:t>ability</w:t>
      </w:r>
      <w:r>
        <w:t xml:space="preserve"> to “stop the clock”</w:t>
      </w:r>
      <w:r w:rsidR="00807122">
        <w:t xml:space="preserve"> on time limitations if</w:t>
      </w:r>
      <w:r>
        <w:t xml:space="preserve"> it is necessary for the fair and just determination of the appeal.</w:t>
      </w:r>
      <w:r w:rsidRPr="005A4E87">
        <w:rPr>
          <w:vertAlign w:val="superscript"/>
        </w:rPr>
        <w:footnoteReference w:id="1"/>
      </w:r>
      <w:r w:rsidR="00807122">
        <w:t xml:space="preserve"> The parties agreed this test applies in the context of the Consent Application, i.e. is postponement of the Consent Application necessary for the fair and just determination of the Consent Application </w:t>
      </w:r>
      <w:r w:rsidR="005A4E87">
        <w:t>a</w:t>
      </w:r>
      <w:r w:rsidR="00807122">
        <w:t xml:space="preserve">ppeal. It does not relate to the Legacy Appeals.   </w:t>
      </w:r>
    </w:p>
    <w:p w:rsidR="00B129F7" w:rsidRDefault="00B129F7" w:rsidP="0017766F">
      <w:pPr>
        <w:pStyle w:val="DecisionBody"/>
        <w:numPr>
          <w:ilvl w:val="0"/>
          <w:numId w:val="31"/>
        </w:numPr>
        <w:spacing w:beforeLines="150" w:before="360" w:afterLines="150" w:after="360"/>
        <w:ind w:left="0" w:firstLine="0"/>
      </w:pPr>
      <w:r>
        <w:t>The Legacy Appeals have no statutory limits placed on them</w:t>
      </w:r>
      <w:r w:rsidR="005A4E87">
        <w:t xml:space="preserve"> for the disposition of a decision</w:t>
      </w:r>
      <w:r w:rsidR="0021236E">
        <w:t>, in accordance with the former applicable processes</w:t>
      </w:r>
      <w:r>
        <w:t xml:space="preserve">. The </w:t>
      </w:r>
      <w:r w:rsidR="00184FDC">
        <w:t xml:space="preserve">Legacy Appeals </w:t>
      </w:r>
      <w:r>
        <w:t>are now set down for a hearing for eight days, beginning May 27, 201</w:t>
      </w:r>
      <w:r w:rsidR="0044472B">
        <w:t>9</w:t>
      </w:r>
      <w:r>
        <w:t>.</w:t>
      </w:r>
    </w:p>
    <w:p w:rsidR="00B129F7" w:rsidRDefault="00B129F7" w:rsidP="00754E3A">
      <w:pPr>
        <w:pStyle w:val="DecisionBody"/>
        <w:numPr>
          <w:ilvl w:val="0"/>
          <w:numId w:val="31"/>
        </w:numPr>
        <w:spacing w:beforeLines="150" w:before="360" w:afterLines="150" w:after="360"/>
        <w:ind w:left="0" w:firstLine="0"/>
      </w:pPr>
      <w:r>
        <w:t>Under the new framework, the Consent Application would be set down for a hearing and disposed of before the Legacy Appeals get to hearing, subject only to the postponement provisions of the regulations.</w:t>
      </w:r>
    </w:p>
    <w:p w:rsidR="00B129F7" w:rsidRDefault="00184FDC" w:rsidP="00754E3A">
      <w:pPr>
        <w:pStyle w:val="Heading2"/>
        <w:spacing w:beforeLines="150" w:before="360" w:afterLines="150" w:after="360"/>
      </w:pPr>
      <w:r>
        <w:t>Issue</w:t>
      </w:r>
      <w:r w:rsidR="00942D00">
        <w:t>s</w:t>
      </w:r>
    </w:p>
    <w:p w:rsidR="004C22F7" w:rsidRDefault="004C22F7" w:rsidP="00754E3A">
      <w:pPr>
        <w:pStyle w:val="DecisionBody"/>
        <w:numPr>
          <w:ilvl w:val="0"/>
          <w:numId w:val="31"/>
        </w:numPr>
        <w:spacing w:beforeLines="150" w:before="360" w:afterLines="150" w:after="360"/>
        <w:ind w:left="0" w:firstLine="0"/>
      </w:pPr>
      <w:r>
        <w:t>In this new world of time limitations being i</w:t>
      </w:r>
      <w:r w:rsidR="00C46E90">
        <w:t>mposed on the Tribunal for post-</w:t>
      </w:r>
      <w:r>
        <w:t>Bill 139 appeals, the Tribunal must be very cautious in postponing a matter. There is now direction from the legislature that matters</w:t>
      </w:r>
      <w:r w:rsidR="0002680D">
        <w:t xml:space="preserve"> under the new rules</w:t>
      </w:r>
      <w:r>
        <w:t xml:space="preserve"> </w:t>
      </w:r>
      <w:proofErr w:type="gramStart"/>
      <w:r>
        <w:t>are</w:t>
      </w:r>
      <w:proofErr w:type="gramEnd"/>
      <w:r>
        <w:t xml:space="preserve"> anticipated to be disposed of within a particular time frame. </w:t>
      </w:r>
    </w:p>
    <w:p w:rsidR="00B837A3" w:rsidRDefault="00B837A3" w:rsidP="00754E3A">
      <w:pPr>
        <w:pStyle w:val="DecisionBody"/>
        <w:numPr>
          <w:ilvl w:val="0"/>
          <w:numId w:val="31"/>
        </w:numPr>
        <w:spacing w:beforeLines="150" w:before="360" w:afterLines="150" w:after="360"/>
        <w:ind w:left="0" w:firstLine="0"/>
      </w:pPr>
      <w:r>
        <w:t xml:space="preserve">The Tribunal sought </w:t>
      </w:r>
      <w:r w:rsidR="005A4E87">
        <w:t>some direction from the parties as to how it should be considering the consolidation request in light of Bill 139 changes mandating time periods for the conclusion of</w:t>
      </w:r>
      <w:r w:rsidR="0002680D">
        <w:t xml:space="preserve"> post-Bill 139</w:t>
      </w:r>
      <w:r w:rsidR="005A4E87">
        <w:t xml:space="preserve"> appeals.</w:t>
      </w:r>
    </w:p>
    <w:p w:rsidR="005A4E87" w:rsidRDefault="005A4E87" w:rsidP="00754E3A">
      <w:pPr>
        <w:pStyle w:val="DecisionBody"/>
        <w:numPr>
          <w:ilvl w:val="0"/>
          <w:numId w:val="31"/>
        </w:numPr>
        <w:spacing w:beforeLines="150" w:before="360" w:afterLines="150" w:after="360"/>
        <w:ind w:left="0" w:firstLine="0"/>
      </w:pPr>
      <w:r>
        <w:t>The Applicant’</w:t>
      </w:r>
      <w:r w:rsidR="004C22F7">
        <w:t>s view wa</w:t>
      </w:r>
      <w:r>
        <w:t xml:space="preserve">s that “the true nature of the Joint Motion is to request the Tribunal to stop the clock … with respect to the [Consent Application] so that </w:t>
      </w:r>
      <w:r w:rsidR="00C46E90">
        <w:t>[it]</w:t>
      </w:r>
      <w:r>
        <w:t xml:space="preserve"> can be heard with the [Legacy Appeals]”</w:t>
      </w:r>
      <w:r w:rsidR="0044472B">
        <w:t>. The Applicant submitted this</w:t>
      </w:r>
      <w:r>
        <w:t xml:space="preserve"> would amount to a continued delay of the Consent Application, which has already been postponed to address this motion. </w:t>
      </w:r>
    </w:p>
    <w:p w:rsidR="005A4E87" w:rsidRDefault="005A4E87" w:rsidP="00754E3A">
      <w:pPr>
        <w:pStyle w:val="DecisionBody"/>
        <w:numPr>
          <w:ilvl w:val="0"/>
          <w:numId w:val="31"/>
        </w:numPr>
        <w:spacing w:beforeLines="150" w:before="360" w:afterLines="150" w:after="360"/>
        <w:ind w:left="0" w:firstLine="0"/>
      </w:pPr>
      <w:r>
        <w:t>The Moving Parties proposed that the Tribunal should consider the consolidation request first and</w:t>
      </w:r>
      <w:r w:rsidR="004C22F7">
        <w:t xml:space="preserve"> if the</w:t>
      </w:r>
      <w:r w:rsidR="00C46E90">
        <w:t xml:space="preserve"> motion for consolidation fails</w:t>
      </w:r>
      <w:r>
        <w:t xml:space="preserve">, the inquiry ends there. If there was a justification for consolidation, then the Tribunal </w:t>
      </w:r>
      <w:r w:rsidR="0002680D">
        <w:t>would then</w:t>
      </w:r>
      <w:r>
        <w:t xml:space="preserve"> turn its mind to the test for postponing a Bill 139 appeal.</w:t>
      </w:r>
    </w:p>
    <w:p w:rsidR="00126220" w:rsidRDefault="00126220" w:rsidP="00614A65">
      <w:pPr>
        <w:pStyle w:val="DecisionBody"/>
        <w:numPr>
          <w:ilvl w:val="0"/>
          <w:numId w:val="31"/>
        </w:numPr>
        <w:spacing w:beforeLines="150" w:before="360" w:afterLines="150" w:after="360"/>
        <w:ind w:left="0" w:firstLine="0"/>
      </w:pPr>
      <w:r>
        <w:t xml:space="preserve">The Tribunal has </w:t>
      </w:r>
      <w:r w:rsidR="00E319DA">
        <w:t xml:space="preserve">concluded that the matter of consolidation in </w:t>
      </w:r>
      <w:r w:rsidR="005A4E87">
        <w:t>the context of these facts</w:t>
      </w:r>
      <w:r w:rsidR="00E319DA">
        <w:t xml:space="preserve"> </w:t>
      </w:r>
      <w:r w:rsidR="0044472B">
        <w:t xml:space="preserve">is the </w:t>
      </w:r>
      <w:r w:rsidR="004C22F7">
        <w:t>following</w:t>
      </w:r>
      <w:r>
        <w:t>:</w:t>
      </w:r>
    </w:p>
    <w:p w:rsidR="0044472B" w:rsidRDefault="00126220" w:rsidP="001E6521">
      <w:pPr>
        <w:pStyle w:val="DecisionBody"/>
        <w:numPr>
          <w:ilvl w:val="1"/>
          <w:numId w:val="31"/>
        </w:numPr>
        <w:spacing w:beforeLines="150" w:before="360" w:afterLines="150" w:after="360"/>
        <w:ind w:hanging="720"/>
      </w:pPr>
      <w:r>
        <w:t>T</w:t>
      </w:r>
      <w:r w:rsidR="008378A7">
        <w:t>he Tribunal should first determine w</w:t>
      </w:r>
      <w:r w:rsidR="004F4BE3">
        <w:t>hether the appeals</w:t>
      </w:r>
      <w:r w:rsidR="008378A7">
        <w:t xml:space="preserve"> </w:t>
      </w:r>
      <w:r w:rsidR="004F4BE3">
        <w:t xml:space="preserve">meet the usual test for consolidation as previously established. </w:t>
      </w:r>
      <w:r w:rsidR="008378A7">
        <w:t xml:space="preserve">If there </w:t>
      </w:r>
      <w:r w:rsidR="001612C9">
        <w:t>is no reason to</w:t>
      </w:r>
      <w:r w:rsidR="008378A7">
        <w:t xml:space="preserve"> consolidate the matters, then that</w:t>
      </w:r>
      <w:r w:rsidR="004F4BE3">
        <w:t xml:space="preserve"> is the end of the inquiry</w:t>
      </w:r>
      <w:r w:rsidR="008378A7">
        <w:t xml:space="preserve">. </w:t>
      </w:r>
    </w:p>
    <w:p w:rsidR="008378A7" w:rsidRDefault="004C22F7" w:rsidP="001E6521">
      <w:pPr>
        <w:pStyle w:val="DecisionBody"/>
        <w:numPr>
          <w:ilvl w:val="1"/>
          <w:numId w:val="31"/>
        </w:numPr>
        <w:spacing w:beforeLines="150" w:before="360" w:afterLines="150" w:after="360"/>
        <w:ind w:hanging="720"/>
      </w:pPr>
      <w:r>
        <w:t>If consolidation</w:t>
      </w:r>
      <w:r w:rsidR="004F4BE3">
        <w:t xml:space="preserve"> </w:t>
      </w:r>
      <w:r>
        <w:t>would be appropriate</w:t>
      </w:r>
      <w:r w:rsidR="00C46E90">
        <w:t xml:space="preserve"> in the normal course</w:t>
      </w:r>
      <w:r w:rsidR="008378A7">
        <w:t xml:space="preserve">, then the Tribunal </w:t>
      </w:r>
      <w:r>
        <w:t>must</w:t>
      </w:r>
      <w:r w:rsidR="008378A7">
        <w:t xml:space="preserve"> consider w</w:t>
      </w:r>
      <w:r w:rsidR="00F97A1C">
        <w:t xml:space="preserve">hether </w:t>
      </w:r>
      <w:r>
        <w:t xml:space="preserve">to exercise its discretion to postpone a post Bill 139 appeal </w:t>
      </w:r>
      <w:r w:rsidR="004F4BE3">
        <w:t xml:space="preserve">on the basis that consolidation is </w:t>
      </w:r>
      <w:r w:rsidR="008378A7" w:rsidRPr="0002680D">
        <w:t>necessary for the fa</w:t>
      </w:r>
      <w:r w:rsidRPr="0002680D">
        <w:t>ir and just determination of that appeal</w:t>
      </w:r>
      <w:r w:rsidR="008378A7">
        <w:t xml:space="preserve">. </w:t>
      </w:r>
      <w:r>
        <w:t xml:space="preserve">If the Tribunal concludes </w:t>
      </w:r>
      <w:r w:rsidR="00C46E90">
        <w:t xml:space="preserve">consolidation </w:t>
      </w:r>
      <w:r>
        <w:t>is not necessary</w:t>
      </w:r>
      <w:r w:rsidR="00C46E90">
        <w:t xml:space="preserve"> to the fair and just determination of that appeal</w:t>
      </w:r>
      <w:r>
        <w:t>, then the consolidation request should be refused.</w:t>
      </w:r>
    </w:p>
    <w:p w:rsidR="00126220" w:rsidRDefault="00126220" w:rsidP="00754E3A">
      <w:pPr>
        <w:pStyle w:val="Heading2"/>
        <w:spacing w:beforeLines="150" w:before="360" w:afterLines="150" w:after="360"/>
      </w:pPr>
      <w:r>
        <w:t>Analysis</w:t>
      </w:r>
    </w:p>
    <w:p w:rsidR="00F97A1C" w:rsidRDefault="004C22F7" w:rsidP="00754E3A">
      <w:pPr>
        <w:pStyle w:val="DecisionBody"/>
        <w:numPr>
          <w:ilvl w:val="0"/>
          <w:numId w:val="31"/>
        </w:numPr>
        <w:spacing w:beforeLines="150" w:before="360" w:afterLines="150" w:after="360"/>
        <w:ind w:left="0" w:firstLine="0"/>
      </w:pPr>
      <w:r>
        <w:t xml:space="preserve">After review of the </w:t>
      </w:r>
      <w:r w:rsidR="0002680D">
        <w:t xml:space="preserve">records filed and in consideration of the submissions made on the TCC, </w:t>
      </w:r>
      <w:r w:rsidR="00535E5F">
        <w:t>t</w:t>
      </w:r>
      <w:r w:rsidR="00F97A1C">
        <w:t xml:space="preserve">he Tribunal </w:t>
      </w:r>
      <w:r w:rsidR="00535E5F">
        <w:t>concludes that there is no basis for having the matters consolidated</w:t>
      </w:r>
      <w:r w:rsidR="00EA6011">
        <w:t xml:space="preserve"> or heard together</w:t>
      </w:r>
      <w:r w:rsidR="002C2934">
        <w:t>.</w:t>
      </w:r>
    </w:p>
    <w:p w:rsidR="00245B5E" w:rsidRDefault="004F4BE3" w:rsidP="00754E3A">
      <w:pPr>
        <w:pStyle w:val="DecisionBody"/>
        <w:numPr>
          <w:ilvl w:val="0"/>
          <w:numId w:val="31"/>
        </w:numPr>
        <w:spacing w:beforeLines="150" w:before="360" w:afterLines="150" w:after="360"/>
        <w:ind w:left="0" w:firstLine="0"/>
      </w:pPr>
      <w:r>
        <w:t>T</w:t>
      </w:r>
      <w:r w:rsidR="001612C9">
        <w:t xml:space="preserve">he </w:t>
      </w:r>
      <w:r w:rsidR="00C953FF">
        <w:t>criteria for</w:t>
      </w:r>
      <w:r w:rsidR="001612C9">
        <w:t xml:space="preserve"> consolidation as established in previous Ontario Municipal Board (“Board”) jurisprudence</w:t>
      </w:r>
      <w:r>
        <w:t xml:space="preserve"> </w:t>
      </w:r>
      <w:r w:rsidR="001612C9">
        <w:t>is the following:</w:t>
      </w:r>
    </w:p>
    <w:p w:rsidR="001612C9" w:rsidRDefault="00C46E90" w:rsidP="001E6521">
      <w:pPr>
        <w:pStyle w:val="DecisionBody"/>
        <w:numPr>
          <w:ilvl w:val="1"/>
          <w:numId w:val="31"/>
        </w:numPr>
        <w:spacing w:before="360" w:after="360"/>
        <w:ind w:hanging="720"/>
      </w:pPr>
      <w:r>
        <w:t>w</w:t>
      </w:r>
      <w:r w:rsidR="001612C9">
        <w:t>hether there are common facts;</w:t>
      </w:r>
    </w:p>
    <w:p w:rsidR="001612C9" w:rsidRDefault="00C46E90" w:rsidP="001E6521">
      <w:pPr>
        <w:pStyle w:val="DecisionBody"/>
        <w:numPr>
          <w:ilvl w:val="1"/>
          <w:numId w:val="31"/>
        </w:numPr>
        <w:spacing w:before="360" w:after="360"/>
        <w:ind w:hanging="720"/>
      </w:pPr>
      <w:r>
        <w:t>w</w:t>
      </w:r>
      <w:r w:rsidR="001612C9">
        <w:t>hether there are common issues;</w:t>
      </w:r>
    </w:p>
    <w:p w:rsidR="001612C9" w:rsidRDefault="00C46E90" w:rsidP="001E6521">
      <w:pPr>
        <w:pStyle w:val="DecisionBody"/>
        <w:numPr>
          <w:ilvl w:val="1"/>
          <w:numId w:val="31"/>
        </w:numPr>
        <w:spacing w:before="360" w:after="360"/>
        <w:ind w:hanging="720"/>
      </w:pPr>
      <w:r>
        <w:t>w</w:t>
      </w:r>
      <w:r w:rsidR="001612C9">
        <w:t>hether there are common questions of law;</w:t>
      </w:r>
    </w:p>
    <w:p w:rsidR="001612C9" w:rsidRDefault="00C46E90" w:rsidP="001E6521">
      <w:pPr>
        <w:pStyle w:val="DecisionBody"/>
        <w:numPr>
          <w:ilvl w:val="1"/>
          <w:numId w:val="31"/>
        </w:numPr>
        <w:spacing w:before="360" w:after="360"/>
        <w:ind w:hanging="720"/>
      </w:pPr>
      <w:r>
        <w:t>w</w:t>
      </w:r>
      <w:r w:rsidR="001612C9">
        <w:t>hat constitutes the most efficient use of the Board’s time;</w:t>
      </w:r>
    </w:p>
    <w:p w:rsidR="001612C9" w:rsidRDefault="00C46E90" w:rsidP="001E6521">
      <w:pPr>
        <w:pStyle w:val="DecisionBody"/>
        <w:numPr>
          <w:ilvl w:val="1"/>
          <w:numId w:val="31"/>
        </w:numPr>
        <w:spacing w:before="360" w:after="360"/>
        <w:ind w:hanging="720"/>
      </w:pPr>
      <w:r>
        <w:t>p</w:t>
      </w:r>
      <w:r w:rsidR="00F65875">
        <w:t>rejudice to any party; and</w:t>
      </w:r>
    </w:p>
    <w:p w:rsidR="00F65875" w:rsidRDefault="00C46E90" w:rsidP="001E6521">
      <w:pPr>
        <w:pStyle w:val="DecisionBody"/>
        <w:numPr>
          <w:ilvl w:val="1"/>
          <w:numId w:val="31"/>
        </w:numPr>
        <w:spacing w:before="360" w:after="360"/>
        <w:ind w:hanging="720"/>
      </w:pPr>
      <w:proofErr w:type="gramStart"/>
      <w:r>
        <w:t>t</w:t>
      </w:r>
      <w:r w:rsidR="00F65875">
        <w:t>he</w:t>
      </w:r>
      <w:proofErr w:type="gramEnd"/>
      <w:r w:rsidR="00F65875">
        <w:t xml:space="preserve"> possibility that a decision on one matter may predetermine a subsequent matter before the Board or result in the possibility of inconsistent decisions.</w:t>
      </w:r>
    </w:p>
    <w:p w:rsidR="00E51BEC" w:rsidRDefault="00D60674" w:rsidP="00754E3A">
      <w:pPr>
        <w:pStyle w:val="DecisionBody"/>
        <w:numPr>
          <w:ilvl w:val="0"/>
          <w:numId w:val="31"/>
        </w:numPr>
        <w:spacing w:beforeLines="150" w:before="360" w:afterLines="150" w:after="360"/>
        <w:ind w:left="0" w:firstLine="0"/>
      </w:pPr>
      <w:r>
        <w:t xml:space="preserve">The Tribunal has struggled to understand how </w:t>
      </w:r>
      <w:r w:rsidR="00126220">
        <w:t xml:space="preserve">any of the foregoing </w:t>
      </w:r>
      <w:proofErr w:type="gramStart"/>
      <w:r w:rsidR="00126220">
        <w:t>are</w:t>
      </w:r>
      <w:proofErr w:type="gramEnd"/>
      <w:r w:rsidR="00126220">
        <w:t xml:space="preserve"> engaged</w:t>
      </w:r>
      <w:r w:rsidR="003A48EA">
        <w:t xml:space="preserve">. </w:t>
      </w:r>
    </w:p>
    <w:p w:rsidR="00D60674" w:rsidRDefault="00D60674" w:rsidP="00754E3A">
      <w:pPr>
        <w:pStyle w:val="DecisionBody"/>
        <w:numPr>
          <w:ilvl w:val="0"/>
          <w:numId w:val="31"/>
        </w:numPr>
        <w:spacing w:beforeLines="150" w:before="360" w:afterLines="150" w:after="360"/>
        <w:ind w:left="0" w:firstLine="0"/>
      </w:pPr>
      <w:r>
        <w:t xml:space="preserve">It is possible that consolidation </w:t>
      </w:r>
      <w:r w:rsidRPr="009911CF">
        <w:rPr>
          <w:i/>
        </w:rPr>
        <w:t>may</w:t>
      </w:r>
      <w:r>
        <w:t xml:space="preserve"> lead to a slightly</w:t>
      </w:r>
      <w:r w:rsidR="003A48EA">
        <w:t xml:space="preserve"> more efficient hearing process</w:t>
      </w:r>
      <w:r>
        <w:t xml:space="preserve">. Some background information may be </w:t>
      </w:r>
      <w:r w:rsidR="00EB6682">
        <w:t>the same</w:t>
      </w:r>
      <w:r>
        <w:t>,</w:t>
      </w:r>
      <w:r w:rsidR="009911CF">
        <w:t xml:space="preserve"> and witnesses could give all their evidence at once, potentially</w:t>
      </w:r>
      <w:r w:rsidR="00C953FF">
        <w:t xml:space="preserve"> creating some </w:t>
      </w:r>
      <w:proofErr w:type="gramStart"/>
      <w:r w:rsidR="00C953FF">
        <w:t>efficiencies</w:t>
      </w:r>
      <w:proofErr w:type="gramEnd"/>
      <w:r w:rsidR="009911CF">
        <w:t>.</w:t>
      </w:r>
      <w:r w:rsidR="00C953FF">
        <w:t xml:space="preserve"> </w:t>
      </w:r>
      <w:r w:rsidR="0002680D">
        <w:t>T</w:t>
      </w:r>
      <w:r>
        <w:t>he same provincial framework and official plan</w:t>
      </w:r>
      <w:r w:rsidR="00045151">
        <w:t xml:space="preserve"> (“OP”)</w:t>
      </w:r>
      <w:r w:rsidR="0002680D">
        <w:t xml:space="preserve"> applies in both cases as well,</w:t>
      </w:r>
      <w:r w:rsidR="00C953FF">
        <w:t xml:space="preserve"> though this is</w:t>
      </w:r>
      <w:r w:rsidR="0002680D">
        <w:t xml:space="preserve"> </w:t>
      </w:r>
      <w:r w:rsidR="00C953FF">
        <w:t xml:space="preserve">true for </w:t>
      </w:r>
      <w:r w:rsidR="00045151">
        <w:t xml:space="preserve">any applications within </w:t>
      </w:r>
      <w:r w:rsidR="00535E5F">
        <w:t>this area</w:t>
      </w:r>
      <w:r w:rsidR="00045151">
        <w:t xml:space="preserve"> of the City</w:t>
      </w:r>
      <w:r w:rsidR="0002680D">
        <w:t>.</w:t>
      </w:r>
      <w:r>
        <w:t xml:space="preserve"> </w:t>
      </w:r>
      <w:r w:rsidR="00A44AD3">
        <w:t>Ultimately</w:t>
      </w:r>
      <w:r w:rsidR="0002680D">
        <w:t xml:space="preserve">, </w:t>
      </w:r>
      <w:r>
        <w:t>the</w:t>
      </w:r>
      <w:r w:rsidR="0002680D">
        <w:t xml:space="preserve"> particulars to </w:t>
      </w:r>
      <w:r>
        <w:t>be considered</w:t>
      </w:r>
      <w:r w:rsidR="004F4BE3">
        <w:t xml:space="preserve"> and the planning opinions involved</w:t>
      </w:r>
      <w:r>
        <w:t xml:space="preserve"> </w:t>
      </w:r>
      <w:r w:rsidR="004F4BE3">
        <w:t xml:space="preserve">relate to </w:t>
      </w:r>
      <w:r w:rsidR="00EB6682">
        <w:t xml:space="preserve">what are now two </w:t>
      </w:r>
      <w:r w:rsidR="0002680D">
        <w:t xml:space="preserve">factually quite distinct </w:t>
      </w:r>
      <w:r w:rsidR="00F97A1C">
        <w:t>proposals</w:t>
      </w:r>
      <w:r w:rsidR="00A44AD3">
        <w:t>, however</w:t>
      </w:r>
      <w:r>
        <w:t>.</w:t>
      </w:r>
    </w:p>
    <w:p w:rsidR="004F4BE3" w:rsidRDefault="00F97A1C" w:rsidP="00A44AD3">
      <w:pPr>
        <w:pStyle w:val="DecisionBody"/>
        <w:numPr>
          <w:ilvl w:val="0"/>
          <w:numId w:val="31"/>
        </w:numPr>
        <w:spacing w:before="360" w:after="360"/>
        <w:ind w:left="0" w:firstLine="0"/>
      </w:pPr>
      <w:r>
        <w:t xml:space="preserve">In addition to provincial matters </w:t>
      </w:r>
      <w:r w:rsidR="003A48EA">
        <w:t>that must be considered under</w:t>
      </w:r>
      <w:r>
        <w:t xml:space="preserve"> the </w:t>
      </w:r>
      <w:r w:rsidRPr="00F97A1C">
        <w:rPr>
          <w:i/>
        </w:rPr>
        <w:t>Planning Act</w:t>
      </w:r>
      <w:r>
        <w:t xml:space="preserve"> (“Act”)</w:t>
      </w:r>
      <w:r w:rsidR="003A48EA">
        <w:t xml:space="preserve"> for all applications</w:t>
      </w:r>
      <w:r w:rsidR="00A44AD3">
        <w:t>: specifically, c</w:t>
      </w:r>
      <w:r w:rsidR="00A44AD3" w:rsidRPr="00A44AD3">
        <w:t xml:space="preserve">onsistency with the Provincial Policy Statement, 2014; </w:t>
      </w:r>
      <w:r w:rsidR="00A44AD3">
        <w:t xml:space="preserve">conformity with </w:t>
      </w:r>
      <w:r w:rsidR="00A44AD3" w:rsidRPr="00A44AD3">
        <w:t>the Greater Golden Horseshoe Plan, 2017; and matters enumerated in s. 2 of the Act.</w:t>
      </w:r>
      <w:r>
        <w:t xml:space="preserve"> </w:t>
      </w:r>
      <w:r w:rsidR="00A44AD3">
        <w:t>T</w:t>
      </w:r>
      <w:r>
        <w:t xml:space="preserve">he provisions of </w:t>
      </w:r>
      <w:r w:rsidR="00045151">
        <w:t xml:space="preserve">s. 51(24) </w:t>
      </w:r>
      <w:r w:rsidR="004F4BE3">
        <w:t>are to be regarded to when making a consent decision. The s</w:t>
      </w:r>
      <w:r w:rsidR="006E4FF6">
        <w:t>.</w:t>
      </w:r>
      <w:r w:rsidR="004F4BE3">
        <w:t xml:space="preserve"> 51(2</w:t>
      </w:r>
      <w:r w:rsidR="00A44AD3">
        <w:t>4) provisions of the A</w:t>
      </w:r>
      <w:r w:rsidR="00992541">
        <w:t>c</w:t>
      </w:r>
      <w:r w:rsidR="0002680D">
        <w:t>t require</w:t>
      </w:r>
      <w:r w:rsidR="004F4BE3">
        <w:t xml:space="preserve"> a decision maker</w:t>
      </w:r>
      <w:r w:rsidR="0002680D">
        <w:t>, among other things,</w:t>
      </w:r>
      <w:r w:rsidR="004F4BE3">
        <w:t xml:space="preserve"> to have regard to whether the consent proposal conforms to the City’s OP.  </w:t>
      </w:r>
    </w:p>
    <w:p w:rsidR="00045151" w:rsidRDefault="00045151" w:rsidP="001E6521">
      <w:pPr>
        <w:pStyle w:val="DecisionBody"/>
        <w:numPr>
          <w:ilvl w:val="0"/>
          <w:numId w:val="31"/>
        </w:numPr>
        <w:spacing w:before="360" w:after="360"/>
        <w:ind w:left="0" w:firstLine="0"/>
      </w:pPr>
      <w:r>
        <w:t xml:space="preserve">The Moving Parties urged that two overriding matters are of importance to both </w:t>
      </w:r>
      <w:r w:rsidR="003A48EA">
        <w:t>the Legacy A</w:t>
      </w:r>
      <w:r>
        <w:t>ppeals</w:t>
      </w:r>
      <w:r w:rsidR="003A48EA">
        <w:t xml:space="preserve"> and the Consent Application</w:t>
      </w:r>
      <w:r>
        <w:t xml:space="preserve">. </w:t>
      </w:r>
      <w:r w:rsidR="003A48EA">
        <w:t>These are</w:t>
      </w:r>
      <w:r>
        <w:t xml:space="preserve"> the</w:t>
      </w:r>
      <w:r w:rsidR="0026624D">
        <w:t xml:space="preserve"> urban forest policies </w:t>
      </w:r>
      <w:r>
        <w:t xml:space="preserve">and character </w:t>
      </w:r>
      <w:r w:rsidR="003A48EA">
        <w:t xml:space="preserve">policies </w:t>
      </w:r>
      <w:r>
        <w:t xml:space="preserve">within the OP. </w:t>
      </w:r>
    </w:p>
    <w:p w:rsidR="00D60674" w:rsidRDefault="002D77D7" w:rsidP="00754E3A">
      <w:pPr>
        <w:pStyle w:val="DecisionBody"/>
        <w:numPr>
          <w:ilvl w:val="0"/>
          <w:numId w:val="31"/>
        </w:numPr>
        <w:spacing w:beforeLines="150" w:before="360" w:afterLines="150" w:after="360"/>
        <w:ind w:left="0" w:firstLine="0"/>
      </w:pPr>
      <w:r>
        <w:t xml:space="preserve">The Tribunal does not find this </w:t>
      </w:r>
      <w:r w:rsidR="00535E5F">
        <w:t>a persuasive</w:t>
      </w:r>
      <w:r w:rsidR="00EA6011">
        <w:t>, or perhaps even accurately styled,</w:t>
      </w:r>
      <w:r w:rsidR="00535E5F">
        <w:t xml:space="preserve"> basis for consolidation.</w:t>
      </w:r>
      <w:r w:rsidR="00045151">
        <w:t xml:space="preserve"> </w:t>
      </w:r>
    </w:p>
    <w:p w:rsidR="00C731B8" w:rsidRDefault="0036300A" w:rsidP="009F7B91">
      <w:pPr>
        <w:pStyle w:val="DecisionBody"/>
        <w:numPr>
          <w:ilvl w:val="0"/>
          <w:numId w:val="31"/>
        </w:numPr>
        <w:spacing w:beforeLines="150" w:before="360" w:afterLines="150" w:after="360"/>
        <w:ind w:left="0" w:firstLine="0"/>
      </w:pPr>
      <w:r>
        <w:t>In respect of the urban forest, Counsel for the Applicant acknowledge</w:t>
      </w:r>
      <w:r w:rsidR="00F97A1C">
        <w:t>d</w:t>
      </w:r>
      <w:r>
        <w:t xml:space="preserve"> trees will have to be removed</w:t>
      </w:r>
      <w:r w:rsidR="00F97A1C">
        <w:t xml:space="preserve"> if the </w:t>
      </w:r>
      <w:r w:rsidR="006E4FF6">
        <w:t>C</w:t>
      </w:r>
      <w:r w:rsidR="00F97A1C">
        <w:t>onsent</w:t>
      </w:r>
      <w:r w:rsidR="00EA241F">
        <w:t xml:space="preserve"> </w:t>
      </w:r>
      <w:r w:rsidR="006E4FF6">
        <w:t xml:space="preserve">Application </w:t>
      </w:r>
      <w:r w:rsidR="00EA241F">
        <w:t>decision</w:t>
      </w:r>
      <w:r w:rsidR="00F97A1C">
        <w:t xml:space="preserve"> is upheld</w:t>
      </w:r>
      <w:r w:rsidR="00C731B8">
        <w:t xml:space="preserve"> and the Applicant</w:t>
      </w:r>
      <w:r w:rsidR="00AF0BA6">
        <w:t xml:space="preserve"> proceeds to fulfil the necessary conditions to obtain the final consent permissions</w:t>
      </w:r>
      <w:r w:rsidR="00C731B8">
        <w:t>.</w:t>
      </w:r>
      <w:r w:rsidR="009F7B91">
        <w:t xml:space="preserve"> </w:t>
      </w:r>
      <w:r w:rsidR="009F7B91" w:rsidRPr="009F7B91">
        <w:t>As a factual matter, the Tribunal understood that most of the trees are on the lands subject to the consent, not the lands that are the subject of the Legacy Appeals.</w:t>
      </w:r>
      <w:r w:rsidR="00F97A1C">
        <w:t xml:space="preserve"> </w:t>
      </w:r>
    </w:p>
    <w:p w:rsidR="0036300A" w:rsidRDefault="00F97A1C" w:rsidP="00754E3A">
      <w:pPr>
        <w:pStyle w:val="DecisionBody"/>
        <w:numPr>
          <w:ilvl w:val="0"/>
          <w:numId w:val="31"/>
        </w:numPr>
        <w:spacing w:beforeLines="150" w:before="360" w:afterLines="150" w:after="360"/>
        <w:ind w:left="0" w:firstLine="0"/>
      </w:pPr>
      <w:r>
        <w:t xml:space="preserve">How this </w:t>
      </w:r>
      <w:r w:rsidR="007B2E87">
        <w:t>question of the urban forest is</w:t>
      </w:r>
      <w:r>
        <w:t xml:space="preserve"> </w:t>
      </w:r>
      <w:r w:rsidR="007B2E87">
        <w:t>intertwined</w:t>
      </w:r>
      <w:r>
        <w:t xml:space="preserve"> </w:t>
      </w:r>
      <w:r w:rsidR="007B2E87">
        <w:t>with</w:t>
      </w:r>
      <w:r>
        <w:t xml:space="preserve"> the Legacy Appeals is unclear to the Tribunal. The Tribunal will have an obligation to have regard to </w:t>
      </w:r>
      <w:r w:rsidR="00535E5F">
        <w:t xml:space="preserve">conformity with </w:t>
      </w:r>
      <w:r>
        <w:t>the OP’s provisions on the urban forest, whether or not the Legacy Appeals are heard with the Consent Application. Ultimately, w</w:t>
      </w:r>
      <w:r w:rsidR="0036300A">
        <w:t xml:space="preserve">hich trees will be removed is to be finally determined at site plan stage, and their removal </w:t>
      </w:r>
      <w:r w:rsidR="00C731B8">
        <w:t>is</w:t>
      </w:r>
      <w:r w:rsidR="0036300A">
        <w:t xml:space="preserve"> subject to the tree by</w:t>
      </w:r>
      <w:r w:rsidR="006E4FF6">
        <w:t>-</w:t>
      </w:r>
      <w:r w:rsidR="004F4BE3">
        <w:t>law provisions of the City.</w:t>
      </w:r>
      <w:r>
        <w:t xml:space="preserve"> </w:t>
      </w:r>
    </w:p>
    <w:p w:rsidR="00C731B8" w:rsidRDefault="0036300A" w:rsidP="00754E3A">
      <w:pPr>
        <w:pStyle w:val="DecisionBody"/>
        <w:numPr>
          <w:ilvl w:val="0"/>
          <w:numId w:val="31"/>
        </w:numPr>
        <w:spacing w:beforeLines="150" w:before="360" w:afterLines="150" w:after="360"/>
        <w:ind w:left="0" w:firstLine="0"/>
      </w:pPr>
      <w:r>
        <w:t>Regarding character or compatibility concerns, this particular issue does not arise in the context of the built form for the Consent Application. The</w:t>
      </w:r>
      <w:r w:rsidR="00AF0BA6">
        <w:t xml:space="preserve"> detached</w:t>
      </w:r>
      <w:r>
        <w:t xml:space="preserve"> dwellings proposed to be built on the conveyed lands</w:t>
      </w:r>
      <w:r w:rsidR="00015BAF">
        <w:t xml:space="preserve"> and </w:t>
      </w:r>
      <w:r w:rsidR="00AF0BA6">
        <w:t>provisional</w:t>
      </w:r>
      <w:r w:rsidR="00015BAF">
        <w:t xml:space="preserve"> lots</w:t>
      </w:r>
      <w:r>
        <w:t xml:space="preserve"> are permitted as-of-right</w:t>
      </w:r>
      <w:r w:rsidR="00015BAF">
        <w:t>. N</w:t>
      </w:r>
      <w:r w:rsidR="00C731B8">
        <w:t>o variances are or were proposed to other standards, such as setbacks or lot frontage</w:t>
      </w:r>
      <w:r>
        <w:t xml:space="preserve">. </w:t>
      </w:r>
      <w:r w:rsidR="00F97A1C">
        <w:t xml:space="preserve">The issue in terms of compatibility in the Consent Application is lot size and shape. </w:t>
      </w:r>
    </w:p>
    <w:p w:rsidR="00317F12" w:rsidRDefault="0036300A" w:rsidP="0017766F">
      <w:pPr>
        <w:pStyle w:val="DecisionBody"/>
        <w:numPr>
          <w:ilvl w:val="0"/>
          <w:numId w:val="31"/>
        </w:numPr>
        <w:spacing w:beforeLines="150" w:before="360" w:afterLines="150" w:after="360"/>
        <w:ind w:left="0" w:firstLine="0"/>
      </w:pPr>
      <w:r>
        <w:t>The character or compatibility concerns in th</w:t>
      </w:r>
      <w:r w:rsidR="004F4BE3">
        <w:t>e context of the Legacy Appeals</w:t>
      </w:r>
      <w:r>
        <w:t xml:space="preserve"> </w:t>
      </w:r>
      <w:r w:rsidR="00790256">
        <w:t xml:space="preserve">arise </w:t>
      </w:r>
      <w:r w:rsidR="00015BAF">
        <w:t xml:space="preserve">primarily </w:t>
      </w:r>
      <w:r w:rsidR="00790256">
        <w:t>because the Applicant</w:t>
      </w:r>
      <w:r>
        <w:t xml:space="preserve"> propose</w:t>
      </w:r>
      <w:r w:rsidR="00790256">
        <w:t>s</w:t>
      </w:r>
      <w:r>
        <w:t xml:space="preserve"> to introduce a different dwelling type – towns and</w:t>
      </w:r>
      <w:r w:rsidR="004F4BE3">
        <w:t xml:space="preserve"> semis</w:t>
      </w:r>
      <w:r w:rsidR="00F97A1C">
        <w:t xml:space="preserve"> on the larger retained lot</w:t>
      </w:r>
      <w:r w:rsidR="004F4BE3">
        <w:t xml:space="preserve"> – </w:t>
      </w:r>
      <w:r w:rsidR="00EA241F">
        <w:t>it is this that</w:t>
      </w:r>
      <w:r w:rsidR="00F97A1C">
        <w:t xml:space="preserve"> has necessitated the </w:t>
      </w:r>
      <w:r w:rsidR="004F4BE3">
        <w:t>OPA and ZBLA</w:t>
      </w:r>
      <w:r w:rsidR="00F97A1C">
        <w:t xml:space="preserve"> applications</w:t>
      </w:r>
      <w:r>
        <w:t xml:space="preserve">. </w:t>
      </w:r>
    </w:p>
    <w:p w:rsidR="000A0076" w:rsidRDefault="00317F12" w:rsidP="0017766F">
      <w:pPr>
        <w:pStyle w:val="DecisionBody"/>
        <w:numPr>
          <w:ilvl w:val="0"/>
          <w:numId w:val="31"/>
        </w:numPr>
        <w:spacing w:beforeLines="150" w:before="360" w:afterLines="150" w:after="360"/>
        <w:ind w:left="0" w:firstLine="0"/>
      </w:pPr>
      <w:r>
        <w:t>In sum, t</w:t>
      </w:r>
      <w:r w:rsidR="00535E5F">
        <w:t xml:space="preserve">here are </w:t>
      </w:r>
      <w:r w:rsidR="00790256">
        <w:t>different kinds of compatibility concerns</w:t>
      </w:r>
      <w:r w:rsidR="00C731B8">
        <w:t xml:space="preserve"> engaged in</w:t>
      </w:r>
      <w:r>
        <w:t xml:space="preserve"> the Legacy Appeals and for</w:t>
      </w:r>
      <w:r w:rsidR="00C731B8">
        <w:t xml:space="preserve"> the Consent Application</w:t>
      </w:r>
      <w:r w:rsidR="00790256">
        <w:t xml:space="preserve">. </w:t>
      </w:r>
      <w:r w:rsidR="000A0076">
        <w:t xml:space="preserve">As the Applicant noted, the Legacy Appeals do not create lots. They deal with land use permissions and zoning by-law standards. The Consent Application deals with lot creation, not with land use permissions or zoning standards. </w:t>
      </w:r>
    </w:p>
    <w:p w:rsidR="003A48EA" w:rsidRDefault="00C731B8" w:rsidP="0017766F">
      <w:pPr>
        <w:pStyle w:val="DecisionBody"/>
        <w:numPr>
          <w:ilvl w:val="0"/>
          <w:numId w:val="31"/>
        </w:numPr>
        <w:spacing w:beforeLines="150" w:before="360" w:afterLines="150" w:after="360"/>
        <w:ind w:left="0" w:firstLine="0"/>
      </w:pPr>
      <w:r>
        <w:t>Ultimately,</w:t>
      </w:r>
      <w:r w:rsidR="0036300A">
        <w:t xml:space="preserve"> </w:t>
      </w:r>
      <w:r>
        <w:t>t</w:t>
      </w:r>
      <w:r w:rsidR="0036300A">
        <w:t xml:space="preserve">here </w:t>
      </w:r>
      <w:r>
        <w:t>do not appear to be common facts, issues, or questions of law engaged</w:t>
      </w:r>
      <w:r w:rsidR="00535E5F">
        <w:t xml:space="preserve"> in the Legacy Appeals and the Consent Application</w:t>
      </w:r>
      <w:r>
        <w:t xml:space="preserve">. </w:t>
      </w:r>
      <w:r w:rsidR="00535E5F">
        <w:t>There is no risk of a predetermination of issues in the Legacy Appeals by virtue of allowing the Consent Application to proceed</w:t>
      </w:r>
      <w:r w:rsidR="00D304AD">
        <w:t>, however it is decided</w:t>
      </w:r>
      <w:r w:rsidR="00535E5F">
        <w:t xml:space="preserve">. There is no possibility of inconsistent decisions. </w:t>
      </w:r>
    </w:p>
    <w:p w:rsidR="009F4601" w:rsidRDefault="009F4601" w:rsidP="0017766F">
      <w:pPr>
        <w:pStyle w:val="DecisionBody"/>
        <w:numPr>
          <w:ilvl w:val="0"/>
          <w:numId w:val="31"/>
        </w:numPr>
        <w:spacing w:beforeLines="150" w:before="360" w:afterLines="150" w:after="360"/>
        <w:ind w:left="0" w:firstLine="0"/>
      </w:pPr>
      <w:r>
        <w:t xml:space="preserve">In light of these findings, the Tribunal need not consider the matter further and denies the motion. </w:t>
      </w:r>
    </w:p>
    <w:p w:rsidR="004F4BE3" w:rsidRDefault="00853F32" w:rsidP="0017766F">
      <w:pPr>
        <w:pStyle w:val="DecisionBody"/>
        <w:numPr>
          <w:ilvl w:val="0"/>
          <w:numId w:val="31"/>
        </w:numPr>
        <w:spacing w:beforeLines="150" w:before="360" w:afterLines="150" w:after="360"/>
        <w:ind w:left="0" w:firstLine="0"/>
      </w:pPr>
      <w:r>
        <w:t>Nonetheless</w:t>
      </w:r>
      <w:r w:rsidR="009F4601">
        <w:t>, the Tribunal addresses another point made by t</w:t>
      </w:r>
      <w:r w:rsidR="00CF3790">
        <w:t>he Moving Parties</w:t>
      </w:r>
      <w:r w:rsidR="009F4601">
        <w:t>. The</w:t>
      </w:r>
      <w:r>
        <w:t xml:space="preserve"> Tribunal understood the</w:t>
      </w:r>
      <w:r w:rsidR="009F4601">
        <w:t xml:space="preserve"> Moving Parties</w:t>
      </w:r>
      <w:r w:rsidR="00CF3790">
        <w:t xml:space="preserve"> </w:t>
      </w:r>
      <w:r>
        <w:t xml:space="preserve">to suggest </w:t>
      </w:r>
      <w:r w:rsidR="00CF3790">
        <w:t xml:space="preserve">that the public has a legitimate expectation that since the initial application related to the entire Subject Site, that the matters should therefore be considered together. They further </w:t>
      </w:r>
      <w:r w:rsidR="00E9486D">
        <w:t>noted</w:t>
      </w:r>
      <w:r w:rsidR="00CF3790">
        <w:t xml:space="preserve"> that it </w:t>
      </w:r>
      <w:r w:rsidR="00C731B8">
        <w:t xml:space="preserve">could be </w:t>
      </w:r>
      <w:r w:rsidR="00CF3790">
        <w:t>an inconvenience to the participants to have to attend at two different hearings.</w:t>
      </w:r>
    </w:p>
    <w:p w:rsidR="00CF3790" w:rsidRDefault="00CF3790" w:rsidP="0017766F">
      <w:pPr>
        <w:pStyle w:val="DecisionBody"/>
        <w:numPr>
          <w:ilvl w:val="0"/>
          <w:numId w:val="31"/>
        </w:numPr>
        <w:spacing w:beforeLines="150" w:before="360" w:afterLines="150" w:after="360"/>
        <w:ind w:left="0" w:firstLine="0"/>
      </w:pPr>
      <w:r>
        <w:t xml:space="preserve">On the first point, the Tribunal </w:t>
      </w:r>
      <w:r w:rsidR="001A0C35">
        <w:t xml:space="preserve">emphasizes </w:t>
      </w:r>
      <w:r>
        <w:t>that the proposal has changed in such a way that the Subject Site is to be developed differently on different locations of the site</w:t>
      </w:r>
      <w:r w:rsidR="001A0C35">
        <w:t xml:space="preserve"> in response to City staff comments</w:t>
      </w:r>
      <w:r w:rsidR="009F4601">
        <w:t>.</w:t>
      </w:r>
      <w:r w:rsidR="00853F32">
        <w:t xml:space="preserve"> </w:t>
      </w:r>
      <w:r w:rsidR="009F4601">
        <w:t>T</w:t>
      </w:r>
      <w:r w:rsidR="001A0C35">
        <w:t xml:space="preserve">here is no longer </w:t>
      </w:r>
      <w:r>
        <w:t xml:space="preserve">a </w:t>
      </w:r>
      <w:r w:rsidR="001A0C35">
        <w:t>single project</w:t>
      </w:r>
      <w:r w:rsidR="00E51BEC">
        <w:t xml:space="preserve"> </w:t>
      </w:r>
      <w:r w:rsidR="00E9486D">
        <w:t xml:space="preserve">engaging similar </w:t>
      </w:r>
      <w:r w:rsidR="00AF0BA6">
        <w:t>planning or even any substantial</w:t>
      </w:r>
      <w:r w:rsidR="00FC2753">
        <w:t>ly similar</w:t>
      </w:r>
      <w:r w:rsidR="00AF0BA6">
        <w:t xml:space="preserve"> factual </w:t>
      </w:r>
      <w:r w:rsidR="00E9486D">
        <w:t>issues on the entirety of the Subject Site</w:t>
      </w:r>
      <w:r>
        <w:t xml:space="preserve">. </w:t>
      </w:r>
      <w:r w:rsidR="009F4601">
        <w:t xml:space="preserve">There is no particular reason why it should continue to be treated as one proposal when it is no longer one proposal. </w:t>
      </w:r>
      <w:r w:rsidR="00D304AD">
        <w:t>Each will stand or fall on its own merits. The Applicant will have to determine how to proceed if</w:t>
      </w:r>
      <w:r w:rsidR="00AF0BA6">
        <w:t xml:space="preserve"> either </w:t>
      </w:r>
      <w:r w:rsidR="00484B61">
        <w:t xml:space="preserve">the Legacy Appeals or the Consent Application </w:t>
      </w:r>
      <w:r w:rsidR="00AF0BA6">
        <w:t>is</w:t>
      </w:r>
      <w:r w:rsidR="00D304AD">
        <w:t xml:space="preserve"> unsuccessful</w:t>
      </w:r>
      <w:r w:rsidR="00484B61">
        <w:t>;</w:t>
      </w:r>
      <w:r w:rsidR="00D304AD">
        <w:t xml:space="preserve"> or </w:t>
      </w:r>
      <w:r w:rsidR="00AF0BA6">
        <w:t xml:space="preserve">if </w:t>
      </w:r>
      <w:r w:rsidR="00D304AD">
        <w:t xml:space="preserve">modifications or conditions </w:t>
      </w:r>
      <w:r w:rsidR="00AF0BA6">
        <w:t>are</w:t>
      </w:r>
      <w:r w:rsidR="00D304AD">
        <w:t xml:space="preserve"> imposed that</w:t>
      </w:r>
      <w:r w:rsidR="00484B61">
        <w:t xml:space="preserve"> are problematic to the Applicant.</w:t>
      </w:r>
    </w:p>
    <w:p w:rsidR="00535E5F" w:rsidRDefault="00FB2265" w:rsidP="0017766F">
      <w:pPr>
        <w:pStyle w:val="DecisionBody"/>
        <w:numPr>
          <w:ilvl w:val="0"/>
          <w:numId w:val="31"/>
        </w:numPr>
        <w:spacing w:beforeLines="150" w:before="360" w:afterLines="150" w:after="360"/>
        <w:ind w:left="0" w:firstLine="0"/>
      </w:pPr>
      <w:r>
        <w:t>T</w:t>
      </w:r>
      <w:r w:rsidR="00966432">
        <w:t>he</w:t>
      </w:r>
      <w:r w:rsidR="0077435B">
        <w:t xml:space="preserve">re may be a </w:t>
      </w:r>
      <w:r>
        <w:t>potential</w:t>
      </w:r>
      <w:r w:rsidR="00CF3790">
        <w:t xml:space="preserve"> inconvenience </w:t>
      </w:r>
      <w:r w:rsidR="00966432">
        <w:t xml:space="preserve">to participants by asking them to </w:t>
      </w:r>
      <w:r w:rsidR="00CF3790">
        <w:t>attend on more than one day to give a statement on the Consent Application</w:t>
      </w:r>
      <w:r w:rsidR="008D5E0B">
        <w:t>,</w:t>
      </w:r>
      <w:r w:rsidR="00CF3790">
        <w:t xml:space="preserve"> and then another </w:t>
      </w:r>
      <w:r w:rsidR="00853F32">
        <w:t>day during</w:t>
      </w:r>
      <w:r w:rsidR="00CF3790">
        <w:t xml:space="preserve"> the Legacy Appeals</w:t>
      </w:r>
      <w:r w:rsidR="0077435B">
        <w:t xml:space="preserve">. </w:t>
      </w:r>
      <w:r w:rsidR="00C731B8">
        <w:t>Inconvenience to participants is not part of the consolidation test</w:t>
      </w:r>
      <w:r w:rsidR="009F4601">
        <w:t xml:space="preserve"> and certainly could not form the basis for the Tribunal to postpone the Consent Application under the regulations</w:t>
      </w:r>
      <w:r w:rsidR="00C731B8">
        <w:t xml:space="preserve">. </w:t>
      </w:r>
      <w:r w:rsidR="00484B61">
        <w:t xml:space="preserve"> </w:t>
      </w:r>
    </w:p>
    <w:p w:rsidR="00CF3790" w:rsidRDefault="00535E5F" w:rsidP="0017766F">
      <w:pPr>
        <w:pStyle w:val="DecisionBody"/>
        <w:numPr>
          <w:ilvl w:val="0"/>
          <w:numId w:val="31"/>
        </w:numPr>
        <w:spacing w:beforeLines="150" w:before="360" w:afterLines="150" w:after="360"/>
        <w:ind w:left="0" w:firstLine="0"/>
      </w:pPr>
      <w:r>
        <w:t>For the parties and their witnesses, at most it may result in one</w:t>
      </w:r>
      <w:r w:rsidR="00BD0A26">
        <w:t xml:space="preserve"> and possibly two</w:t>
      </w:r>
      <w:r>
        <w:t xml:space="preserve"> </w:t>
      </w:r>
      <w:r w:rsidR="00BD0A26">
        <w:t>additional attend</w:t>
      </w:r>
      <w:r w:rsidR="00FC2753">
        <w:t>ance days as distinct hearings.</w:t>
      </w:r>
      <w:r w:rsidR="00BD0A26">
        <w:t xml:space="preserve"> </w:t>
      </w:r>
      <w:r w:rsidR="00FC2753">
        <w:t>A</w:t>
      </w:r>
      <w:r w:rsidR="00BD0A26">
        <w:t>t least one additional day was</w:t>
      </w:r>
      <w:r w:rsidR="00D304AD">
        <w:t xml:space="preserve"> already</w:t>
      </w:r>
      <w:r w:rsidR="00BD0A26">
        <w:t xml:space="preserve"> anticipated to be required if the matters were consolidated in any event</w:t>
      </w:r>
      <w:r>
        <w:t xml:space="preserve">. </w:t>
      </w:r>
      <w:r w:rsidR="00FC2753">
        <w:t>An efficiency improvement alone</w:t>
      </w:r>
      <w:r>
        <w:t xml:space="preserve"> is not a basis upon which the Tribunal could postpone the Consent Application.</w:t>
      </w:r>
    </w:p>
    <w:p w:rsidR="00932144" w:rsidRDefault="00932144" w:rsidP="0017766F">
      <w:pPr>
        <w:pStyle w:val="Heading1"/>
        <w:spacing w:beforeLines="150" w:before="360" w:afterLines="150" w:after="360"/>
      </w:pPr>
      <w:r>
        <w:t>next steps</w:t>
      </w:r>
    </w:p>
    <w:p w:rsidR="0011705C" w:rsidRDefault="004F083B" w:rsidP="0017766F">
      <w:pPr>
        <w:pStyle w:val="DecisionBody"/>
        <w:numPr>
          <w:ilvl w:val="0"/>
          <w:numId w:val="31"/>
        </w:numPr>
        <w:spacing w:beforeLines="150" w:before="360" w:afterLines="150" w:after="360"/>
        <w:ind w:left="0" w:firstLine="0"/>
      </w:pPr>
      <w:r>
        <w:t>Originally</w:t>
      </w:r>
      <w:r w:rsidR="00484B61">
        <w:t>,</w:t>
      </w:r>
      <w:r>
        <w:t xml:space="preserve"> the Tribunal had </w:t>
      </w:r>
      <w:r w:rsidR="00163029">
        <w:t>proposed</w:t>
      </w:r>
      <w:r w:rsidR="00FC2753">
        <w:t xml:space="preserve"> to the parties that</w:t>
      </w:r>
      <w:r>
        <w:t xml:space="preserve"> a single day</w:t>
      </w:r>
      <w:r w:rsidR="001C4176">
        <w:t xml:space="preserve"> </w:t>
      </w:r>
      <w:r>
        <w:t xml:space="preserve">for the </w:t>
      </w:r>
      <w:r w:rsidR="00163029">
        <w:t>Consent Application hearing</w:t>
      </w:r>
      <w:r w:rsidR="00FC2753">
        <w:t xml:space="preserve"> be scheduled</w:t>
      </w:r>
      <w:r w:rsidR="0080536D">
        <w:t>, should it decide not to consolidate the matters</w:t>
      </w:r>
      <w:r>
        <w:t xml:space="preserve">. </w:t>
      </w:r>
      <w:r w:rsidR="00932144">
        <w:t>At the TCC, t</w:t>
      </w:r>
      <w:r w:rsidR="0011705C">
        <w:t>he opposing parties suggested three days should be set aside</w:t>
      </w:r>
      <w:r w:rsidR="00FC2753">
        <w:t xml:space="preserve"> for a distinct hearing of the Consent Application</w:t>
      </w:r>
      <w:r w:rsidR="0011705C">
        <w:t xml:space="preserve">. The Applicant was of the view the matter could be heard </w:t>
      </w:r>
      <w:r w:rsidR="009948B7">
        <w:t>in one da</w:t>
      </w:r>
      <w:r w:rsidR="00AF2BB6">
        <w:t>y</w:t>
      </w:r>
      <w:r w:rsidR="009948B7">
        <w:t xml:space="preserve"> or</w:t>
      </w:r>
      <w:r w:rsidR="00AF2BB6">
        <w:t>,</w:t>
      </w:r>
      <w:r w:rsidR="009948B7">
        <w:t xml:space="preserve"> at the outside, two days.</w:t>
      </w:r>
    </w:p>
    <w:p w:rsidR="004F083B" w:rsidRDefault="0011705C" w:rsidP="00754E3A">
      <w:pPr>
        <w:pStyle w:val="DecisionBody"/>
        <w:numPr>
          <w:ilvl w:val="0"/>
          <w:numId w:val="31"/>
        </w:numPr>
        <w:spacing w:beforeLines="150" w:before="360" w:afterLines="150" w:after="360"/>
        <w:ind w:left="0" w:firstLine="0"/>
      </w:pPr>
      <w:r>
        <w:t>G</w:t>
      </w:r>
      <w:r w:rsidR="00532FAA">
        <w:t>iven the number of witnesses anticipated to be involved by the parties</w:t>
      </w:r>
      <w:r w:rsidRPr="0011705C">
        <w:t>,</w:t>
      </w:r>
      <w:r>
        <w:t xml:space="preserve"> and given that participants </w:t>
      </w:r>
      <w:r w:rsidR="00532FAA">
        <w:t>are likely to attend to speak</w:t>
      </w:r>
      <w:r w:rsidR="00FC2753">
        <w:t xml:space="preserve"> at the Consent Application</w:t>
      </w:r>
      <w:r>
        <w:t xml:space="preserve">, the Tribunal concludes </w:t>
      </w:r>
      <w:r w:rsidRPr="0011705C">
        <w:t xml:space="preserve">that </w:t>
      </w:r>
      <w:r w:rsidR="00EA6011">
        <w:t xml:space="preserve">two days for </w:t>
      </w:r>
      <w:r w:rsidR="00FC2753">
        <w:t>this matter</w:t>
      </w:r>
      <w:r w:rsidRPr="0011705C">
        <w:t xml:space="preserve"> </w:t>
      </w:r>
      <w:r w:rsidR="00FC2753">
        <w:t>is</w:t>
      </w:r>
      <w:r w:rsidR="00484B61">
        <w:t xml:space="preserve"> be prudent</w:t>
      </w:r>
      <w:r w:rsidRPr="0011705C">
        <w:t xml:space="preserve">. </w:t>
      </w:r>
      <w:r>
        <w:t>T</w:t>
      </w:r>
      <w:r w:rsidR="004F083B">
        <w:t xml:space="preserve">he Tribunal has now set the matter down </w:t>
      </w:r>
      <w:r w:rsidR="00592EEB">
        <w:t xml:space="preserve">for </w:t>
      </w:r>
      <w:r w:rsidR="004F083B">
        <w:t>February 13 and 14, 2019.</w:t>
      </w:r>
      <w:r w:rsidR="001C4176">
        <w:t xml:space="preserve"> The Tribunal will confirm any additional parties or participants at the outset of </w:t>
      </w:r>
      <w:r w:rsidR="00D304AD">
        <w:t>Consent Application</w:t>
      </w:r>
      <w:r w:rsidR="00AF2BB6">
        <w:t xml:space="preserve"> hearing</w:t>
      </w:r>
      <w:r w:rsidR="001C4176">
        <w:t xml:space="preserve">, in accordance with its usual practices. </w:t>
      </w:r>
    </w:p>
    <w:p w:rsidR="00932144" w:rsidRDefault="00932144" w:rsidP="00754E3A">
      <w:pPr>
        <w:pStyle w:val="DecisionBody"/>
        <w:numPr>
          <w:ilvl w:val="0"/>
          <w:numId w:val="31"/>
        </w:numPr>
        <w:spacing w:beforeLines="150" w:before="360" w:afterLines="150" w:after="360"/>
        <w:ind w:left="0" w:firstLine="0"/>
      </w:pPr>
      <w:r>
        <w:t>The Tribunal will proceed to issue i</w:t>
      </w:r>
      <w:r w:rsidR="00484B61">
        <w:t>ts required Notice of Hearing for</w:t>
      </w:r>
      <w:r>
        <w:t xml:space="preserve"> the Consent Application. </w:t>
      </w:r>
    </w:p>
    <w:p w:rsidR="00966432" w:rsidRDefault="00966432" w:rsidP="00754E3A">
      <w:pPr>
        <w:pStyle w:val="DecisionBody"/>
        <w:numPr>
          <w:ilvl w:val="0"/>
          <w:numId w:val="31"/>
        </w:numPr>
        <w:spacing w:beforeLines="150" w:before="360" w:afterLines="150" w:after="360"/>
        <w:ind w:left="0" w:firstLine="0"/>
      </w:pPr>
      <w:r>
        <w:t>The Tribunal, concurrently with issuance of this decision, is issuing a Notice of Resumption for the Consent Application.</w:t>
      </w:r>
    </w:p>
    <w:p w:rsidR="0080536D" w:rsidRDefault="0080536D" w:rsidP="00754E3A">
      <w:pPr>
        <w:pStyle w:val="Heading1"/>
        <w:spacing w:beforeLines="150" w:before="360" w:afterLines="150" w:after="360"/>
      </w:pPr>
      <w:r>
        <w:t>ORDER</w:t>
      </w:r>
    </w:p>
    <w:p w:rsidR="00935095" w:rsidRPr="00532FAA" w:rsidRDefault="0080536D" w:rsidP="00754E3A">
      <w:pPr>
        <w:pStyle w:val="DecisionBody"/>
        <w:numPr>
          <w:ilvl w:val="0"/>
          <w:numId w:val="31"/>
        </w:numPr>
        <w:spacing w:beforeLines="150" w:before="360" w:afterLines="150" w:after="360"/>
        <w:ind w:left="0" w:firstLine="0"/>
        <w:jc w:val="both"/>
      </w:pPr>
      <w:r>
        <w:t>The motion is dismissed.</w:t>
      </w:r>
    </w:p>
    <w:p w:rsidR="00935095" w:rsidRPr="00686901" w:rsidRDefault="00935095" w:rsidP="00AC548D">
      <w:pPr>
        <w:pStyle w:val="MemberSignature"/>
      </w:pPr>
      <w:r w:rsidRPr="00686901">
        <w:t>“</w:t>
      </w:r>
      <w:r w:rsidR="003C79BA" w:rsidRPr="00686901">
        <w:t>Paula Boutis</w:t>
      </w:r>
      <w:r w:rsidRPr="00686901">
        <w:t>”</w:t>
      </w:r>
    </w:p>
    <w:p w:rsidR="00935095" w:rsidRPr="00686901" w:rsidRDefault="00935095" w:rsidP="004E31D7">
      <w:pPr>
        <w:pStyle w:val="MemberSignature"/>
        <w:ind w:left="0"/>
        <w:jc w:val="both"/>
        <w:rPr>
          <w:i w:val="0"/>
        </w:rPr>
      </w:pPr>
    </w:p>
    <w:p w:rsidR="00935095" w:rsidRPr="00686901" w:rsidRDefault="00935095" w:rsidP="004E31D7">
      <w:pPr>
        <w:pStyle w:val="MemberSignature"/>
        <w:ind w:left="0"/>
        <w:jc w:val="left"/>
        <w:rPr>
          <w:i w:val="0"/>
        </w:rPr>
      </w:pPr>
    </w:p>
    <w:p w:rsidR="00935095" w:rsidRPr="00686901" w:rsidRDefault="003C79BA" w:rsidP="00AC548D">
      <w:pPr>
        <w:pStyle w:val="MemberSignatureNameandTitle"/>
      </w:pPr>
      <w:r w:rsidRPr="00686901">
        <w:t>paula boutis</w:t>
      </w:r>
    </w:p>
    <w:p w:rsidR="00935095" w:rsidRPr="00686901" w:rsidRDefault="003C79BA" w:rsidP="00AC548D">
      <w:pPr>
        <w:pStyle w:val="MemberSignatureNameandTitle"/>
      </w:pPr>
      <w:r w:rsidRPr="00686901">
        <w:t>MEMBER</w:t>
      </w:r>
    </w:p>
    <w:p w:rsidR="00935095" w:rsidRPr="00686901" w:rsidRDefault="00935095" w:rsidP="00AC548D">
      <w:pPr>
        <w:rPr>
          <w:rFonts w:ascii="Arial" w:hAnsi="Arial" w:cs="Arial"/>
          <w:lang w:val="en-CA"/>
        </w:rPr>
      </w:pPr>
    </w:p>
    <w:p w:rsidR="002D23D0" w:rsidRPr="00686901" w:rsidRDefault="002D23D0" w:rsidP="00AC548D">
      <w:pPr>
        <w:rPr>
          <w:rFonts w:ascii="Arial" w:hAnsi="Arial" w:cs="Arial"/>
          <w:lang w:val="en-CA"/>
        </w:rPr>
      </w:pPr>
    </w:p>
    <w:p w:rsidR="00627521" w:rsidRPr="00686901" w:rsidRDefault="00627521" w:rsidP="00AC548D">
      <w:pPr>
        <w:rPr>
          <w:rFonts w:ascii="Arial" w:hAnsi="Arial" w:cs="Arial"/>
          <w:lang w:val="en-CA"/>
        </w:rPr>
      </w:pPr>
    </w:p>
    <w:p w:rsidR="004E31D7" w:rsidRPr="00686901" w:rsidRDefault="004E31D7" w:rsidP="00AC548D">
      <w:pPr>
        <w:rPr>
          <w:rFonts w:ascii="Arial" w:hAnsi="Arial" w:cs="Arial"/>
          <w:lang w:val="en-CA"/>
        </w:rPr>
      </w:pPr>
    </w:p>
    <w:p w:rsidR="00D265BD" w:rsidRDefault="00D265BD"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BD0A26" w:rsidRDefault="00BD0A26" w:rsidP="00614A65">
      <w:pPr>
        <w:pStyle w:val="AttachmentTextaboveFooter"/>
        <w:jc w:val="left"/>
      </w:pPr>
      <w:bookmarkStart w:id="1" w:name="_GoBack"/>
      <w:bookmarkEnd w:id="1"/>
    </w:p>
    <w:p w:rsidR="00BD0A26" w:rsidRDefault="00BD0A26" w:rsidP="00614A65">
      <w:pPr>
        <w:pStyle w:val="AttachmentTextaboveFooter"/>
        <w:jc w:val="left"/>
      </w:pPr>
    </w:p>
    <w:p w:rsidR="0092760B" w:rsidRPr="00AC548D" w:rsidRDefault="00BD0A26" w:rsidP="00BD0A26">
      <w:pPr>
        <w:pStyle w:val="AttachmentTextaboveFooter"/>
        <w:jc w:val="left"/>
      </w:pPr>
      <w:r>
        <w:tab/>
      </w:r>
      <w:r w:rsidR="0092760B"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874305" w:rsidRDefault="005A6B29" w:rsidP="00AC548D">
      <w:pPr>
        <w:pStyle w:val="Footer"/>
        <w:rPr>
          <w:lang w:val="en-CA"/>
        </w:rPr>
      </w:pPr>
      <w:r w:rsidRPr="00AC548D">
        <w:t xml:space="preserve">Website: </w:t>
      </w:r>
      <w:proofErr w:type="gramStart"/>
      <w:r w:rsidRPr="00AC548D">
        <w:t>www.elto.gov.on.ca  Telephone</w:t>
      </w:r>
      <w:proofErr w:type="gramEnd"/>
      <w:r w:rsidRPr="00AC548D">
        <w:t>: 416-212-6349  Toll Free: 1-866-448-2248</w:t>
      </w:r>
    </w:p>
    <w:sectPr w:rsidR="005A6B29" w:rsidRPr="00874305"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66" w:rsidRDefault="00C45B66">
      <w:r>
        <w:separator/>
      </w:r>
    </w:p>
  </w:endnote>
  <w:endnote w:type="continuationSeparator" w:id="0">
    <w:p w:rsidR="00C45B66" w:rsidRDefault="00C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66" w:rsidRDefault="00C45B66">
      <w:r>
        <w:separator/>
      </w:r>
    </w:p>
  </w:footnote>
  <w:footnote w:type="continuationSeparator" w:id="0">
    <w:p w:rsidR="00C45B66" w:rsidRDefault="00C45B66">
      <w:r>
        <w:continuationSeparator/>
      </w:r>
    </w:p>
  </w:footnote>
  <w:footnote w:id="1">
    <w:p w:rsidR="00D245F7" w:rsidRPr="006253CB" w:rsidRDefault="00D245F7">
      <w:pPr>
        <w:pStyle w:val="FootnoteText"/>
        <w:rPr>
          <w:lang w:val="en-CA"/>
        </w:rPr>
      </w:pPr>
      <w:r>
        <w:rPr>
          <w:rStyle w:val="FootnoteReference"/>
        </w:rPr>
        <w:footnoteRef/>
      </w:r>
      <w:r>
        <w:t xml:space="preserve"> Section 1(2</w:t>
      </w:r>
      <w:proofErr w:type="gramStart"/>
      <w:r>
        <w:t>)(</w:t>
      </w:r>
      <w:proofErr w:type="gramEnd"/>
      <w:r>
        <w:t xml:space="preserve">1)(ii) of </w:t>
      </w:r>
      <w:r>
        <w:rPr>
          <w:lang w:val="en-CA"/>
        </w:rPr>
        <w:t>O. Reg. 102/18. Other grounds exist to adjourn a matter, but these do not apply in this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F7" w:rsidRDefault="00D245F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CC1F2B">
      <w:rPr>
        <w:rFonts w:ascii="Arial" w:hAnsi="Arial" w:cs="Arial"/>
        <w:noProof/>
      </w:rPr>
      <w:t>12</w:t>
    </w:r>
    <w:r w:rsidRPr="005E51AF">
      <w:rPr>
        <w:rFonts w:ascii="Arial" w:hAnsi="Arial" w:cs="Arial"/>
        <w:noProof/>
      </w:rPr>
      <w:fldChar w:fldCharType="end"/>
    </w:r>
    <w:r w:rsidR="001E6521">
      <w:rPr>
        <w:rFonts w:ascii="Arial" w:hAnsi="Arial" w:cs="Arial"/>
        <w:noProof/>
      </w:rPr>
      <w:tab/>
      <w:t xml:space="preserve"> </w:t>
    </w:r>
    <w:r w:rsidR="001E6521">
      <w:rPr>
        <w:rFonts w:ascii="Arial" w:hAnsi="Arial" w:cs="Arial"/>
        <w:noProof/>
      </w:rPr>
      <w:tab/>
      <w:t>PL171169 and PL180649</w:t>
    </w:r>
  </w:p>
  <w:p w:rsidR="00D245F7" w:rsidRDefault="00D245F7" w:rsidP="004B6547">
    <w:pPr>
      <w:pStyle w:val="Header"/>
      <w:tabs>
        <w:tab w:val="clear" w:pos="8640"/>
        <w:tab w:val="center" w:pos="4680"/>
        <w:tab w:val="left" w:pos="6804"/>
        <w:tab w:val="right" w:pos="9360"/>
      </w:tabs>
      <w:rPr>
        <w:rFonts w:ascii="Arial" w:hAnsi="Arial" w:cs="Arial"/>
        <w:noProof/>
      </w:rPr>
    </w:pPr>
  </w:p>
  <w:p w:rsidR="00D245F7" w:rsidRDefault="00D245F7" w:rsidP="002D2254">
    <w:pPr>
      <w:pStyle w:val="Header"/>
      <w:tabs>
        <w:tab w:val="clear" w:pos="8640"/>
        <w:tab w:val="center" w:pos="4680"/>
        <w:tab w:val="left" w:pos="6804"/>
        <w:tab w:val="right" w:pos="9360"/>
      </w:tabs>
      <w:rPr>
        <w:rFonts w:ascii="Arial" w:hAnsi="Arial" w:cs="Arial"/>
        <w:noProof/>
      </w:rPr>
    </w:pPr>
  </w:p>
  <w:p w:rsidR="00D245F7" w:rsidRPr="005E51AF" w:rsidRDefault="00D245F7"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5BAF"/>
    <w:rsid w:val="00015D38"/>
    <w:rsid w:val="000170F3"/>
    <w:rsid w:val="00017DFC"/>
    <w:rsid w:val="00022EAD"/>
    <w:rsid w:val="00024870"/>
    <w:rsid w:val="0002680D"/>
    <w:rsid w:val="00031C6E"/>
    <w:rsid w:val="0003783B"/>
    <w:rsid w:val="000424A6"/>
    <w:rsid w:val="000427F2"/>
    <w:rsid w:val="00045151"/>
    <w:rsid w:val="00054A9F"/>
    <w:rsid w:val="00056F73"/>
    <w:rsid w:val="0006526A"/>
    <w:rsid w:val="00075342"/>
    <w:rsid w:val="00076196"/>
    <w:rsid w:val="0008105B"/>
    <w:rsid w:val="00081B93"/>
    <w:rsid w:val="00093BEE"/>
    <w:rsid w:val="00094E62"/>
    <w:rsid w:val="000A0076"/>
    <w:rsid w:val="000A5BAE"/>
    <w:rsid w:val="000B4BFB"/>
    <w:rsid w:val="000C21BB"/>
    <w:rsid w:val="000C25F1"/>
    <w:rsid w:val="000C480C"/>
    <w:rsid w:val="000C7608"/>
    <w:rsid w:val="000D09B3"/>
    <w:rsid w:val="000D0C03"/>
    <w:rsid w:val="000D6D77"/>
    <w:rsid w:val="000D6F9D"/>
    <w:rsid w:val="000D7BBD"/>
    <w:rsid w:val="000F5653"/>
    <w:rsid w:val="000F6357"/>
    <w:rsid w:val="00100AF6"/>
    <w:rsid w:val="00100C00"/>
    <w:rsid w:val="0010191A"/>
    <w:rsid w:val="00104001"/>
    <w:rsid w:val="001101A3"/>
    <w:rsid w:val="0011705C"/>
    <w:rsid w:val="001220E4"/>
    <w:rsid w:val="00126220"/>
    <w:rsid w:val="00131147"/>
    <w:rsid w:val="0013161B"/>
    <w:rsid w:val="00137797"/>
    <w:rsid w:val="0015041D"/>
    <w:rsid w:val="001551CC"/>
    <w:rsid w:val="001562BE"/>
    <w:rsid w:val="001578B3"/>
    <w:rsid w:val="001612C9"/>
    <w:rsid w:val="00163029"/>
    <w:rsid w:val="001634FB"/>
    <w:rsid w:val="001656BC"/>
    <w:rsid w:val="001702F3"/>
    <w:rsid w:val="00172CE7"/>
    <w:rsid w:val="001765FB"/>
    <w:rsid w:val="0017766F"/>
    <w:rsid w:val="001808B6"/>
    <w:rsid w:val="00182765"/>
    <w:rsid w:val="00182B0E"/>
    <w:rsid w:val="00184FDC"/>
    <w:rsid w:val="00185E46"/>
    <w:rsid w:val="00190DF3"/>
    <w:rsid w:val="001A0C35"/>
    <w:rsid w:val="001A3C06"/>
    <w:rsid w:val="001A51A6"/>
    <w:rsid w:val="001B5CE4"/>
    <w:rsid w:val="001C4176"/>
    <w:rsid w:val="001D67CE"/>
    <w:rsid w:val="001D6F93"/>
    <w:rsid w:val="001E6521"/>
    <w:rsid w:val="001E764F"/>
    <w:rsid w:val="001F179F"/>
    <w:rsid w:val="0020186C"/>
    <w:rsid w:val="0020298E"/>
    <w:rsid w:val="00205167"/>
    <w:rsid w:val="00212341"/>
    <w:rsid w:val="0021236E"/>
    <w:rsid w:val="002159B4"/>
    <w:rsid w:val="0021608D"/>
    <w:rsid w:val="00220639"/>
    <w:rsid w:val="0022133C"/>
    <w:rsid w:val="00225203"/>
    <w:rsid w:val="0022579A"/>
    <w:rsid w:val="00226115"/>
    <w:rsid w:val="0022760B"/>
    <w:rsid w:val="002315A3"/>
    <w:rsid w:val="002346B3"/>
    <w:rsid w:val="00234C57"/>
    <w:rsid w:val="00235236"/>
    <w:rsid w:val="002419BB"/>
    <w:rsid w:val="002426E9"/>
    <w:rsid w:val="002433A2"/>
    <w:rsid w:val="002446DE"/>
    <w:rsid w:val="00245B5E"/>
    <w:rsid w:val="00246A65"/>
    <w:rsid w:val="00246FBD"/>
    <w:rsid w:val="00250221"/>
    <w:rsid w:val="00250346"/>
    <w:rsid w:val="00254117"/>
    <w:rsid w:val="00254EE1"/>
    <w:rsid w:val="00255063"/>
    <w:rsid w:val="00257414"/>
    <w:rsid w:val="0026320F"/>
    <w:rsid w:val="0026624D"/>
    <w:rsid w:val="00270AAE"/>
    <w:rsid w:val="00277F40"/>
    <w:rsid w:val="00280925"/>
    <w:rsid w:val="00282A34"/>
    <w:rsid w:val="00283370"/>
    <w:rsid w:val="002874AC"/>
    <w:rsid w:val="00290FEC"/>
    <w:rsid w:val="00293E85"/>
    <w:rsid w:val="002959D2"/>
    <w:rsid w:val="002A2682"/>
    <w:rsid w:val="002A393B"/>
    <w:rsid w:val="002B47E9"/>
    <w:rsid w:val="002C00E1"/>
    <w:rsid w:val="002C2934"/>
    <w:rsid w:val="002C7CBA"/>
    <w:rsid w:val="002D2254"/>
    <w:rsid w:val="002D23D0"/>
    <w:rsid w:val="002D38E7"/>
    <w:rsid w:val="002D77D7"/>
    <w:rsid w:val="002E55F0"/>
    <w:rsid w:val="002E7C9F"/>
    <w:rsid w:val="002F37EF"/>
    <w:rsid w:val="002F4E11"/>
    <w:rsid w:val="002F5A26"/>
    <w:rsid w:val="002F73E5"/>
    <w:rsid w:val="00301605"/>
    <w:rsid w:val="003051EA"/>
    <w:rsid w:val="00307DEE"/>
    <w:rsid w:val="003148C9"/>
    <w:rsid w:val="00316394"/>
    <w:rsid w:val="00317F12"/>
    <w:rsid w:val="00323369"/>
    <w:rsid w:val="00323E65"/>
    <w:rsid w:val="00324440"/>
    <w:rsid w:val="0033079A"/>
    <w:rsid w:val="00340879"/>
    <w:rsid w:val="00345480"/>
    <w:rsid w:val="003506EA"/>
    <w:rsid w:val="00350E1B"/>
    <w:rsid w:val="00352F38"/>
    <w:rsid w:val="00354C2E"/>
    <w:rsid w:val="003620BF"/>
    <w:rsid w:val="0036300A"/>
    <w:rsid w:val="00367CB0"/>
    <w:rsid w:val="00371D83"/>
    <w:rsid w:val="00375F31"/>
    <w:rsid w:val="00376084"/>
    <w:rsid w:val="0038484F"/>
    <w:rsid w:val="00385FC9"/>
    <w:rsid w:val="00391DD7"/>
    <w:rsid w:val="003A06A0"/>
    <w:rsid w:val="003A48EA"/>
    <w:rsid w:val="003A589B"/>
    <w:rsid w:val="003B236D"/>
    <w:rsid w:val="003B298B"/>
    <w:rsid w:val="003B7CE2"/>
    <w:rsid w:val="003C0048"/>
    <w:rsid w:val="003C79BA"/>
    <w:rsid w:val="003D1234"/>
    <w:rsid w:val="003E65B0"/>
    <w:rsid w:val="003F266C"/>
    <w:rsid w:val="00401F7B"/>
    <w:rsid w:val="00403715"/>
    <w:rsid w:val="004060C7"/>
    <w:rsid w:val="00420FFD"/>
    <w:rsid w:val="004233D2"/>
    <w:rsid w:val="004320E6"/>
    <w:rsid w:val="00441A9B"/>
    <w:rsid w:val="00443661"/>
    <w:rsid w:val="0044472B"/>
    <w:rsid w:val="004507E6"/>
    <w:rsid w:val="00452228"/>
    <w:rsid w:val="004539BB"/>
    <w:rsid w:val="004568CC"/>
    <w:rsid w:val="00460B87"/>
    <w:rsid w:val="004662FE"/>
    <w:rsid w:val="00466F00"/>
    <w:rsid w:val="00484B61"/>
    <w:rsid w:val="004850D0"/>
    <w:rsid w:val="00496E21"/>
    <w:rsid w:val="004A4461"/>
    <w:rsid w:val="004A587D"/>
    <w:rsid w:val="004B3247"/>
    <w:rsid w:val="004B3560"/>
    <w:rsid w:val="004B6547"/>
    <w:rsid w:val="004B7E92"/>
    <w:rsid w:val="004C06AB"/>
    <w:rsid w:val="004C22F7"/>
    <w:rsid w:val="004C3B19"/>
    <w:rsid w:val="004C5A0D"/>
    <w:rsid w:val="004C5ADC"/>
    <w:rsid w:val="004E03A4"/>
    <w:rsid w:val="004E31D7"/>
    <w:rsid w:val="004E4C91"/>
    <w:rsid w:val="004E4CD6"/>
    <w:rsid w:val="004F083B"/>
    <w:rsid w:val="004F13B0"/>
    <w:rsid w:val="004F1B46"/>
    <w:rsid w:val="004F4BE3"/>
    <w:rsid w:val="004F602D"/>
    <w:rsid w:val="00505DF1"/>
    <w:rsid w:val="005064E9"/>
    <w:rsid w:val="00513CCD"/>
    <w:rsid w:val="0051707A"/>
    <w:rsid w:val="005173A3"/>
    <w:rsid w:val="005176E6"/>
    <w:rsid w:val="00530917"/>
    <w:rsid w:val="00532326"/>
    <w:rsid w:val="00532FAA"/>
    <w:rsid w:val="00535E5F"/>
    <w:rsid w:val="0053773B"/>
    <w:rsid w:val="0055024F"/>
    <w:rsid w:val="00553DE3"/>
    <w:rsid w:val="005554F9"/>
    <w:rsid w:val="00574C0D"/>
    <w:rsid w:val="00575802"/>
    <w:rsid w:val="00581834"/>
    <w:rsid w:val="00581FFB"/>
    <w:rsid w:val="005826C8"/>
    <w:rsid w:val="005832B8"/>
    <w:rsid w:val="00585632"/>
    <w:rsid w:val="0058684A"/>
    <w:rsid w:val="00592EEB"/>
    <w:rsid w:val="005A4E87"/>
    <w:rsid w:val="005A6B29"/>
    <w:rsid w:val="005A767F"/>
    <w:rsid w:val="005B0EFC"/>
    <w:rsid w:val="005B2223"/>
    <w:rsid w:val="005C38B2"/>
    <w:rsid w:val="005C46AA"/>
    <w:rsid w:val="005C7251"/>
    <w:rsid w:val="005C7AA9"/>
    <w:rsid w:val="005D082C"/>
    <w:rsid w:val="005D1ED7"/>
    <w:rsid w:val="005E51AF"/>
    <w:rsid w:val="005F182A"/>
    <w:rsid w:val="005F7A16"/>
    <w:rsid w:val="006002DC"/>
    <w:rsid w:val="0060505C"/>
    <w:rsid w:val="00611B55"/>
    <w:rsid w:val="006133EA"/>
    <w:rsid w:val="00614648"/>
    <w:rsid w:val="00614A65"/>
    <w:rsid w:val="00616822"/>
    <w:rsid w:val="00616C10"/>
    <w:rsid w:val="006253CB"/>
    <w:rsid w:val="00627521"/>
    <w:rsid w:val="006306A8"/>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77294"/>
    <w:rsid w:val="00680779"/>
    <w:rsid w:val="00684D7F"/>
    <w:rsid w:val="00686901"/>
    <w:rsid w:val="00693A06"/>
    <w:rsid w:val="00694187"/>
    <w:rsid w:val="006A119C"/>
    <w:rsid w:val="006A19B7"/>
    <w:rsid w:val="006A2A6C"/>
    <w:rsid w:val="006A2B5B"/>
    <w:rsid w:val="006C6D4C"/>
    <w:rsid w:val="006D09B4"/>
    <w:rsid w:val="006D1DFD"/>
    <w:rsid w:val="006E4FF6"/>
    <w:rsid w:val="006E6454"/>
    <w:rsid w:val="006E6645"/>
    <w:rsid w:val="006F214C"/>
    <w:rsid w:val="006F2DF2"/>
    <w:rsid w:val="006F3415"/>
    <w:rsid w:val="006F53DC"/>
    <w:rsid w:val="006F6F82"/>
    <w:rsid w:val="006F79AD"/>
    <w:rsid w:val="007057F0"/>
    <w:rsid w:val="00706196"/>
    <w:rsid w:val="00707B3B"/>
    <w:rsid w:val="00713680"/>
    <w:rsid w:val="00715DD1"/>
    <w:rsid w:val="00716030"/>
    <w:rsid w:val="007342E5"/>
    <w:rsid w:val="007353C0"/>
    <w:rsid w:val="00735538"/>
    <w:rsid w:val="00754510"/>
    <w:rsid w:val="00754E3A"/>
    <w:rsid w:val="0076119A"/>
    <w:rsid w:val="0076237B"/>
    <w:rsid w:val="00765C2D"/>
    <w:rsid w:val="007675A7"/>
    <w:rsid w:val="0076764E"/>
    <w:rsid w:val="0077435B"/>
    <w:rsid w:val="00790256"/>
    <w:rsid w:val="007A1709"/>
    <w:rsid w:val="007A2C3D"/>
    <w:rsid w:val="007B2E87"/>
    <w:rsid w:val="007B4FAF"/>
    <w:rsid w:val="007C08BD"/>
    <w:rsid w:val="007C1634"/>
    <w:rsid w:val="007C6F2F"/>
    <w:rsid w:val="007E0C30"/>
    <w:rsid w:val="007E15B0"/>
    <w:rsid w:val="007F7583"/>
    <w:rsid w:val="00802055"/>
    <w:rsid w:val="008046EB"/>
    <w:rsid w:val="0080536D"/>
    <w:rsid w:val="00807122"/>
    <w:rsid w:val="0080724D"/>
    <w:rsid w:val="008173CF"/>
    <w:rsid w:val="00817EDE"/>
    <w:rsid w:val="00823753"/>
    <w:rsid w:val="008316DB"/>
    <w:rsid w:val="0083211C"/>
    <w:rsid w:val="00835A80"/>
    <w:rsid w:val="008378A7"/>
    <w:rsid w:val="00837AE6"/>
    <w:rsid w:val="00853F32"/>
    <w:rsid w:val="00864776"/>
    <w:rsid w:val="00865727"/>
    <w:rsid w:val="00865D8E"/>
    <w:rsid w:val="00865FE5"/>
    <w:rsid w:val="00866681"/>
    <w:rsid w:val="0087343F"/>
    <w:rsid w:val="00874305"/>
    <w:rsid w:val="00876D4E"/>
    <w:rsid w:val="00881B8F"/>
    <w:rsid w:val="00890E5D"/>
    <w:rsid w:val="008954A0"/>
    <w:rsid w:val="0089782A"/>
    <w:rsid w:val="008A0CE7"/>
    <w:rsid w:val="008A1A0C"/>
    <w:rsid w:val="008A3586"/>
    <w:rsid w:val="008A4CEE"/>
    <w:rsid w:val="008B3EB4"/>
    <w:rsid w:val="008B667D"/>
    <w:rsid w:val="008C09C4"/>
    <w:rsid w:val="008C7470"/>
    <w:rsid w:val="008D3B01"/>
    <w:rsid w:val="008D4213"/>
    <w:rsid w:val="008D5E0B"/>
    <w:rsid w:val="008D5E18"/>
    <w:rsid w:val="008E147D"/>
    <w:rsid w:val="008E5B11"/>
    <w:rsid w:val="008F1B09"/>
    <w:rsid w:val="0090013F"/>
    <w:rsid w:val="00900C5B"/>
    <w:rsid w:val="00901AFF"/>
    <w:rsid w:val="00902134"/>
    <w:rsid w:val="00907DA4"/>
    <w:rsid w:val="009148E3"/>
    <w:rsid w:val="0092760B"/>
    <w:rsid w:val="00930FD3"/>
    <w:rsid w:val="00932144"/>
    <w:rsid w:val="009333AA"/>
    <w:rsid w:val="00935095"/>
    <w:rsid w:val="00935ABA"/>
    <w:rsid w:val="009360FC"/>
    <w:rsid w:val="00942D00"/>
    <w:rsid w:val="00951EE2"/>
    <w:rsid w:val="0095571C"/>
    <w:rsid w:val="0096422B"/>
    <w:rsid w:val="009650D8"/>
    <w:rsid w:val="00966095"/>
    <w:rsid w:val="00966432"/>
    <w:rsid w:val="009748FB"/>
    <w:rsid w:val="00976AA8"/>
    <w:rsid w:val="009773EC"/>
    <w:rsid w:val="00981E7A"/>
    <w:rsid w:val="00986415"/>
    <w:rsid w:val="00990F55"/>
    <w:rsid w:val="009911CF"/>
    <w:rsid w:val="00992541"/>
    <w:rsid w:val="009948B7"/>
    <w:rsid w:val="009A1884"/>
    <w:rsid w:val="009A31C9"/>
    <w:rsid w:val="009A34A1"/>
    <w:rsid w:val="009A4564"/>
    <w:rsid w:val="009A4C07"/>
    <w:rsid w:val="009A6D63"/>
    <w:rsid w:val="009A73F6"/>
    <w:rsid w:val="009C19CA"/>
    <w:rsid w:val="009C20B2"/>
    <w:rsid w:val="009C3BA1"/>
    <w:rsid w:val="009C4323"/>
    <w:rsid w:val="009C4D62"/>
    <w:rsid w:val="009D0B82"/>
    <w:rsid w:val="009D5078"/>
    <w:rsid w:val="009E0DF7"/>
    <w:rsid w:val="009E1C08"/>
    <w:rsid w:val="009E202F"/>
    <w:rsid w:val="009E40F3"/>
    <w:rsid w:val="009E6983"/>
    <w:rsid w:val="009F040C"/>
    <w:rsid w:val="009F1D55"/>
    <w:rsid w:val="009F3047"/>
    <w:rsid w:val="009F4601"/>
    <w:rsid w:val="009F7B91"/>
    <w:rsid w:val="00A01F41"/>
    <w:rsid w:val="00A07D8A"/>
    <w:rsid w:val="00A11CE2"/>
    <w:rsid w:val="00A20E8C"/>
    <w:rsid w:val="00A323DA"/>
    <w:rsid w:val="00A44AD3"/>
    <w:rsid w:val="00A45D63"/>
    <w:rsid w:val="00A47406"/>
    <w:rsid w:val="00A550FC"/>
    <w:rsid w:val="00A7018C"/>
    <w:rsid w:val="00A70B89"/>
    <w:rsid w:val="00A70E2F"/>
    <w:rsid w:val="00A76E5B"/>
    <w:rsid w:val="00A81716"/>
    <w:rsid w:val="00A81DB3"/>
    <w:rsid w:val="00A8386C"/>
    <w:rsid w:val="00A842EC"/>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AF0BA6"/>
    <w:rsid w:val="00AF2BB6"/>
    <w:rsid w:val="00B02D82"/>
    <w:rsid w:val="00B03865"/>
    <w:rsid w:val="00B129F7"/>
    <w:rsid w:val="00B12A97"/>
    <w:rsid w:val="00B13C3D"/>
    <w:rsid w:val="00B157E1"/>
    <w:rsid w:val="00B16A05"/>
    <w:rsid w:val="00B17BED"/>
    <w:rsid w:val="00B17F25"/>
    <w:rsid w:val="00B225A1"/>
    <w:rsid w:val="00B25ACB"/>
    <w:rsid w:val="00B25ECF"/>
    <w:rsid w:val="00B268A7"/>
    <w:rsid w:val="00B35686"/>
    <w:rsid w:val="00B36C0D"/>
    <w:rsid w:val="00B51EB2"/>
    <w:rsid w:val="00B51EBA"/>
    <w:rsid w:val="00B5261C"/>
    <w:rsid w:val="00B5585B"/>
    <w:rsid w:val="00B5601E"/>
    <w:rsid w:val="00B5605C"/>
    <w:rsid w:val="00B5628D"/>
    <w:rsid w:val="00B62606"/>
    <w:rsid w:val="00B6431E"/>
    <w:rsid w:val="00B67AB9"/>
    <w:rsid w:val="00B70285"/>
    <w:rsid w:val="00B702CE"/>
    <w:rsid w:val="00B721A7"/>
    <w:rsid w:val="00B73739"/>
    <w:rsid w:val="00B7450D"/>
    <w:rsid w:val="00B77B07"/>
    <w:rsid w:val="00B818DE"/>
    <w:rsid w:val="00B837A3"/>
    <w:rsid w:val="00B90550"/>
    <w:rsid w:val="00B92BA3"/>
    <w:rsid w:val="00B969C4"/>
    <w:rsid w:val="00BA28A5"/>
    <w:rsid w:val="00BA5F87"/>
    <w:rsid w:val="00BA79F7"/>
    <w:rsid w:val="00BB1683"/>
    <w:rsid w:val="00BB6613"/>
    <w:rsid w:val="00BB66A5"/>
    <w:rsid w:val="00BC66D9"/>
    <w:rsid w:val="00BD0A26"/>
    <w:rsid w:val="00BE0FA0"/>
    <w:rsid w:val="00BE4FAD"/>
    <w:rsid w:val="00BF23CB"/>
    <w:rsid w:val="00BF3612"/>
    <w:rsid w:val="00BF497A"/>
    <w:rsid w:val="00BF7426"/>
    <w:rsid w:val="00C026DA"/>
    <w:rsid w:val="00C02B28"/>
    <w:rsid w:val="00C1171C"/>
    <w:rsid w:val="00C23C78"/>
    <w:rsid w:val="00C300F2"/>
    <w:rsid w:val="00C43F36"/>
    <w:rsid w:val="00C45B66"/>
    <w:rsid w:val="00C46E90"/>
    <w:rsid w:val="00C5671C"/>
    <w:rsid w:val="00C731B8"/>
    <w:rsid w:val="00C801A0"/>
    <w:rsid w:val="00C838B9"/>
    <w:rsid w:val="00C92977"/>
    <w:rsid w:val="00C940BC"/>
    <w:rsid w:val="00C953FF"/>
    <w:rsid w:val="00CA7D13"/>
    <w:rsid w:val="00CB1BB2"/>
    <w:rsid w:val="00CB733E"/>
    <w:rsid w:val="00CC1F2B"/>
    <w:rsid w:val="00CC269B"/>
    <w:rsid w:val="00CC29F3"/>
    <w:rsid w:val="00CC5C59"/>
    <w:rsid w:val="00CD235D"/>
    <w:rsid w:val="00CD5591"/>
    <w:rsid w:val="00CE10CC"/>
    <w:rsid w:val="00CF2AB8"/>
    <w:rsid w:val="00CF303B"/>
    <w:rsid w:val="00CF3790"/>
    <w:rsid w:val="00CF3F96"/>
    <w:rsid w:val="00CF4C37"/>
    <w:rsid w:val="00CF55CF"/>
    <w:rsid w:val="00D008AB"/>
    <w:rsid w:val="00D01696"/>
    <w:rsid w:val="00D15691"/>
    <w:rsid w:val="00D245F7"/>
    <w:rsid w:val="00D265BD"/>
    <w:rsid w:val="00D26808"/>
    <w:rsid w:val="00D304AD"/>
    <w:rsid w:val="00D30A06"/>
    <w:rsid w:val="00D30F49"/>
    <w:rsid w:val="00D31102"/>
    <w:rsid w:val="00D32294"/>
    <w:rsid w:val="00D35322"/>
    <w:rsid w:val="00D35B18"/>
    <w:rsid w:val="00D36525"/>
    <w:rsid w:val="00D42D9F"/>
    <w:rsid w:val="00D50C1C"/>
    <w:rsid w:val="00D51127"/>
    <w:rsid w:val="00D53BDA"/>
    <w:rsid w:val="00D60674"/>
    <w:rsid w:val="00D66856"/>
    <w:rsid w:val="00D67148"/>
    <w:rsid w:val="00D7599E"/>
    <w:rsid w:val="00D76186"/>
    <w:rsid w:val="00D76968"/>
    <w:rsid w:val="00D83C03"/>
    <w:rsid w:val="00D84899"/>
    <w:rsid w:val="00D8571F"/>
    <w:rsid w:val="00D91064"/>
    <w:rsid w:val="00D9357D"/>
    <w:rsid w:val="00D956CD"/>
    <w:rsid w:val="00DA3393"/>
    <w:rsid w:val="00DA49D6"/>
    <w:rsid w:val="00DB023D"/>
    <w:rsid w:val="00DB16DE"/>
    <w:rsid w:val="00DB1845"/>
    <w:rsid w:val="00DB45DF"/>
    <w:rsid w:val="00DB49FE"/>
    <w:rsid w:val="00DD35F5"/>
    <w:rsid w:val="00DD59BB"/>
    <w:rsid w:val="00DD6665"/>
    <w:rsid w:val="00DE04A8"/>
    <w:rsid w:val="00DE62BC"/>
    <w:rsid w:val="00DF40A9"/>
    <w:rsid w:val="00DF75FB"/>
    <w:rsid w:val="00E11D71"/>
    <w:rsid w:val="00E12DE7"/>
    <w:rsid w:val="00E13F77"/>
    <w:rsid w:val="00E15446"/>
    <w:rsid w:val="00E319DA"/>
    <w:rsid w:val="00E3340B"/>
    <w:rsid w:val="00E40778"/>
    <w:rsid w:val="00E41C00"/>
    <w:rsid w:val="00E4342D"/>
    <w:rsid w:val="00E45C87"/>
    <w:rsid w:val="00E51BEC"/>
    <w:rsid w:val="00E5336E"/>
    <w:rsid w:val="00E65759"/>
    <w:rsid w:val="00E71248"/>
    <w:rsid w:val="00E73226"/>
    <w:rsid w:val="00E743D2"/>
    <w:rsid w:val="00E747DD"/>
    <w:rsid w:val="00E77E48"/>
    <w:rsid w:val="00E8779D"/>
    <w:rsid w:val="00E87A9B"/>
    <w:rsid w:val="00E9486D"/>
    <w:rsid w:val="00E97D24"/>
    <w:rsid w:val="00E97F04"/>
    <w:rsid w:val="00EA241F"/>
    <w:rsid w:val="00EA6011"/>
    <w:rsid w:val="00EA73B7"/>
    <w:rsid w:val="00EB3E73"/>
    <w:rsid w:val="00EB6682"/>
    <w:rsid w:val="00EC181A"/>
    <w:rsid w:val="00EC1BFD"/>
    <w:rsid w:val="00EC2004"/>
    <w:rsid w:val="00EC2949"/>
    <w:rsid w:val="00EE4BA3"/>
    <w:rsid w:val="00EE5C54"/>
    <w:rsid w:val="00EE62E6"/>
    <w:rsid w:val="00EF4FA7"/>
    <w:rsid w:val="00EF6354"/>
    <w:rsid w:val="00F012E6"/>
    <w:rsid w:val="00F13970"/>
    <w:rsid w:val="00F206C1"/>
    <w:rsid w:val="00F20B8D"/>
    <w:rsid w:val="00F376E5"/>
    <w:rsid w:val="00F404B1"/>
    <w:rsid w:val="00F408C2"/>
    <w:rsid w:val="00F4310A"/>
    <w:rsid w:val="00F46275"/>
    <w:rsid w:val="00F47C01"/>
    <w:rsid w:val="00F47E96"/>
    <w:rsid w:val="00F548C9"/>
    <w:rsid w:val="00F62C56"/>
    <w:rsid w:val="00F65875"/>
    <w:rsid w:val="00F71AB8"/>
    <w:rsid w:val="00F76E36"/>
    <w:rsid w:val="00F801FB"/>
    <w:rsid w:val="00F82F6D"/>
    <w:rsid w:val="00F90029"/>
    <w:rsid w:val="00F9597B"/>
    <w:rsid w:val="00F96EE2"/>
    <w:rsid w:val="00F97A1C"/>
    <w:rsid w:val="00FA016B"/>
    <w:rsid w:val="00FA6295"/>
    <w:rsid w:val="00FB2265"/>
    <w:rsid w:val="00FC2753"/>
    <w:rsid w:val="00FD10D9"/>
    <w:rsid w:val="00FD395A"/>
    <w:rsid w:val="00FD4182"/>
    <w:rsid w:val="00FE1AB5"/>
    <w:rsid w:val="00FE3524"/>
    <w:rsid w:val="00FE392A"/>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spacing w:after="240" w:line="360" w:lineRule="auto"/>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spacing w:after="240" w:line="360" w:lineRule="auto"/>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C4CF-4C98-499E-AAC2-2205CBDC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2894</Words>
  <Characters>15214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Perri, Leonida (MAG)</cp:lastModifiedBy>
  <cp:revision>3</cp:revision>
  <cp:lastPrinted>2014-04-10T17:33:00Z</cp:lastPrinted>
  <dcterms:created xsi:type="dcterms:W3CDTF">2018-11-02T13:25:00Z</dcterms:created>
  <dcterms:modified xsi:type="dcterms:W3CDTF">2018-11-02T13:25:00Z</dcterms:modified>
</cp:coreProperties>
</file>