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111"/>
        <w:tblW w:w="9606" w:type="dxa"/>
        <w:tblLayout w:type="fixed"/>
        <w:tblLook w:val="0000" w:firstRow="0" w:lastRow="0" w:firstColumn="0" w:lastColumn="0" w:noHBand="0" w:noVBand="0"/>
      </w:tblPr>
      <w:tblGrid>
        <w:gridCol w:w="5778"/>
        <w:gridCol w:w="3828"/>
      </w:tblGrid>
      <w:tr w:rsidR="006D09B4" w:rsidRPr="001E764F" w:rsidTr="008A23AF">
        <w:trPr>
          <w:trHeight w:val="281"/>
        </w:trPr>
        <w:tc>
          <w:tcPr>
            <w:tcW w:w="5778" w:type="dxa"/>
          </w:tcPr>
          <w:p w:rsidR="006D09B4" w:rsidRPr="001E764F" w:rsidRDefault="006D09B4" w:rsidP="006D09B4">
            <w:pPr>
              <w:rPr>
                <w:rFonts w:ascii="Arial" w:hAnsi="Arial" w:cs="Arial"/>
                <w:b/>
                <w:sz w:val="16"/>
                <w:szCs w:val="16"/>
              </w:rPr>
            </w:pPr>
          </w:p>
        </w:tc>
        <w:tc>
          <w:tcPr>
            <w:tcW w:w="3828" w:type="dxa"/>
            <w:vMerge w:val="restart"/>
          </w:tcPr>
          <w:p w:rsidR="006D09B4" w:rsidRPr="001E764F" w:rsidRDefault="00B12A97" w:rsidP="006D09B4">
            <w:pPr>
              <w:rPr>
                <w:rFonts w:ascii="Arial" w:hAnsi="Arial" w:cs="Arial"/>
                <w:b/>
                <w:noProof/>
                <w:sz w:val="32"/>
                <w:szCs w:val="32"/>
                <w:lang w:val="en-CA" w:eastAsia="en-CA"/>
              </w:rPr>
            </w:pPr>
            <w:r>
              <w:rPr>
                <w:rFonts w:ascii="Arial" w:hAnsi="Arial" w:cs="Arial"/>
                <w:noProof/>
                <w:lang w:val="en-CA" w:eastAsia="en-CA"/>
              </w:rPr>
              <w:drawing>
                <wp:anchor distT="0" distB="0" distL="114300" distR="114300" simplePos="0" relativeHeight="251657728" behindDoc="0" locked="0" layoutInCell="1" allowOverlap="1" wp14:anchorId="60B1D196" wp14:editId="20C26167">
                  <wp:simplePos x="0" y="0"/>
                  <wp:positionH relativeFrom="column">
                    <wp:align>center</wp:align>
                  </wp:positionH>
                  <wp:positionV relativeFrom="paragraph">
                    <wp:posOffset>80010</wp:posOffset>
                  </wp:positionV>
                  <wp:extent cx="1188720" cy="1188720"/>
                  <wp:effectExtent l="0" t="0" r="0" b="0"/>
                  <wp:wrapNone/>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88720" cy="118872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6D09B4" w:rsidRPr="001E764F" w:rsidTr="008A23AF">
        <w:tc>
          <w:tcPr>
            <w:tcW w:w="5778" w:type="dxa"/>
          </w:tcPr>
          <w:p w:rsidR="006D09B4" w:rsidRPr="001E764F" w:rsidRDefault="00BB66A5" w:rsidP="006D09B4">
            <w:pPr>
              <w:rPr>
                <w:rFonts w:ascii="Arial" w:hAnsi="Arial" w:cs="Arial"/>
                <w:b/>
                <w:sz w:val="32"/>
                <w:szCs w:val="32"/>
              </w:rPr>
            </w:pPr>
            <w:r w:rsidRPr="00A7018C">
              <w:rPr>
                <w:rFonts w:ascii="Arial" w:hAnsi="Arial" w:cs="Arial"/>
                <w:b/>
                <w:sz w:val="32"/>
                <w:szCs w:val="32"/>
              </w:rPr>
              <w:t>Local Planning Appeal Tribunal</w:t>
            </w:r>
          </w:p>
        </w:tc>
        <w:tc>
          <w:tcPr>
            <w:tcW w:w="3828" w:type="dxa"/>
            <w:vMerge/>
          </w:tcPr>
          <w:p w:rsidR="006D09B4" w:rsidRPr="001E764F" w:rsidRDefault="006D09B4" w:rsidP="006D09B4">
            <w:pPr>
              <w:rPr>
                <w:rFonts w:ascii="Arial" w:hAnsi="Arial" w:cs="Arial"/>
                <w:b/>
                <w:sz w:val="32"/>
                <w:szCs w:val="32"/>
              </w:rPr>
            </w:pPr>
          </w:p>
        </w:tc>
      </w:tr>
      <w:tr w:rsidR="006D09B4" w:rsidRPr="001E764F" w:rsidTr="008A23AF">
        <w:tc>
          <w:tcPr>
            <w:tcW w:w="5778" w:type="dxa"/>
          </w:tcPr>
          <w:p w:rsidR="00FE1AB5" w:rsidRPr="001E764F" w:rsidRDefault="00FE1AB5" w:rsidP="00FE1AB5">
            <w:pPr>
              <w:rPr>
                <w:rFonts w:ascii="Arial" w:hAnsi="Arial" w:cs="Arial"/>
                <w:sz w:val="32"/>
                <w:szCs w:val="32"/>
                <w:lang w:val="fr-CA"/>
              </w:rPr>
            </w:pPr>
            <w:r>
              <w:rPr>
                <w:rFonts w:ascii="Arial" w:hAnsi="Arial" w:cs="Arial"/>
                <w:sz w:val="32"/>
                <w:szCs w:val="32"/>
                <w:lang w:val="fr-CA"/>
              </w:rPr>
              <w:t>Tribunal d’appel de l’aménagement local</w:t>
            </w:r>
          </w:p>
          <w:p w:rsidR="006D09B4" w:rsidRPr="001E764F" w:rsidRDefault="006D09B4" w:rsidP="006D09B4">
            <w:pPr>
              <w:rPr>
                <w:rFonts w:ascii="Arial" w:hAnsi="Arial" w:cs="Arial"/>
                <w:sz w:val="32"/>
                <w:szCs w:val="32"/>
                <w:lang w:val="fr-CA"/>
              </w:rPr>
            </w:pPr>
          </w:p>
          <w:p w:rsidR="006D09B4" w:rsidRPr="001E764F" w:rsidRDefault="006D09B4" w:rsidP="006D09B4">
            <w:pPr>
              <w:rPr>
                <w:rFonts w:ascii="Arial" w:hAnsi="Arial" w:cs="Arial"/>
                <w:sz w:val="32"/>
                <w:szCs w:val="32"/>
                <w:lang w:val="fr-CA"/>
              </w:rPr>
            </w:pPr>
          </w:p>
        </w:tc>
        <w:tc>
          <w:tcPr>
            <w:tcW w:w="3828" w:type="dxa"/>
            <w:vMerge/>
          </w:tcPr>
          <w:p w:rsidR="006D09B4" w:rsidRPr="001E764F" w:rsidRDefault="006D09B4" w:rsidP="006D09B4">
            <w:pPr>
              <w:rPr>
                <w:rFonts w:ascii="Arial" w:hAnsi="Arial" w:cs="Arial"/>
                <w:sz w:val="32"/>
                <w:szCs w:val="32"/>
                <w:lang w:val="fr-CA"/>
              </w:rPr>
            </w:pPr>
          </w:p>
        </w:tc>
      </w:tr>
    </w:tbl>
    <w:p w:rsidR="00AB07FC" w:rsidRPr="0006526A" w:rsidRDefault="00AB07FC" w:rsidP="002159B4">
      <w:pPr>
        <w:rPr>
          <w:rFonts w:ascii="Arial" w:hAnsi="Arial" w:cs="Arial"/>
          <w:lang w:val="fr-CA"/>
        </w:rPr>
      </w:pPr>
      <w:bookmarkStart w:id="0" w:name="Appearances"/>
    </w:p>
    <w:tbl>
      <w:tblPr>
        <w:tblpPr w:leftFromText="181" w:rightFromText="181" w:vertAnchor="text" w:horzAnchor="margin" w:tblpY="189"/>
        <w:tblW w:w="9606" w:type="dxa"/>
        <w:tblLook w:val="04A0" w:firstRow="1" w:lastRow="0" w:firstColumn="1" w:lastColumn="0" w:noHBand="0" w:noVBand="1"/>
      </w:tblPr>
      <w:tblGrid>
        <w:gridCol w:w="1818"/>
        <w:gridCol w:w="3960"/>
        <w:gridCol w:w="1890"/>
        <w:gridCol w:w="1938"/>
      </w:tblGrid>
      <w:tr w:rsidR="00EA73B7" w:rsidRPr="001E764F" w:rsidTr="008A23AF">
        <w:tc>
          <w:tcPr>
            <w:tcW w:w="1818" w:type="dxa"/>
            <w:shd w:val="clear" w:color="auto" w:fill="auto"/>
            <w:vAlign w:val="center"/>
          </w:tcPr>
          <w:p w:rsidR="00EA73B7" w:rsidRPr="001D67CE" w:rsidRDefault="00EA73B7" w:rsidP="002159B4">
            <w:pPr>
              <w:rPr>
                <w:rFonts w:ascii="Arial" w:hAnsi="Arial" w:cs="Arial"/>
              </w:rPr>
            </w:pPr>
            <w:r w:rsidRPr="001E764F">
              <w:rPr>
                <w:rFonts w:ascii="Arial" w:hAnsi="Arial" w:cs="Arial"/>
                <w:b/>
              </w:rPr>
              <w:t>ISSUE DATE:</w:t>
            </w:r>
          </w:p>
        </w:tc>
        <w:tc>
          <w:tcPr>
            <w:tcW w:w="3960" w:type="dxa"/>
            <w:shd w:val="clear" w:color="auto" w:fill="auto"/>
            <w:vAlign w:val="center"/>
          </w:tcPr>
          <w:p w:rsidR="00EA73B7" w:rsidRPr="001D67CE" w:rsidRDefault="00C33FA2" w:rsidP="002159B4">
            <w:pPr>
              <w:rPr>
                <w:rFonts w:ascii="Arial" w:hAnsi="Arial" w:cs="Arial"/>
              </w:rPr>
            </w:pPr>
            <w:r>
              <w:rPr>
                <w:rFonts w:ascii="Arial" w:hAnsi="Arial" w:cs="Arial"/>
              </w:rPr>
              <w:t>May 21, 2019</w:t>
            </w:r>
          </w:p>
        </w:tc>
        <w:tc>
          <w:tcPr>
            <w:tcW w:w="1890" w:type="dxa"/>
            <w:shd w:val="clear" w:color="auto" w:fill="auto"/>
            <w:vAlign w:val="center"/>
          </w:tcPr>
          <w:p w:rsidR="00EA73B7" w:rsidRPr="001D67CE" w:rsidRDefault="00EA73B7" w:rsidP="002159B4">
            <w:pPr>
              <w:rPr>
                <w:rFonts w:ascii="Arial" w:hAnsi="Arial" w:cs="Arial"/>
              </w:rPr>
            </w:pPr>
            <w:r w:rsidRPr="001E764F">
              <w:rPr>
                <w:rFonts w:ascii="Arial" w:hAnsi="Arial" w:cs="Arial"/>
                <w:b/>
              </w:rPr>
              <w:fldChar w:fldCharType="begin"/>
            </w:r>
            <w:r w:rsidRPr="001E764F">
              <w:rPr>
                <w:rFonts w:ascii="Arial" w:hAnsi="Arial" w:cs="Arial"/>
                <w:b/>
              </w:rPr>
              <w:instrText xml:space="preserve"> SEQ CHAPTER \h \r 1</w:instrText>
            </w:r>
            <w:r w:rsidRPr="001E764F">
              <w:rPr>
                <w:rFonts w:ascii="Arial" w:hAnsi="Arial" w:cs="Arial"/>
                <w:b/>
              </w:rPr>
              <w:fldChar w:fldCharType="end"/>
            </w:r>
            <w:r w:rsidRPr="001E764F">
              <w:rPr>
                <w:rFonts w:ascii="Arial" w:hAnsi="Arial" w:cs="Arial"/>
                <w:b/>
              </w:rPr>
              <w:t>CASE NO(S)</w:t>
            </w:r>
            <w:proofErr w:type="gramStart"/>
            <w:r w:rsidRPr="001E764F">
              <w:rPr>
                <w:rFonts w:ascii="Arial" w:hAnsi="Arial" w:cs="Arial"/>
                <w:b/>
              </w:rPr>
              <w:t>.:</w:t>
            </w:r>
            <w:proofErr w:type="gramEnd"/>
          </w:p>
        </w:tc>
        <w:tc>
          <w:tcPr>
            <w:tcW w:w="1938" w:type="dxa"/>
            <w:shd w:val="clear" w:color="auto" w:fill="auto"/>
            <w:vAlign w:val="center"/>
          </w:tcPr>
          <w:p w:rsidR="00EA73B7" w:rsidRPr="001E764F" w:rsidRDefault="006A5204" w:rsidP="00280925">
            <w:pPr>
              <w:jc w:val="right"/>
              <w:rPr>
                <w:rFonts w:ascii="Arial" w:hAnsi="Arial" w:cs="Arial"/>
              </w:rPr>
            </w:pPr>
            <w:r>
              <w:rPr>
                <w:rFonts w:ascii="Arial" w:hAnsi="Arial" w:cs="Arial"/>
              </w:rPr>
              <w:t>PL180727</w:t>
            </w:r>
          </w:p>
        </w:tc>
      </w:tr>
    </w:tbl>
    <w:p w:rsidR="00FD395A" w:rsidRPr="00FD395A" w:rsidRDefault="00FD395A" w:rsidP="00F46275">
      <w:pPr>
        <w:rPr>
          <w:rFonts w:ascii="Arial" w:hAnsi="Arial" w:cs="Arial"/>
        </w:rPr>
      </w:pPr>
    </w:p>
    <w:tbl>
      <w:tblPr>
        <w:tblW w:w="9606" w:type="dxa"/>
        <w:tblLook w:val="0000" w:firstRow="0" w:lastRow="0" w:firstColumn="0" w:lastColumn="0" w:noHBand="0" w:noVBand="0"/>
      </w:tblPr>
      <w:tblGrid>
        <w:gridCol w:w="9606"/>
      </w:tblGrid>
      <w:tr w:rsidR="001D67CE" w:rsidRPr="001E764F" w:rsidTr="008A23AF">
        <w:tc>
          <w:tcPr>
            <w:tcW w:w="9606" w:type="dxa"/>
          </w:tcPr>
          <w:p w:rsidR="00F71AB8" w:rsidRPr="00250221" w:rsidRDefault="00F71AB8" w:rsidP="00F71AB8">
            <w:pPr>
              <w:rPr>
                <w:rFonts w:ascii="Arial" w:hAnsi="Arial" w:cs="Arial"/>
              </w:rPr>
            </w:pPr>
            <w:r w:rsidRPr="00250221">
              <w:rPr>
                <w:rFonts w:ascii="Arial" w:hAnsi="Arial" w:cs="Arial"/>
              </w:rPr>
              <w:t>The Ontario Municipal Board (the “OMB”) is continued under the name Local Planning Appeal Tribunal (the “Tribunal”), and any reference to the Ontario Municipal Board or Board in any publication of the Tribunal is deemed to be a reference to the Tribunal.</w:t>
            </w:r>
          </w:p>
        </w:tc>
      </w:tr>
    </w:tbl>
    <w:p w:rsidR="001D67CE" w:rsidRDefault="001D67CE" w:rsidP="00270AAE">
      <w:pPr>
        <w:rPr>
          <w:rFonts w:ascii="Arial" w:hAnsi="Arial" w:cs="Arial"/>
          <w:highlight w:val="yellow"/>
        </w:rPr>
      </w:pPr>
    </w:p>
    <w:p w:rsidR="001D67CE" w:rsidRDefault="001D67CE" w:rsidP="00270AAE">
      <w:pPr>
        <w:rPr>
          <w:rFonts w:ascii="Arial" w:hAnsi="Arial" w:cs="Arial"/>
          <w:highlight w:val="yellow"/>
        </w:rPr>
      </w:pPr>
    </w:p>
    <w:tbl>
      <w:tblPr>
        <w:tblW w:w="9558" w:type="dxa"/>
        <w:tblLook w:val="04A0" w:firstRow="1" w:lastRow="0" w:firstColumn="1" w:lastColumn="0" w:noHBand="0" w:noVBand="1"/>
      </w:tblPr>
      <w:tblGrid>
        <w:gridCol w:w="3468"/>
        <w:gridCol w:w="6090"/>
      </w:tblGrid>
      <w:tr w:rsidR="008A23AF" w:rsidTr="008A23AF">
        <w:trPr>
          <w:cantSplit/>
          <w:trHeight w:val="80"/>
        </w:trPr>
        <w:tc>
          <w:tcPr>
            <w:tcW w:w="9558" w:type="dxa"/>
            <w:gridSpan w:val="2"/>
          </w:tcPr>
          <w:p w:rsidR="008A23AF" w:rsidRDefault="008A23AF">
            <w:pPr>
              <w:rPr>
                <w:rFonts w:ascii="Arial" w:hAnsi="Arial" w:cs="Arial"/>
              </w:rPr>
            </w:pPr>
            <w:r>
              <w:rPr>
                <w:rFonts w:ascii="Arial" w:hAnsi="Arial" w:cs="Arial"/>
                <w:b/>
              </w:rPr>
              <w:t xml:space="preserve">PROCEEDING COMMENCED UNDER </w:t>
            </w:r>
            <w:r>
              <w:rPr>
                <w:rFonts w:ascii="Arial" w:hAnsi="Arial" w:cs="Arial"/>
              </w:rPr>
              <w:t xml:space="preserve">subsection 17(24) of the </w:t>
            </w:r>
            <w:r>
              <w:rPr>
                <w:rFonts w:ascii="Arial" w:hAnsi="Arial" w:cs="Arial"/>
                <w:i/>
              </w:rPr>
              <w:t>Planning Act</w:t>
            </w:r>
            <w:r>
              <w:rPr>
                <w:rFonts w:ascii="Arial" w:hAnsi="Arial" w:cs="Arial"/>
              </w:rPr>
              <w:t>, R.S.O. 1990, c. P.13, as amended</w:t>
            </w:r>
          </w:p>
          <w:p w:rsidR="008A23AF" w:rsidRDefault="008A23AF">
            <w:pPr>
              <w:rPr>
                <w:rFonts w:ascii="Arial" w:hAnsi="Arial" w:cs="Arial"/>
              </w:rPr>
            </w:pPr>
          </w:p>
        </w:tc>
      </w:tr>
      <w:tr w:rsidR="008A23AF" w:rsidTr="008A23AF">
        <w:tc>
          <w:tcPr>
            <w:tcW w:w="3468" w:type="dxa"/>
            <w:hideMark/>
          </w:tcPr>
          <w:p w:rsidR="008A23AF" w:rsidRDefault="008A23AF">
            <w:pPr>
              <w:rPr>
                <w:rFonts w:ascii="Arial" w:hAnsi="Arial" w:cs="Arial"/>
              </w:rPr>
            </w:pPr>
            <w:r>
              <w:rPr>
                <w:rFonts w:ascii="Arial" w:hAnsi="Arial" w:cs="Arial"/>
              </w:rPr>
              <w:t>Appellant:</w:t>
            </w:r>
          </w:p>
        </w:tc>
        <w:tc>
          <w:tcPr>
            <w:tcW w:w="6090" w:type="dxa"/>
            <w:hideMark/>
          </w:tcPr>
          <w:p w:rsidR="008A23AF" w:rsidRDefault="008A23AF" w:rsidP="008A23AF">
            <w:pPr>
              <w:ind w:left="927"/>
              <w:rPr>
                <w:rFonts w:ascii="Arial" w:hAnsi="Arial" w:cs="Arial"/>
              </w:rPr>
            </w:pPr>
            <w:r>
              <w:rPr>
                <w:rFonts w:ascii="Arial" w:hAnsi="Arial" w:cs="Arial"/>
              </w:rPr>
              <w:t xml:space="preserve">John </w:t>
            </w:r>
            <w:proofErr w:type="spellStart"/>
            <w:r>
              <w:rPr>
                <w:rFonts w:ascii="Arial" w:hAnsi="Arial" w:cs="Arial"/>
              </w:rPr>
              <w:t>Bacher</w:t>
            </w:r>
            <w:proofErr w:type="spellEnd"/>
          </w:p>
        </w:tc>
      </w:tr>
      <w:tr w:rsidR="008A23AF" w:rsidTr="008A23AF">
        <w:tc>
          <w:tcPr>
            <w:tcW w:w="3468" w:type="dxa"/>
            <w:hideMark/>
          </w:tcPr>
          <w:p w:rsidR="008A23AF" w:rsidRDefault="008A23AF">
            <w:pPr>
              <w:rPr>
                <w:rFonts w:ascii="Arial" w:hAnsi="Arial" w:cs="Arial"/>
              </w:rPr>
            </w:pPr>
            <w:r>
              <w:rPr>
                <w:rFonts w:ascii="Arial" w:hAnsi="Arial" w:cs="Arial"/>
              </w:rPr>
              <w:t>Subject:</w:t>
            </w:r>
          </w:p>
        </w:tc>
        <w:tc>
          <w:tcPr>
            <w:tcW w:w="6090" w:type="dxa"/>
            <w:hideMark/>
          </w:tcPr>
          <w:p w:rsidR="008A23AF" w:rsidRDefault="008A23AF" w:rsidP="008A23AF">
            <w:pPr>
              <w:ind w:left="927"/>
              <w:rPr>
                <w:rFonts w:ascii="Arial" w:hAnsi="Arial" w:cs="Arial"/>
              </w:rPr>
            </w:pPr>
            <w:r>
              <w:rPr>
                <w:rFonts w:ascii="Arial" w:hAnsi="Arial" w:cs="Arial"/>
              </w:rPr>
              <w:t>Proposed Official Plan Amendment No. OPA 128</w:t>
            </w:r>
          </w:p>
        </w:tc>
      </w:tr>
      <w:tr w:rsidR="008A23AF" w:rsidTr="008A23AF">
        <w:tc>
          <w:tcPr>
            <w:tcW w:w="3468" w:type="dxa"/>
            <w:hideMark/>
          </w:tcPr>
          <w:p w:rsidR="008A23AF" w:rsidRDefault="008A23AF">
            <w:pPr>
              <w:rPr>
                <w:rFonts w:ascii="Arial" w:hAnsi="Arial" w:cs="Arial"/>
              </w:rPr>
            </w:pPr>
            <w:r>
              <w:rPr>
                <w:rFonts w:ascii="Arial" w:hAnsi="Arial" w:cs="Arial"/>
              </w:rPr>
              <w:t xml:space="preserve">Municipality: </w:t>
            </w:r>
          </w:p>
        </w:tc>
        <w:tc>
          <w:tcPr>
            <w:tcW w:w="6090" w:type="dxa"/>
            <w:hideMark/>
          </w:tcPr>
          <w:p w:rsidR="008A23AF" w:rsidRDefault="008A23AF" w:rsidP="008A23AF">
            <w:pPr>
              <w:ind w:left="927"/>
              <w:rPr>
                <w:rFonts w:ascii="Arial" w:hAnsi="Arial" w:cs="Arial"/>
              </w:rPr>
            </w:pPr>
            <w:r>
              <w:rPr>
                <w:rFonts w:ascii="Arial" w:hAnsi="Arial" w:cs="Arial"/>
              </w:rPr>
              <w:t>City of Niagara Falls</w:t>
            </w:r>
          </w:p>
        </w:tc>
      </w:tr>
      <w:tr w:rsidR="008A23AF" w:rsidTr="008A23AF">
        <w:tc>
          <w:tcPr>
            <w:tcW w:w="3468" w:type="dxa"/>
            <w:hideMark/>
          </w:tcPr>
          <w:p w:rsidR="008A23AF" w:rsidRDefault="008A23AF">
            <w:pPr>
              <w:rPr>
                <w:rFonts w:ascii="Arial" w:hAnsi="Arial" w:cs="Arial"/>
              </w:rPr>
            </w:pPr>
            <w:r>
              <w:rPr>
                <w:rFonts w:ascii="Arial" w:hAnsi="Arial" w:cs="Arial"/>
              </w:rPr>
              <w:t xml:space="preserve">LPAT Case No.: </w:t>
            </w:r>
          </w:p>
        </w:tc>
        <w:tc>
          <w:tcPr>
            <w:tcW w:w="6090" w:type="dxa"/>
            <w:hideMark/>
          </w:tcPr>
          <w:p w:rsidR="008A23AF" w:rsidRDefault="008A23AF" w:rsidP="008A23AF">
            <w:pPr>
              <w:ind w:left="927"/>
              <w:rPr>
                <w:rFonts w:ascii="Arial" w:hAnsi="Arial" w:cs="Arial"/>
              </w:rPr>
            </w:pPr>
            <w:r>
              <w:rPr>
                <w:rFonts w:ascii="Arial" w:hAnsi="Arial" w:cs="Arial"/>
              </w:rPr>
              <w:t>PL180727</w:t>
            </w:r>
          </w:p>
        </w:tc>
      </w:tr>
      <w:tr w:rsidR="008A23AF" w:rsidTr="008A23AF">
        <w:tc>
          <w:tcPr>
            <w:tcW w:w="3468" w:type="dxa"/>
            <w:hideMark/>
          </w:tcPr>
          <w:p w:rsidR="008A23AF" w:rsidRDefault="008A23AF">
            <w:pPr>
              <w:rPr>
                <w:rFonts w:ascii="Arial" w:hAnsi="Arial" w:cs="Arial"/>
              </w:rPr>
            </w:pPr>
            <w:r>
              <w:rPr>
                <w:rFonts w:ascii="Arial" w:hAnsi="Arial" w:cs="Arial"/>
              </w:rPr>
              <w:t xml:space="preserve">LPAT File No.: </w:t>
            </w:r>
          </w:p>
        </w:tc>
        <w:tc>
          <w:tcPr>
            <w:tcW w:w="6090" w:type="dxa"/>
            <w:hideMark/>
          </w:tcPr>
          <w:p w:rsidR="008A23AF" w:rsidRDefault="008A23AF" w:rsidP="008A23AF">
            <w:pPr>
              <w:ind w:left="927"/>
              <w:rPr>
                <w:rFonts w:ascii="Arial" w:hAnsi="Arial" w:cs="Arial"/>
              </w:rPr>
            </w:pPr>
            <w:r>
              <w:rPr>
                <w:rFonts w:ascii="Arial" w:hAnsi="Arial" w:cs="Arial"/>
              </w:rPr>
              <w:t>PL180727</w:t>
            </w:r>
          </w:p>
        </w:tc>
      </w:tr>
      <w:tr w:rsidR="008A23AF" w:rsidTr="008A23AF">
        <w:tc>
          <w:tcPr>
            <w:tcW w:w="3468" w:type="dxa"/>
            <w:hideMark/>
          </w:tcPr>
          <w:p w:rsidR="008A23AF" w:rsidRDefault="008A23AF">
            <w:pPr>
              <w:rPr>
                <w:rFonts w:ascii="Arial" w:hAnsi="Arial" w:cs="Arial"/>
              </w:rPr>
            </w:pPr>
            <w:r>
              <w:rPr>
                <w:rFonts w:ascii="Arial" w:hAnsi="Arial" w:cs="Arial"/>
              </w:rPr>
              <w:t xml:space="preserve">LPAT Case Name: </w:t>
            </w:r>
          </w:p>
        </w:tc>
        <w:tc>
          <w:tcPr>
            <w:tcW w:w="6090" w:type="dxa"/>
            <w:hideMark/>
          </w:tcPr>
          <w:p w:rsidR="008A23AF" w:rsidRDefault="008A23AF" w:rsidP="008A23AF">
            <w:pPr>
              <w:ind w:left="927"/>
              <w:rPr>
                <w:rFonts w:ascii="Arial" w:hAnsi="Arial" w:cs="Arial"/>
              </w:rPr>
            </w:pPr>
            <w:proofErr w:type="spellStart"/>
            <w:r>
              <w:rPr>
                <w:rFonts w:ascii="Arial" w:hAnsi="Arial" w:cs="Arial"/>
              </w:rPr>
              <w:t>Bacher</w:t>
            </w:r>
            <w:proofErr w:type="spellEnd"/>
            <w:r>
              <w:rPr>
                <w:rFonts w:ascii="Arial" w:hAnsi="Arial" w:cs="Arial"/>
              </w:rPr>
              <w:t xml:space="preserve"> v. Niagara Falls (City)</w:t>
            </w:r>
          </w:p>
        </w:tc>
      </w:tr>
    </w:tbl>
    <w:p w:rsidR="00F46275" w:rsidRDefault="00F46275" w:rsidP="00270AAE">
      <w:pPr>
        <w:rPr>
          <w:rFonts w:ascii="Arial" w:hAnsi="Arial" w:cs="Arial"/>
        </w:rPr>
      </w:pPr>
    </w:p>
    <w:p w:rsidR="006F6F82" w:rsidRPr="001D67CE" w:rsidRDefault="006F6F82" w:rsidP="00270AAE">
      <w:pPr>
        <w:rPr>
          <w:rFonts w:ascii="Arial" w:hAnsi="Arial" w:cs="Arial"/>
        </w:rPr>
      </w:pPr>
    </w:p>
    <w:p w:rsidR="00B268A7" w:rsidRPr="001E764F" w:rsidRDefault="00B268A7" w:rsidP="00270AAE">
      <w:pPr>
        <w:rPr>
          <w:rFonts w:ascii="Arial" w:hAnsi="Arial" w:cs="Arial"/>
        </w:rPr>
      </w:pPr>
    </w:p>
    <w:tbl>
      <w:tblPr>
        <w:tblpPr w:leftFromText="180" w:rightFromText="180" w:vertAnchor="text" w:horzAnchor="margin" w:tblpY="-70"/>
        <w:tblW w:w="9576" w:type="dxa"/>
        <w:tblLook w:val="0000" w:firstRow="0" w:lastRow="0" w:firstColumn="0" w:lastColumn="0" w:noHBand="0" w:noVBand="0"/>
      </w:tblPr>
      <w:tblGrid>
        <w:gridCol w:w="4338"/>
        <w:gridCol w:w="5238"/>
      </w:tblGrid>
      <w:tr w:rsidR="00B268A7" w:rsidRPr="001E764F" w:rsidTr="008A23AF">
        <w:tc>
          <w:tcPr>
            <w:tcW w:w="4338" w:type="dxa"/>
          </w:tcPr>
          <w:p w:rsidR="00B268A7" w:rsidRPr="00C940BC" w:rsidRDefault="00B268A7" w:rsidP="00270AAE">
            <w:pPr>
              <w:rPr>
                <w:rFonts w:ascii="Arial" w:hAnsi="Arial" w:cs="Arial"/>
              </w:rPr>
            </w:pPr>
            <w:r w:rsidRPr="001E764F">
              <w:rPr>
                <w:rFonts w:ascii="Arial" w:hAnsi="Arial" w:cs="Arial"/>
                <w:b/>
              </w:rPr>
              <w:t>Heard:</w:t>
            </w:r>
          </w:p>
        </w:tc>
        <w:tc>
          <w:tcPr>
            <w:tcW w:w="5238" w:type="dxa"/>
          </w:tcPr>
          <w:p w:rsidR="00B268A7" w:rsidRPr="001E764F" w:rsidRDefault="006A5204" w:rsidP="00566F89">
            <w:pPr>
              <w:rPr>
                <w:rFonts w:ascii="Arial" w:hAnsi="Arial" w:cs="Arial"/>
              </w:rPr>
            </w:pPr>
            <w:r>
              <w:rPr>
                <w:rFonts w:ascii="Arial" w:hAnsi="Arial" w:cs="Arial"/>
              </w:rPr>
              <w:t>March 6, 2019</w:t>
            </w:r>
            <w:r w:rsidR="0022318F">
              <w:rPr>
                <w:rFonts w:ascii="Arial" w:hAnsi="Arial" w:cs="Arial"/>
              </w:rPr>
              <w:t xml:space="preserve"> </w:t>
            </w:r>
            <w:bookmarkStart w:id="1" w:name="_GoBack"/>
            <w:bookmarkEnd w:id="1"/>
            <w:r w:rsidR="008A23AF">
              <w:rPr>
                <w:rFonts w:ascii="Arial" w:hAnsi="Arial" w:cs="Arial"/>
              </w:rPr>
              <w:t>in</w:t>
            </w:r>
            <w:r>
              <w:rPr>
                <w:rFonts w:ascii="Arial" w:hAnsi="Arial" w:cs="Arial"/>
              </w:rPr>
              <w:t xml:space="preserve"> Niagara Falls, O</w:t>
            </w:r>
            <w:r w:rsidR="008A23AF">
              <w:rPr>
                <w:rFonts w:ascii="Arial" w:hAnsi="Arial" w:cs="Arial"/>
              </w:rPr>
              <w:t>ntario</w:t>
            </w:r>
            <w:r>
              <w:rPr>
                <w:rFonts w:ascii="Arial" w:hAnsi="Arial" w:cs="Arial"/>
              </w:rPr>
              <w:t xml:space="preserve">, and May 14, 2019 </w:t>
            </w:r>
            <w:r w:rsidR="008A23AF">
              <w:rPr>
                <w:rFonts w:ascii="Arial" w:hAnsi="Arial" w:cs="Arial"/>
              </w:rPr>
              <w:t xml:space="preserve">by telephone conference call </w:t>
            </w:r>
          </w:p>
        </w:tc>
      </w:tr>
    </w:tbl>
    <w:p w:rsidR="00B268A7" w:rsidRPr="001E764F" w:rsidRDefault="00B268A7" w:rsidP="00270AAE">
      <w:pPr>
        <w:rPr>
          <w:rFonts w:ascii="Arial" w:hAnsi="Arial" w:cs="Arial"/>
        </w:rPr>
      </w:pPr>
    </w:p>
    <w:tbl>
      <w:tblPr>
        <w:tblW w:w="9606" w:type="dxa"/>
        <w:tblLook w:val="0000" w:firstRow="0" w:lastRow="0" w:firstColumn="0" w:lastColumn="0" w:noHBand="0" w:noVBand="0"/>
      </w:tblPr>
      <w:tblGrid>
        <w:gridCol w:w="4361"/>
        <w:gridCol w:w="5245"/>
      </w:tblGrid>
      <w:tr w:rsidR="0089782A" w:rsidRPr="001E764F" w:rsidTr="008A23AF">
        <w:tc>
          <w:tcPr>
            <w:tcW w:w="4361" w:type="dxa"/>
          </w:tcPr>
          <w:bookmarkEnd w:id="0"/>
          <w:p w:rsidR="0089782A" w:rsidRPr="00C940BC" w:rsidRDefault="0089782A" w:rsidP="00270AAE">
            <w:pPr>
              <w:rPr>
                <w:rFonts w:ascii="Arial" w:hAnsi="Arial" w:cs="Arial"/>
              </w:rPr>
            </w:pPr>
            <w:r w:rsidRPr="001E764F">
              <w:rPr>
                <w:rFonts w:ascii="Arial" w:hAnsi="Arial" w:cs="Arial"/>
                <w:b/>
              </w:rPr>
              <w:t>APPEARANCES:</w:t>
            </w:r>
          </w:p>
        </w:tc>
        <w:tc>
          <w:tcPr>
            <w:tcW w:w="5245" w:type="dxa"/>
          </w:tcPr>
          <w:p w:rsidR="0089782A" w:rsidRPr="001E764F" w:rsidRDefault="0089782A" w:rsidP="00270AAE">
            <w:pPr>
              <w:rPr>
                <w:rFonts w:ascii="Arial" w:hAnsi="Arial" w:cs="Arial"/>
              </w:rPr>
            </w:pPr>
          </w:p>
        </w:tc>
      </w:tr>
      <w:tr w:rsidR="0089782A" w:rsidRPr="001E764F" w:rsidTr="008A23AF">
        <w:tc>
          <w:tcPr>
            <w:tcW w:w="4361" w:type="dxa"/>
          </w:tcPr>
          <w:p w:rsidR="0089782A" w:rsidRPr="001E764F" w:rsidRDefault="0089782A" w:rsidP="00270AAE">
            <w:pPr>
              <w:rPr>
                <w:rFonts w:ascii="Arial" w:hAnsi="Arial" w:cs="Arial"/>
              </w:rPr>
            </w:pPr>
          </w:p>
        </w:tc>
        <w:tc>
          <w:tcPr>
            <w:tcW w:w="5245" w:type="dxa"/>
          </w:tcPr>
          <w:p w:rsidR="0089782A" w:rsidRPr="001E764F" w:rsidRDefault="0089782A" w:rsidP="00270AAE">
            <w:pPr>
              <w:rPr>
                <w:rFonts w:ascii="Arial" w:hAnsi="Arial" w:cs="Arial"/>
              </w:rPr>
            </w:pPr>
          </w:p>
        </w:tc>
      </w:tr>
      <w:tr w:rsidR="008046EB" w:rsidRPr="001E764F" w:rsidTr="008A23AF">
        <w:tc>
          <w:tcPr>
            <w:tcW w:w="4361" w:type="dxa"/>
          </w:tcPr>
          <w:p w:rsidR="008046EB" w:rsidRPr="00C940BC" w:rsidRDefault="008046EB" w:rsidP="00270AAE">
            <w:pPr>
              <w:rPr>
                <w:rFonts w:ascii="Arial" w:hAnsi="Arial" w:cs="Arial"/>
              </w:rPr>
            </w:pPr>
            <w:bookmarkStart w:id="2" w:name="Parties"/>
            <w:r w:rsidRPr="00C300F2">
              <w:rPr>
                <w:rFonts w:ascii="Arial" w:hAnsi="Arial" w:cs="Arial"/>
                <w:b/>
                <w:u w:val="single"/>
              </w:rPr>
              <w:t>Parties</w:t>
            </w:r>
            <w:bookmarkEnd w:id="2"/>
          </w:p>
        </w:tc>
        <w:tc>
          <w:tcPr>
            <w:tcW w:w="5245" w:type="dxa"/>
          </w:tcPr>
          <w:p w:rsidR="008046EB" w:rsidRPr="00C940BC" w:rsidRDefault="008046EB" w:rsidP="00270AAE">
            <w:pPr>
              <w:rPr>
                <w:rFonts w:ascii="Arial" w:hAnsi="Arial" w:cs="Arial"/>
              </w:rPr>
            </w:pPr>
            <w:bookmarkStart w:id="3" w:name="CounselAgent"/>
            <w:r w:rsidRPr="00C300F2">
              <w:rPr>
                <w:rFonts w:ascii="Arial" w:hAnsi="Arial" w:cs="Arial"/>
                <w:b/>
                <w:u w:val="single"/>
              </w:rPr>
              <w:t>Counse</w:t>
            </w:r>
            <w:r w:rsidR="009333AA" w:rsidRPr="00C300F2">
              <w:rPr>
                <w:rFonts w:ascii="Arial" w:hAnsi="Arial" w:cs="Arial"/>
                <w:b/>
                <w:u w:val="single"/>
              </w:rPr>
              <w:t>l</w:t>
            </w:r>
            <w:r w:rsidR="003D1234" w:rsidRPr="00C300F2">
              <w:rPr>
                <w:rFonts w:ascii="Arial" w:hAnsi="Arial" w:cs="Arial"/>
                <w:b/>
                <w:u w:val="single"/>
              </w:rPr>
              <w:t>*</w:t>
            </w:r>
            <w:r w:rsidRPr="00C300F2">
              <w:rPr>
                <w:rFonts w:ascii="Arial" w:hAnsi="Arial" w:cs="Arial"/>
                <w:b/>
                <w:u w:val="single"/>
              </w:rPr>
              <w:t>/</w:t>
            </w:r>
            <w:bookmarkEnd w:id="3"/>
            <w:r w:rsidR="009333AA" w:rsidRPr="00C300F2">
              <w:rPr>
                <w:rFonts w:ascii="Arial" w:hAnsi="Arial" w:cs="Arial"/>
                <w:b/>
                <w:u w:val="single"/>
              </w:rPr>
              <w:t>Representative</w:t>
            </w:r>
          </w:p>
        </w:tc>
      </w:tr>
      <w:tr w:rsidR="008A23AF" w:rsidRPr="001E764F" w:rsidTr="008A23AF">
        <w:tc>
          <w:tcPr>
            <w:tcW w:w="4361" w:type="dxa"/>
          </w:tcPr>
          <w:p w:rsidR="008A23AF" w:rsidRPr="00C300F2" w:rsidRDefault="008A23AF" w:rsidP="00270AAE">
            <w:pPr>
              <w:rPr>
                <w:rFonts w:ascii="Arial" w:hAnsi="Arial" w:cs="Arial"/>
                <w:b/>
                <w:u w:val="single"/>
              </w:rPr>
            </w:pPr>
          </w:p>
        </w:tc>
        <w:tc>
          <w:tcPr>
            <w:tcW w:w="5245" w:type="dxa"/>
          </w:tcPr>
          <w:p w:rsidR="008A23AF" w:rsidRPr="00C300F2" w:rsidRDefault="008A23AF" w:rsidP="00270AAE">
            <w:pPr>
              <w:rPr>
                <w:rFonts w:ascii="Arial" w:hAnsi="Arial" w:cs="Arial"/>
                <w:b/>
                <w:u w:val="single"/>
              </w:rPr>
            </w:pPr>
          </w:p>
        </w:tc>
      </w:tr>
      <w:tr w:rsidR="00CF3F96" w:rsidRPr="001E764F" w:rsidTr="008A23AF">
        <w:tc>
          <w:tcPr>
            <w:tcW w:w="4361" w:type="dxa"/>
          </w:tcPr>
          <w:p w:rsidR="00CF3F96" w:rsidRPr="001E764F" w:rsidRDefault="006A5204" w:rsidP="00270AAE">
            <w:pPr>
              <w:rPr>
                <w:rFonts w:ascii="Arial" w:hAnsi="Arial" w:cs="Arial"/>
              </w:rPr>
            </w:pPr>
            <w:r>
              <w:rPr>
                <w:rFonts w:ascii="Arial" w:hAnsi="Arial" w:cs="Arial"/>
              </w:rPr>
              <w:t xml:space="preserve">John </w:t>
            </w:r>
            <w:proofErr w:type="spellStart"/>
            <w:r>
              <w:rPr>
                <w:rFonts w:ascii="Arial" w:hAnsi="Arial" w:cs="Arial"/>
              </w:rPr>
              <w:t>Bacher</w:t>
            </w:r>
            <w:proofErr w:type="spellEnd"/>
          </w:p>
        </w:tc>
        <w:tc>
          <w:tcPr>
            <w:tcW w:w="5245" w:type="dxa"/>
          </w:tcPr>
          <w:p w:rsidR="00CF3F96" w:rsidRPr="001D67CE" w:rsidRDefault="006A5204" w:rsidP="00270AAE">
            <w:pPr>
              <w:rPr>
                <w:rFonts w:ascii="Arial" w:hAnsi="Arial" w:cs="Arial"/>
              </w:rPr>
            </w:pPr>
            <w:r>
              <w:rPr>
                <w:rFonts w:ascii="Arial" w:hAnsi="Arial" w:cs="Arial"/>
              </w:rPr>
              <w:t>Self-represented</w:t>
            </w:r>
          </w:p>
        </w:tc>
      </w:tr>
      <w:tr w:rsidR="008A23AF" w:rsidRPr="001E764F" w:rsidTr="008A23AF">
        <w:tc>
          <w:tcPr>
            <w:tcW w:w="4361" w:type="dxa"/>
          </w:tcPr>
          <w:p w:rsidR="008A23AF" w:rsidRDefault="008A23AF" w:rsidP="00270AAE">
            <w:pPr>
              <w:rPr>
                <w:rFonts w:ascii="Arial" w:hAnsi="Arial" w:cs="Arial"/>
              </w:rPr>
            </w:pPr>
          </w:p>
        </w:tc>
        <w:tc>
          <w:tcPr>
            <w:tcW w:w="5245" w:type="dxa"/>
          </w:tcPr>
          <w:p w:rsidR="008A23AF" w:rsidRDefault="008A23AF" w:rsidP="00270AAE">
            <w:pPr>
              <w:rPr>
                <w:rFonts w:ascii="Arial" w:hAnsi="Arial" w:cs="Arial"/>
              </w:rPr>
            </w:pPr>
          </w:p>
        </w:tc>
      </w:tr>
      <w:tr w:rsidR="001D67CE" w:rsidRPr="001E764F" w:rsidTr="008A23AF">
        <w:tc>
          <w:tcPr>
            <w:tcW w:w="4361" w:type="dxa"/>
          </w:tcPr>
          <w:p w:rsidR="001D67CE" w:rsidRPr="001E764F" w:rsidRDefault="006A5204" w:rsidP="00270AAE">
            <w:pPr>
              <w:rPr>
                <w:rFonts w:ascii="Arial" w:hAnsi="Arial" w:cs="Arial"/>
              </w:rPr>
            </w:pPr>
            <w:r>
              <w:rPr>
                <w:rFonts w:ascii="Arial" w:hAnsi="Arial" w:cs="Arial"/>
              </w:rPr>
              <w:t>City of Niagara Falls</w:t>
            </w:r>
          </w:p>
        </w:tc>
        <w:tc>
          <w:tcPr>
            <w:tcW w:w="5245" w:type="dxa"/>
          </w:tcPr>
          <w:p w:rsidR="001D67CE" w:rsidRPr="001D67CE" w:rsidRDefault="006A5204" w:rsidP="00270AAE">
            <w:pPr>
              <w:rPr>
                <w:rFonts w:ascii="Arial" w:hAnsi="Arial" w:cs="Arial"/>
              </w:rPr>
            </w:pPr>
            <w:r>
              <w:rPr>
                <w:rFonts w:ascii="Arial" w:hAnsi="Arial" w:cs="Arial"/>
              </w:rPr>
              <w:t>Chris Barnett</w:t>
            </w:r>
            <w:r w:rsidR="008A23AF">
              <w:rPr>
                <w:rFonts w:ascii="Arial" w:hAnsi="Arial" w:cs="Arial"/>
              </w:rPr>
              <w:t>*</w:t>
            </w:r>
          </w:p>
        </w:tc>
      </w:tr>
      <w:tr w:rsidR="008A23AF" w:rsidRPr="001E764F" w:rsidTr="008A23AF">
        <w:tc>
          <w:tcPr>
            <w:tcW w:w="4361" w:type="dxa"/>
          </w:tcPr>
          <w:p w:rsidR="008A23AF" w:rsidRDefault="008A23AF" w:rsidP="00270AAE">
            <w:pPr>
              <w:rPr>
                <w:rFonts w:ascii="Arial" w:hAnsi="Arial" w:cs="Arial"/>
              </w:rPr>
            </w:pPr>
          </w:p>
        </w:tc>
        <w:tc>
          <w:tcPr>
            <w:tcW w:w="5245" w:type="dxa"/>
          </w:tcPr>
          <w:p w:rsidR="008A23AF" w:rsidRDefault="008A23AF" w:rsidP="00270AAE">
            <w:pPr>
              <w:rPr>
                <w:rFonts w:ascii="Arial" w:hAnsi="Arial" w:cs="Arial"/>
              </w:rPr>
            </w:pPr>
          </w:p>
        </w:tc>
      </w:tr>
      <w:tr w:rsidR="001D67CE" w:rsidRPr="008A23AF" w:rsidTr="008A23AF">
        <w:tc>
          <w:tcPr>
            <w:tcW w:w="4361" w:type="dxa"/>
          </w:tcPr>
          <w:p w:rsidR="001D67CE" w:rsidRPr="001E764F" w:rsidRDefault="006A5204" w:rsidP="008A23AF">
            <w:pPr>
              <w:rPr>
                <w:rFonts w:ascii="Arial" w:hAnsi="Arial" w:cs="Arial"/>
              </w:rPr>
            </w:pPr>
            <w:r>
              <w:rPr>
                <w:rFonts w:ascii="Arial" w:hAnsi="Arial" w:cs="Arial"/>
              </w:rPr>
              <w:t>GR (Can) Investment</w:t>
            </w:r>
            <w:r w:rsidR="008A23AF">
              <w:rPr>
                <w:rFonts w:ascii="Arial" w:hAnsi="Arial" w:cs="Arial"/>
              </w:rPr>
              <w:t xml:space="preserve"> Co.</w:t>
            </w:r>
            <w:r>
              <w:rPr>
                <w:rFonts w:ascii="Arial" w:hAnsi="Arial" w:cs="Arial"/>
              </w:rPr>
              <w:t xml:space="preserve"> Ltd</w:t>
            </w:r>
            <w:r w:rsidR="008A23AF">
              <w:rPr>
                <w:rFonts w:ascii="Arial" w:hAnsi="Arial" w:cs="Arial"/>
              </w:rPr>
              <w:t>.</w:t>
            </w:r>
          </w:p>
        </w:tc>
        <w:tc>
          <w:tcPr>
            <w:tcW w:w="5245" w:type="dxa"/>
          </w:tcPr>
          <w:p w:rsidR="001D67CE" w:rsidRPr="00246A9A" w:rsidRDefault="006A5204" w:rsidP="00C33FA2">
            <w:pPr>
              <w:rPr>
                <w:rFonts w:ascii="Arial" w:hAnsi="Arial" w:cs="Arial"/>
                <w:lang w:val="en-CA"/>
              </w:rPr>
            </w:pPr>
            <w:r w:rsidRPr="00246A9A">
              <w:rPr>
                <w:rFonts w:ascii="Arial" w:hAnsi="Arial" w:cs="Arial"/>
                <w:lang w:val="en-CA"/>
              </w:rPr>
              <w:t xml:space="preserve">N. Jane </w:t>
            </w:r>
            <w:proofErr w:type="spellStart"/>
            <w:r w:rsidRPr="00246A9A">
              <w:rPr>
                <w:rFonts w:ascii="Arial" w:hAnsi="Arial" w:cs="Arial"/>
                <w:lang w:val="en-CA"/>
              </w:rPr>
              <w:t>Pepino</w:t>
            </w:r>
            <w:proofErr w:type="spellEnd"/>
            <w:r w:rsidR="008A23AF" w:rsidRPr="00246A9A">
              <w:rPr>
                <w:rFonts w:ascii="Arial" w:hAnsi="Arial" w:cs="Arial"/>
                <w:lang w:val="en-CA"/>
              </w:rPr>
              <w:t>*and</w:t>
            </w:r>
            <w:r w:rsidRPr="00246A9A">
              <w:rPr>
                <w:rFonts w:ascii="Arial" w:hAnsi="Arial" w:cs="Arial"/>
                <w:lang w:val="en-CA"/>
              </w:rPr>
              <w:t xml:space="preserve"> </w:t>
            </w:r>
            <w:r w:rsidR="004207C6" w:rsidRPr="00246A9A">
              <w:rPr>
                <w:rFonts w:ascii="Arial" w:hAnsi="Arial" w:cs="Arial"/>
                <w:lang w:val="en-CA"/>
              </w:rPr>
              <w:t xml:space="preserve">Maggie </w:t>
            </w:r>
            <w:proofErr w:type="spellStart"/>
            <w:r w:rsidRPr="00246A9A">
              <w:rPr>
                <w:rFonts w:ascii="Arial" w:hAnsi="Arial" w:cs="Arial"/>
                <w:lang w:val="en-CA"/>
              </w:rPr>
              <w:t>Bassani</w:t>
            </w:r>
            <w:proofErr w:type="spellEnd"/>
            <w:r w:rsidR="008A23AF" w:rsidRPr="00246A9A">
              <w:rPr>
                <w:rFonts w:ascii="Arial" w:hAnsi="Arial" w:cs="Arial"/>
                <w:lang w:val="en-CA"/>
              </w:rPr>
              <w:t>*</w:t>
            </w:r>
          </w:p>
        </w:tc>
      </w:tr>
    </w:tbl>
    <w:p w:rsidR="0026320F" w:rsidRPr="00246A9A" w:rsidRDefault="0026320F" w:rsidP="00270AAE">
      <w:pPr>
        <w:rPr>
          <w:rFonts w:ascii="Arial" w:hAnsi="Arial" w:cs="Arial"/>
          <w:lang w:val="en-CA"/>
        </w:rPr>
      </w:pPr>
    </w:p>
    <w:p w:rsidR="00935095" w:rsidRPr="00246A9A" w:rsidRDefault="00935095" w:rsidP="00270AAE">
      <w:pPr>
        <w:rPr>
          <w:rFonts w:ascii="Arial" w:hAnsi="Arial" w:cs="Arial"/>
          <w:lang w:val="en-CA"/>
        </w:rPr>
      </w:pPr>
    </w:p>
    <w:p w:rsidR="00935095" w:rsidRPr="00C940BC" w:rsidRDefault="00A63ACD" w:rsidP="00935095">
      <w:pPr>
        <w:pStyle w:val="DecisionDeliveredby"/>
        <w:pBdr>
          <w:bottom w:val="single" w:sz="4" w:space="1" w:color="auto"/>
        </w:pBdr>
        <w:rPr>
          <w:rFonts w:cs="Arial"/>
          <w:b w:val="0"/>
        </w:rPr>
      </w:pPr>
      <w:r>
        <w:rPr>
          <w:rFonts w:cs="Arial"/>
        </w:rPr>
        <w:t>MEMORANDUM OF ORAL DECISION</w:t>
      </w:r>
      <w:r w:rsidR="00935095" w:rsidRPr="005A767F">
        <w:rPr>
          <w:rFonts w:cs="Arial"/>
        </w:rPr>
        <w:t xml:space="preserve"> DELIVERED BY </w:t>
      </w:r>
      <w:r>
        <w:rPr>
          <w:rFonts w:cs="Arial"/>
        </w:rPr>
        <w:t xml:space="preserve">SHARYN VINCENT </w:t>
      </w:r>
      <w:r w:rsidR="008A23AF">
        <w:rPr>
          <w:rFonts w:cs="Arial"/>
        </w:rPr>
        <w:t xml:space="preserve">ON MARCH 6 AND MAY 14, 2019 </w:t>
      </w:r>
      <w:r>
        <w:rPr>
          <w:rFonts w:cs="Arial"/>
        </w:rPr>
        <w:t>AND ORDER OF THE TRIBUNAL</w:t>
      </w:r>
    </w:p>
    <w:p w:rsidR="00935095" w:rsidRPr="00B50AF6" w:rsidRDefault="00935095" w:rsidP="00B50AF6">
      <w:pPr>
        <w:pStyle w:val="Heading1"/>
        <w:spacing w:beforeLines="150" w:before="360" w:afterLines="150" w:after="360"/>
      </w:pPr>
      <w:r w:rsidRPr="00AC548D">
        <w:lastRenderedPageBreak/>
        <w:t>INTRODUCTION</w:t>
      </w:r>
    </w:p>
    <w:p w:rsidR="00935095" w:rsidRDefault="001021CB" w:rsidP="00B50AF6">
      <w:pPr>
        <w:pStyle w:val="DecisionBody"/>
        <w:spacing w:beforeLines="150" w:before="360" w:afterLines="150" w:after="360"/>
      </w:pPr>
      <w:r>
        <w:t xml:space="preserve">John </w:t>
      </w:r>
      <w:proofErr w:type="spellStart"/>
      <w:r>
        <w:t>Bacher</w:t>
      </w:r>
      <w:proofErr w:type="spellEnd"/>
      <w:r>
        <w:t xml:space="preserve"> has appealed the adoption of Official Plan Amendment 128 </w:t>
      </w:r>
      <w:r w:rsidR="008A23AF">
        <w:t xml:space="preserve">(“OPA 128”) </w:t>
      </w:r>
      <w:r>
        <w:t xml:space="preserve">which amends existing Special Policy Area 56 provisions by adding new community plan policies to provide a comprehensive framework to guide the future </w:t>
      </w:r>
      <w:r w:rsidRPr="001021CB">
        <w:rPr>
          <w:i/>
        </w:rPr>
        <w:t>Planning Act</w:t>
      </w:r>
      <w:r>
        <w:t xml:space="preserve"> applications necessary to permit the development 48.8 hectares of a total holding of 195 hectares adjacent to Dorchester Road and </w:t>
      </w:r>
      <w:proofErr w:type="spellStart"/>
      <w:r>
        <w:t>Chippawa</w:t>
      </w:r>
      <w:proofErr w:type="spellEnd"/>
      <w:r>
        <w:t xml:space="preserve"> Parkway in the City of Niagara Falls</w:t>
      </w:r>
      <w:r w:rsidR="008A23AF">
        <w:t xml:space="preserve"> (“City”)</w:t>
      </w:r>
      <w:r>
        <w:t>.</w:t>
      </w:r>
    </w:p>
    <w:p w:rsidR="001021CB" w:rsidRPr="00AC548D" w:rsidRDefault="001021CB" w:rsidP="00B50AF6">
      <w:pPr>
        <w:pStyle w:val="DecisionBody"/>
        <w:spacing w:beforeLines="150" w:before="360" w:afterLines="150" w:after="360"/>
      </w:pPr>
      <w:r>
        <w:t xml:space="preserve">The Appellant, Mr.  </w:t>
      </w:r>
      <w:proofErr w:type="spellStart"/>
      <w:r>
        <w:t>Bacher</w:t>
      </w:r>
      <w:proofErr w:type="spellEnd"/>
      <w:r>
        <w:t xml:space="preserve">, challenges </w:t>
      </w:r>
      <w:r w:rsidR="007B26F8">
        <w:t xml:space="preserve">the decision of Council </w:t>
      </w:r>
      <w:r>
        <w:t xml:space="preserve">and asserts that the policies of OPA </w:t>
      </w:r>
      <w:r w:rsidR="007B26F8">
        <w:t>1</w:t>
      </w:r>
      <w:r>
        <w:t>28 as adopted are not consistent with Policies 2.1.4(a), 2.1.5(b), 2.1.5(d) and 2.1.7 of the Provincial Policy Statement</w:t>
      </w:r>
      <w:r w:rsidR="009D0F2B">
        <w:t>, 2014.</w:t>
      </w:r>
    </w:p>
    <w:p w:rsidR="00935095" w:rsidRPr="00AC548D" w:rsidRDefault="008A501F" w:rsidP="00B50AF6">
      <w:pPr>
        <w:pStyle w:val="DecisionBody"/>
        <w:spacing w:beforeLines="150" w:before="360" w:afterLines="150" w:after="360"/>
      </w:pPr>
      <w:r>
        <w:t>The request for party status by the Applicant, G</w:t>
      </w:r>
      <w:r w:rsidR="009D0F2B">
        <w:t xml:space="preserve">R (CAN) Investment Co. Ltd. </w:t>
      </w:r>
      <w:r>
        <w:t>was granted on consent.</w:t>
      </w:r>
    </w:p>
    <w:p w:rsidR="0069677C" w:rsidRDefault="008A501F" w:rsidP="00B50AF6">
      <w:pPr>
        <w:pStyle w:val="DecisionBody"/>
        <w:spacing w:beforeLines="150" w:before="360" w:afterLines="150" w:after="360"/>
      </w:pPr>
      <w:r>
        <w:t xml:space="preserve">Counsel for the City had provided </w:t>
      </w:r>
      <w:r w:rsidR="00E10F67">
        <w:t xml:space="preserve">and circulated </w:t>
      </w:r>
      <w:r>
        <w:t>a working agenda for the C</w:t>
      </w:r>
      <w:r w:rsidR="00B50AF6">
        <w:t xml:space="preserve">ase </w:t>
      </w:r>
      <w:r>
        <w:t>M</w:t>
      </w:r>
      <w:r w:rsidR="00B50AF6">
        <w:t xml:space="preserve">anagement </w:t>
      </w:r>
      <w:r>
        <w:t>C</w:t>
      </w:r>
      <w:r w:rsidR="00B50AF6">
        <w:t>onference (“CMC”)</w:t>
      </w:r>
      <w:r>
        <w:t xml:space="preserve"> mirroring the requirements of the Tribunal’s </w:t>
      </w:r>
      <w:r w:rsidR="008A23AF" w:rsidRPr="00675D5C">
        <w:rPr>
          <w:i/>
        </w:rPr>
        <w:t>R</w:t>
      </w:r>
      <w:r w:rsidRPr="00675D5C">
        <w:rPr>
          <w:i/>
        </w:rPr>
        <w:t>ules</w:t>
      </w:r>
      <w:r w:rsidR="008A23AF" w:rsidRPr="00675D5C">
        <w:rPr>
          <w:i/>
        </w:rPr>
        <w:t xml:space="preserve"> of Practice and Procedure</w:t>
      </w:r>
      <w:r w:rsidR="008A23AF">
        <w:t xml:space="preserve"> (“</w:t>
      </w:r>
      <w:r w:rsidR="00B50AF6">
        <w:t xml:space="preserve">Tribunal </w:t>
      </w:r>
      <w:r w:rsidR="008A23AF">
        <w:t>Rules”)</w:t>
      </w:r>
      <w:r w:rsidR="00E10F67">
        <w:t>.</w:t>
      </w:r>
      <w:r>
        <w:t xml:space="preserve">   Mr</w:t>
      </w:r>
      <w:r w:rsidR="00B50AF6">
        <w:t>.</w:t>
      </w:r>
      <w:r>
        <w:t xml:space="preserve"> </w:t>
      </w:r>
      <w:proofErr w:type="spellStart"/>
      <w:r>
        <w:t>Bacher</w:t>
      </w:r>
      <w:proofErr w:type="spellEnd"/>
      <w:r>
        <w:t xml:space="preserve"> had requested an adjournment for 30 days</w:t>
      </w:r>
      <w:r w:rsidR="005108D7">
        <w:t xml:space="preserve"> </w:t>
      </w:r>
      <w:r>
        <w:t>to seek the advice of Counsel on th</w:t>
      </w:r>
      <w:r w:rsidR="005108D7">
        <w:t>e</w:t>
      </w:r>
      <w:r>
        <w:t xml:space="preserve"> list of potential areas of agreement drafted pursuant to the Tribunal’s Rule 26.20(c).   In</w:t>
      </w:r>
      <w:r w:rsidR="003A54E5">
        <w:t xml:space="preserve"> lieu of an adjournment, M</w:t>
      </w:r>
      <w:r w:rsidR="005108D7">
        <w:t>r</w:t>
      </w:r>
      <w:r w:rsidR="00B50AF6">
        <w:t>.</w:t>
      </w:r>
      <w:r w:rsidR="005108D7">
        <w:t xml:space="preserve"> </w:t>
      </w:r>
      <w:proofErr w:type="spellStart"/>
      <w:r w:rsidR="005108D7">
        <w:t>Bacher</w:t>
      </w:r>
      <w:proofErr w:type="spellEnd"/>
      <w:r w:rsidR="005108D7">
        <w:t xml:space="preserve"> </w:t>
      </w:r>
      <w:r>
        <w:t xml:space="preserve">was </w:t>
      </w:r>
      <w:r w:rsidR="003A54E5">
        <w:t>given 30 days to consider and respond to the Tribunal.</w:t>
      </w:r>
      <w:r w:rsidR="005108D7">
        <w:t xml:space="preserve">  Despite having been granted the time to reconcile an understanding of the statements (a) through (i) as drafted by the City, </w:t>
      </w:r>
      <w:r w:rsidR="0069677C">
        <w:t xml:space="preserve">the Appellant responded by </w:t>
      </w:r>
      <w:r w:rsidR="00675D5C">
        <w:t xml:space="preserve">submitting his intent to </w:t>
      </w:r>
      <w:r w:rsidR="0069677C">
        <w:t>rebut</w:t>
      </w:r>
      <w:r w:rsidR="00675D5C">
        <w:t xml:space="preserve"> all but statement (a</w:t>
      </w:r>
      <w:proofErr w:type="gramStart"/>
      <w:r w:rsidR="00675D5C">
        <w:t xml:space="preserve">) </w:t>
      </w:r>
      <w:r w:rsidR="0069677C">
        <w:t xml:space="preserve"> </w:t>
      </w:r>
      <w:r w:rsidR="00675D5C">
        <w:t>of</w:t>
      </w:r>
      <w:proofErr w:type="gramEnd"/>
      <w:r w:rsidR="00675D5C">
        <w:t xml:space="preserve"> the proposed </w:t>
      </w:r>
      <w:r w:rsidR="0069677C">
        <w:t xml:space="preserve"> statements of fact, the elaboration of which being the Appellant</w:t>
      </w:r>
      <w:r w:rsidR="00B50AF6">
        <w:t>’</w:t>
      </w:r>
      <w:r w:rsidR="0069677C">
        <w:t xml:space="preserve">s argument, to be received in the written hearing directed by the Tribunal as set out in paragraphs </w:t>
      </w:r>
      <w:r w:rsidR="00B50AF6">
        <w:t>[</w:t>
      </w:r>
      <w:r w:rsidR="0069677C">
        <w:t>6</w:t>
      </w:r>
      <w:r w:rsidR="00B50AF6">
        <w:t>]</w:t>
      </w:r>
      <w:r w:rsidR="0069677C">
        <w:t xml:space="preserve"> and </w:t>
      </w:r>
      <w:r w:rsidR="00B50AF6">
        <w:t>[</w:t>
      </w:r>
      <w:r w:rsidR="0069677C">
        <w:t>7</w:t>
      </w:r>
      <w:r w:rsidR="00B50AF6">
        <w:t>]</w:t>
      </w:r>
      <w:r w:rsidR="0069677C">
        <w:t xml:space="preserve"> below.  </w:t>
      </w:r>
    </w:p>
    <w:p w:rsidR="00935095" w:rsidRDefault="0069677C" w:rsidP="00B50AF6">
      <w:pPr>
        <w:pStyle w:val="DecisionBody"/>
        <w:spacing w:beforeLines="150" w:before="360" w:afterLines="150" w:after="360"/>
      </w:pPr>
      <w:r>
        <w:t>Mr</w:t>
      </w:r>
      <w:r w:rsidR="00B50AF6">
        <w:t>.</w:t>
      </w:r>
      <w:r>
        <w:t xml:space="preserve"> </w:t>
      </w:r>
      <w:proofErr w:type="spellStart"/>
      <w:r>
        <w:t>Bacher</w:t>
      </w:r>
      <w:proofErr w:type="spellEnd"/>
      <w:r>
        <w:t xml:space="preserve"> has confirmed to the Trib</w:t>
      </w:r>
      <w:r w:rsidR="009D0F2B">
        <w:t>unal that he elects to continue</w:t>
      </w:r>
      <w:r>
        <w:t xml:space="preserve"> as a self-represented Appellant.</w:t>
      </w:r>
    </w:p>
    <w:p w:rsidR="003A54E5" w:rsidRDefault="003A54E5" w:rsidP="00B50AF6">
      <w:pPr>
        <w:pStyle w:val="DecisionBody"/>
        <w:spacing w:beforeLines="150" w:before="360" w:afterLines="150" w:after="360"/>
      </w:pPr>
      <w:r>
        <w:t xml:space="preserve">There was no issue as between the Parties with respect to the </w:t>
      </w:r>
      <w:r w:rsidR="00B50AF6">
        <w:t>four</w:t>
      </w:r>
      <w:r>
        <w:t xml:space="preserve"> issues to be </w:t>
      </w:r>
      <w:r>
        <w:lastRenderedPageBreak/>
        <w:t>determined, as set out in Attachment 1.</w:t>
      </w:r>
    </w:p>
    <w:p w:rsidR="003A54E5" w:rsidRPr="00AC548D" w:rsidRDefault="003A54E5" w:rsidP="00B50AF6">
      <w:pPr>
        <w:pStyle w:val="DecisionBody"/>
        <w:spacing w:beforeLines="150" w:before="360" w:afterLines="150" w:after="360"/>
      </w:pPr>
      <w:r>
        <w:t xml:space="preserve">It was also further </w:t>
      </w:r>
      <w:r w:rsidR="0069677C">
        <w:t xml:space="preserve">agreed and </w:t>
      </w:r>
      <w:r>
        <w:t xml:space="preserve">determined that </w:t>
      </w:r>
      <w:r w:rsidR="00B50AF6">
        <w:t xml:space="preserve">the </w:t>
      </w:r>
      <w:r>
        <w:t>hearing would be in writing.</w:t>
      </w:r>
    </w:p>
    <w:p w:rsidR="00935095" w:rsidRPr="00AC548D" w:rsidRDefault="003A54E5" w:rsidP="00B50AF6">
      <w:pPr>
        <w:pStyle w:val="DecisionBody"/>
        <w:spacing w:beforeLines="150" w:before="360" w:afterLines="150" w:after="360"/>
      </w:pPr>
      <w:r>
        <w:t xml:space="preserve">The Tribunal directed at the </w:t>
      </w:r>
      <w:r w:rsidR="00B50AF6">
        <w:t xml:space="preserve">telephone conference </w:t>
      </w:r>
      <w:proofErr w:type="gramStart"/>
      <w:r w:rsidR="00B50AF6">
        <w:t xml:space="preserve">call </w:t>
      </w:r>
      <w:r>
        <w:t xml:space="preserve"> conducted</w:t>
      </w:r>
      <w:proofErr w:type="gramEnd"/>
      <w:r>
        <w:t xml:space="preserve"> May 14</w:t>
      </w:r>
      <w:r w:rsidR="00B50AF6">
        <w:t>, 2019</w:t>
      </w:r>
      <w:r>
        <w:t xml:space="preserve">, that written argument was to be filed by the Appellant no later than </w:t>
      </w:r>
      <w:r w:rsidRPr="00675D5C">
        <w:rPr>
          <w:b/>
        </w:rPr>
        <w:t>Monday</w:t>
      </w:r>
      <w:r w:rsidR="00B50AF6" w:rsidRPr="00675D5C">
        <w:rPr>
          <w:b/>
        </w:rPr>
        <w:t>,</w:t>
      </w:r>
      <w:r w:rsidRPr="00675D5C">
        <w:rPr>
          <w:b/>
        </w:rPr>
        <w:t xml:space="preserve"> July 15,</w:t>
      </w:r>
      <w:r w:rsidR="00B50AF6" w:rsidRPr="00675D5C">
        <w:rPr>
          <w:b/>
        </w:rPr>
        <w:t xml:space="preserve"> 2019.</w:t>
      </w:r>
      <w:r>
        <w:t xml:space="preserve"> Responding material</w:t>
      </w:r>
      <w:r w:rsidR="00B50AF6">
        <w:t xml:space="preserve"> to be filed</w:t>
      </w:r>
      <w:r>
        <w:t xml:space="preserve"> no later than </w:t>
      </w:r>
      <w:r w:rsidR="00B50AF6" w:rsidRPr="00675D5C">
        <w:rPr>
          <w:b/>
        </w:rPr>
        <w:t xml:space="preserve">Monday, </w:t>
      </w:r>
      <w:r w:rsidRPr="00675D5C">
        <w:rPr>
          <w:b/>
        </w:rPr>
        <w:t xml:space="preserve">July 22, </w:t>
      </w:r>
      <w:r w:rsidR="00B50AF6" w:rsidRPr="00675D5C">
        <w:rPr>
          <w:b/>
        </w:rPr>
        <w:t>2019</w:t>
      </w:r>
      <w:r w:rsidR="00B50AF6">
        <w:t xml:space="preserve"> </w:t>
      </w:r>
      <w:r>
        <w:t xml:space="preserve">and final Reply if any, no later than </w:t>
      </w:r>
      <w:r w:rsidR="00B50AF6" w:rsidRPr="00675D5C">
        <w:rPr>
          <w:b/>
        </w:rPr>
        <w:t xml:space="preserve">Monday, </w:t>
      </w:r>
      <w:r w:rsidRPr="00675D5C">
        <w:rPr>
          <w:b/>
        </w:rPr>
        <w:t>July 29</w:t>
      </w:r>
      <w:r w:rsidR="00B50AF6" w:rsidRPr="00675D5C">
        <w:rPr>
          <w:b/>
        </w:rPr>
        <w:t>, 2019</w:t>
      </w:r>
      <w:r w:rsidR="00B50AF6">
        <w:rPr>
          <w:b/>
        </w:rPr>
        <w:t>.</w:t>
      </w:r>
      <w:r>
        <w:t xml:space="preserve">    The submissions are not to exceed 25 pages double spaced in accordance with the Tribunal’s Rules, and are to be exchanged with the Parties and filed with the Tribunal on or before the dates stipulated.</w:t>
      </w:r>
    </w:p>
    <w:p w:rsidR="00935095" w:rsidRPr="00AC548D" w:rsidRDefault="003A54E5" w:rsidP="00B50AF6">
      <w:pPr>
        <w:pStyle w:val="DecisionBody"/>
        <w:spacing w:beforeLines="150" w:before="360" w:afterLines="150" w:after="360"/>
      </w:pPr>
      <w:r>
        <w:t>The Tribunal reit</w:t>
      </w:r>
      <w:r w:rsidR="008934BC">
        <w:t>erates as it did at the CMC in M</w:t>
      </w:r>
      <w:r>
        <w:t xml:space="preserve">arch, that all submissions are to be based on the documents forming the formal </w:t>
      </w:r>
      <w:r w:rsidR="008934BC">
        <w:t>record on the appeal.  I</w:t>
      </w:r>
      <w:r>
        <w:t xml:space="preserve">n accordance with </w:t>
      </w:r>
      <w:r w:rsidRPr="00675D5C">
        <w:t>the</w:t>
      </w:r>
      <w:r w:rsidRPr="008934BC">
        <w:rPr>
          <w:i/>
        </w:rPr>
        <w:t xml:space="preserve"> </w:t>
      </w:r>
      <w:r w:rsidR="008934BC" w:rsidRPr="008934BC">
        <w:rPr>
          <w:i/>
        </w:rPr>
        <w:t>L</w:t>
      </w:r>
      <w:r w:rsidR="00566F89">
        <w:rPr>
          <w:i/>
        </w:rPr>
        <w:t xml:space="preserve">ocal </w:t>
      </w:r>
      <w:r w:rsidR="008934BC" w:rsidRPr="008934BC">
        <w:rPr>
          <w:i/>
        </w:rPr>
        <w:t>P</w:t>
      </w:r>
      <w:r w:rsidR="00566F89">
        <w:rPr>
          <w:i/>
        </w:rPr>
        <w:t xml:space="preserve">lanning </w:t>
      </w:r>
      <w:r w:rsidR="008934BC" w:rsidRPr="008934BC">
        <w:rPr>
          <w:i/>
        </w:rPr>
        <w:t>A</w:t>
      </w:r>
      <w:r w:rsidR="00566F89">
        <w:rPr>
          <w:i/>
        </w:rPr>
        <w:t xml:space="preserve">ppeal </w:t>
      </w:r>
      <w:r w:rsidR="008934BC" w:rsidRPr="008934BC">
        <w:rPr>
          <w:i/>
        </w:rPr>
        <w:t>T</w:t>
      </w:r>
      <w:r w:rsidR="00566F89">
        <w:rPr>
          <w:i/>
        </w:rPr>
        <w:t>ribunal</w:t>
      </w:r>
      <w:r w:rsidR="008934BC" w:rsidRPr="008934BC">
        <w:rPr>
          <w:i/>
        </w:rPr>
        <w:t xml:space="preserve"> Act</w:t>
      </w:r>
      <w:r w:rsidR="008934BC">
        <w:t>, no new evidence is to be introduced through the submissions.</w:t>
      </w:r>
    </w:p>
    <w:p w:rsidR="00935095" w:rsidRDefault="00F62711" w:rsidP="00B50AF6">
      <w:pPr>
        <w:pStyle w:val="DecisionBody"/>
        <w:spacing w:beforeLines="150" w:before="360" w:afterLines="150" w:after="360"/>
      </w:pPr>
      <w:r>
        <w:t>The Member is seized of the matter.</w:t>
      </w:r>
    </w:p>
    <w:p w:rsidR="00F62711" w:rsidRPr="00F62711" w:rsidRDefault="00F62711" w:rsidP="00B50AF6">
      <w:pPr>
        <w:pStyle w:val="DecisionBody"/>
        <w:numPr>
          <w:ilvl w:val="0"/>
          <w:numId w:val="0"/>
        </w:numPr>
        <w:spacing w:beforeLines="150" w:before="360" w:afterLines="150" w:after="360"/>
        <w:rPr>
          <w:b/>
        </w:rPr>
      </w:pPr>
      <w:r w:rsidRPr="00F62711">
        <w:rPr>
          <w:b/>
        </w:rPr>
        <w:t>ORDER</w:t>
      </w:r>
    </w:p>
    <w:p w:rsidR="00935095" w:rsidRPr="00AC548D" w:rsidRDefault="00F62711" w:rsidP="00B50AF6">
      <w:pPr>
        <w:pStyle w:val="DecisionBody"/>
        <w:spacing w:beforeLines="150" w:before="360" w:afterLines="150" w:after="360"/>
      </w:pPr>
      <w:r>
        <w:t>That the Appeal be determined through written hearing as prescribed in this disposition.</w:t>
      </w:r>
    </w:p>
    <w:p w:rsidR="00935095" w:rsidRPr="004E31D7" w:rsidRDefault="00935095" w:rsidP="004E31D7">
      <w:pPr>
        <w:pStyle w:val="MemberSignature"/>
        <w:ind w:left="0"/>
        <w:jc w:val="both"/>
        <w:rPr>
          <w:i w:val="0"/>
        </w:rPr>
      </w:pPr>
    </w:p>
    <w:p w:rsidR="00935095" w:rsidRPr="00AC548D" w:rsidRDefault="00B50AF6" w:rsidP="00AC548D">
      <w:pPr>
        <w:pStyle w:val="MemberSignature"/>
      </w:pPr>
      <w:r>
        <w:t>“Sharyn Vincent</w:t>
      </w:r>
      <w:r w:rsidR="00935095" w:rsidRPr="00AC548D">
        <w:t>”</w:t>
      </w:r>
    </w:p>
    <w:p w:rsidR="00935095" w:rsidRPr="004E31D7" w:rsidRDefault="00935095" w:rsidP="004E31D7">
      <w:pPr>
        <w:pStyle w:val="MemberSignature"/>
        <w:ind w:left="0"/>
        <w:jc w:val="both"/>
        <w:rPr>
          <w:i w:val="0"/>
        </w:rPr>
      </w:pPr>
    </w:p>
    <w:p w:rsidR="00935095" w:rsidRPr="00AC548D" w:rsidRDefault="00B50AF6" w:rsidP="00AC548D">
      <w:pPr>
        <w:pStyle w:val="MemberSignatureNameandTitle"/>
      </w:pPr>
      <w:r>
        <w:t>SHARYN VINCENT</w:t>
      </w:r>
    </w:p>
    <w:p w:rsidR="00935095" w:rsidRDefault="00B50AF6" w:rsidP="00AC548D">
      <w:pPr>
        <w:pStyle w:val="MemberSignatureNameandTitle"/>
      </w:pPr>
      <w:r>
        <w:t>MEMBER</w:t>
      </w:r>
    </w:p>
    <w:p w:rsidR="00C33FA2" w:rsidRPr="00AC548D" w:rsidRDefault="00C33FA2" w:rsidP="00AC548D">
      <w:pPr>
        <w:pStyle w:val="MemberSignatureNameandTitle"/>
      </w:pPr>
    </w:p>
    <w:p w:rsidR="0092760B" w:rsidRPr="00AC548D" w:rsidRDefault="0092760B" w:rsidP="004850D0">
      <w:pPr>
        <w:pStyle w:val="AttachmentTextaboveFooter"/>
      </w:pPr>
      <w:r w:rsidRPr="00AC548D">
        <w:t>If there is an attachment referred to in this document,</w:t>
      </w:r>
    </w:p>
    <w:p w:rsidR="0092760B" w:rsidRPr="00AC548D" w:rsidRDefault="0092760B" w:rsidP="004850D0">
      <w:pPr>
        <w:pStyle w:val="AttachmentTextaboveFooter"/>
      </w:pPr>
      <w:proofErr w:type="gramStart"/>
      <w:r w:rsidRPr="00AC548D">
        <w:t>please</w:t>
      </w:r>
      <w:proofErr w:type="gramEnd"/>
      <w:r w:rsidRPr="00AC548D">
        <w:t xml:space="preserve"> visit www.elto.gov.on.ca to view the attachment in PDF format.</w:t>
      </w:r>
    </w:p>
    <w:p w:rsidR="003D1234" w:rsidRPr="00AC548D" w:rsidRDefault="003D1234" w:rsidP="004E31D7">
      <w:pPr>
        <w:pStyle w:val="Footer"/>
        <w:jc w:val="left"/>
      </w:pPr>
    </w:p>
    <w:p w:rsidR="009A73F6" w:rsidRPr="00AC548D" w:rsidRDefault="009A73F6" w:rsidP="004E31D7">
      <w:pPr>
        <w:pStyle w:val="Footer"/>
        <w:jc w:val="left"/>
      </w:pPr>
    </w:p>
    <w:p w:rsidR="00FE1AB5" w:rsidRPr="00AC548D" w:rsidRDefault="00FE1AB5" w:rsidP="00AC548D">
      <w:pPr>
        <w:pStyle w:val="Footer"/>
        <w:rPr>
          <w:b/>
        </w:rPr>
      </w:pPr>
      <w:r w:rsidRPr="00AC548D">
        <w:rPr>
          <w:b/>
        </w:rPr>
        <w:t>Local Planning Appeal Tribunal</w:t>
      </w:r>
    </w:p>
    <w:p w:rsidR="005A6B29" w:rsidRPr="00AC548D" w:rsidRDefault="005A6B29" w:rsidP="00AC548D">
      <w:pPr>
        <w:pStyle w:val="Footer"/>
      </w:pPr>
      <w:r w:rsidRPr="00AC548D">
        <w:t xml:space="preserve">A constituent tribunal of </w:t>
      </w:r>
      <w:r w:rsidR="00B50AF6" w:rsidRPr="00AC548D">
        <w:t xml:space="preserve">Tribunals Ontario </w:t>
      </w:r>
      <w:r w:rsidR="00B50AF6">
        <w:t xml:space="preserve">- </w:t>
      </w:r>
      <w:r w:rsidRPr="00AC548D">
        <w:t xml:space="preserve">Environment and Land </w:t>
      </w:r>
      <w:r w:rsidR="00B50AF6">
        <w:t>Division</w:t>
      </w:r>
    </w:p>
    <w:p w:rsidR="005A6B29" w:rsidRPr="00AC548D" w:rsidRDefault="005A6B29" w:rsidP="00AC548D">
      <w:pPr>
        <w:pStyle w:val="Footer"/>
      </w:pPr>
      <w:r w:rsidRPr="00AC548D">
        <w:t xml:space="preserve">Website: </w:t>
      </w:r>
      <w:proofErr w:type="gramStart"/>
      <w:r w:rsidRPr="00AC548D">
        <w:t>www.elto.gov.on.ca  Telephone</w:t>
      </w:r>
      <w:proofErr w:type="gramEnd"/>
      <w:r w:rsidRPr="00AC548D">
        <w:t>: 416-212-6349  Toll Free: 1-866-448-2248</w:t>
      </w:r>
    </w:p>
    <w:sectPr w:rsidR="005A6B29" w:rsidRPr="00AC548D" w:rsidSect="00627521">
      <w:headerReference w:type="default" r:id="rId10"/>
      <w:pgSz w:w="12240" w:h="15840" w:code="1"/>
      <w:pgMar w:top="1239" w:right="1440" w:bottom="135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5C8" w:rsidRDefault="009A45C8">
      <w:r>
        <w:separator/>
      </w:r>
    </w:p>
  </w:endnote>
  <w:endnote w:type="continuationSeparator" w:id="0">
    <w:p w:rsidR="009A45C8" w:rsidRDefault="009A4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5C8" w:rsidRDefault="009A45C8">
      <w:r>
        <w:separator/>
      </w:r>
    </w:p>
  </w:footnote>
  <w:footnote w:type="continuationSeparator" w:id="0">
    <w:p w:rsidR="009A45C8" w:rsidRDefault="009A4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547" w:rsidRDefault="005D1ED7" w:rsidP="00285AD7">
    <w:pPr>
      <w:pStyle w:val="Header"/>
      <w:tabs>
        <w:tab w:val="clear" w:pos="8640"/>
        <w:tab w:val="center" w:pos="4680"/>
        <w:tab w:val="left" w:pos="6804"/>
        <w:tab w:val="right" w:pos="9360"/>
      </w:tabs>
      <w:jc w:val="right"/>
      <w:rPr>
        <w:rFonts w:ascii="Arial" w:hAnsi="Arial" w:cs="Arial"/>
        <w:noProof/>
      </w:rPr>
    </w:pPr>
    <w:r>
      <w:tab/>
    </w:r>
    <w:r>
      <w:tab/>
    </w:r>
    <w:r w:rsidRPr="005E51AF">
      <w:rPr>
        <w:rFonts w:ascii="Arial" w:hAnsi="Arial" w:cs="Arial"/>
      </w:rPr>
      <w:fldChar w:fldCharType="begin"/>
    </w:r>
    <w:r w:rsidRPr="005E51AF">
      <w:rPr>
        <w:rFonts w:ascii="Arial" w:hAnsi="Arial" w:cs="Arial"/>
      </w:rPr>
      <w:instrText xml:space="preserve"> PAGE   \* MERGEFORMAT </w:instrText>
    </w:r>
    <w:r w:rsidRPr="005E51AF">
      <w:rPr>
        <w:rFonts w:ascii="Arial" w:hAnsi="Arial" w:cs="Arial"/>
      </w:rPr>
      <w:fldChar w:fldCharType="separate"/>
    </w:r>
    <w:r w:rsidR="0022318F">
      <w:rPr>
        <w:rFonts w:ascii="Arial" w:hAnsi="Arial" w:cs="Arial"/>
        <w:noProof/>
      </w:rPr>
      <w:t>3</w:t>
    </w:r>
    <w:r w:rsidRPr="005E51AF">
      <w:rPr>
        <w:rFonts w:ascii="Arial" w:hAnsi="Arial" w:cs="Arial"/>
        <w:noProof/>
      </w:rPr>
      <w:fldChar w:fldCharType="end"/>
    </w:r>
    <w:r w:rsidR="00C02B28">
      <w:rPr>
        <w:rFonts w:ascii="Arial" w:hAnsi="Arial" w:cs="Arial"/>
        <w:noProof/>
      </w:rPr>
      <w:tab/>
    </w:r>
    <w:r w:rsidR="004B6547" w:rsidRPr="00285AD7">
      <w:rPr>
        <w:rFonts w:ascii="Arial" w:hAnsi="Arial" w:cs="Arial"/>
      </w:rPr>
      <w:t xml:space="preserve">  </w:t>
    </w:r>
    <w:r w:rsidR="00C33FA2">
      <w:rPr>
        <w:rFonts w:ascii="Arial" w:hAnsi="Arial" w:cs="Arial"/>
      </w:rPr>
      <w:tab/>
    </w:r>
    <w:r w:rsidR="008A23AF">
      <w:rPr>
        <w:rFonts w:ascii="Arial" w:hAnsi="Arial" w:cs="Arial"/>
      </w:rPr>
      <w:t>PL1</w:t>
    </w:r>
    <w:r w:rsidR="00566F89">
      <w:rPr>
        <w:rFonts w:ascii="Arial" w:hAnsi="Arial" w:cs="Arial"/>
      </w:rPr>
      <w:t>8</w:t>
    </w:r>
    <w:r w:rsidR="008A23AF">
      <w:rPr>
        <w:rFonts w:ascii="Arial" w:hAnsi="Arial" w:cs="Arial"/>
      </w:rPr>
      <w:t>0727</w:t>
    </w:r>
  </w:p>
  <w:p w:rsidR="005D1ED7" w:rsidRDefault="005D1ED7" w:rsidP="002D2254">
    <w:pPr>
      <w:pStyle w:val="Header"/>
      <w:tabs>
        <w:tab w:val="clear" w:pos="8640"/>
        <w:tab w:val="center" w:pos="4680"/>
        <w:tab w:val="left" w:pos="6804"/>
        <w:tab w:val="right" w:pos="9360"/>
      </w:tabs>
      <w:rPr>
        <w:rFonts w:ascii="Arial" w:hAnsi="Arial" w:cs="Arial"/>
        <w:noProof/>
      </w:rPr>
    </w:pPr>
  </w:p>
  <w:p w:rsidR="00420FFD" w:rsidRPr="005E51AF" w:rsidRDefault="00420FFD" w:rsidP="002D2254">
    <w:pPr>
      <w:pStyle w:val="Header"/>
      <w:tabs>
        <w:tab w:val="clear" w:pos="8640"/>
        <w:tab w:val="center" w:pos="4680"/>
        <w:tab w:val="left" w:pos="6804"/>
        <w:tab w:val="right" w:pos="936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B64"/>
    <w:multiLevelType w:val="hybridMultilevel"/>
    <w:tmpl w:val="D2A226C8"/>
    <w:lvl w:ilvl="0" w:tplc="0F965C98">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nsid w:val="0A0516C0"/>
    <w:multiLevelType w:val="hybridMultilevel"/>
    <w:tmpl w:val="072EF3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247372"/>
    <w:multiLevelType w:val="hybridMultilevel"/>
    <w:tmpl w:val="C8E0C6B4"/>
    <w:lvl w:ilvl="0" w:tplc="97B6B72A">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0E230A9A"/>
    <w:multiLevelType w:val="hybridMultilevel"/>
    <w:tmpl w:val="73EA5784"/>
    <w:lvl w:ilvl="0" w:tplc="F2C86DDE">
      <w:start w:val="1"/>
      <w:numFmt w:val="decimal"/>
      <w:lvlText w:val="%1."/>
      <w:lvlJc w:val="left"/>
      <w:pPr>
        <w:ind w:left="1815" w:hanging="360"/>
      </w:pPr>
      <w:rPr>
        <w:rFonts w:hint="default"/>
      </w:rPr>
    </w:lvl>
    <w:lvl w:ilvl="1" w:tplc="10090019" w:tentative="1">
      <w:start w:val="1"/>
      <w:numFmt w:val="lowerLetter"/>
      <w:lvlText w:val="%2."/>
      <w:lvlJc w:val="left"/>
      <w:pPr>
        <w:ind w:left="2535" w:hanging="360"/>
      </w:pPr>
    </w:lvl>
    <w:lvl w:ilvl="2" w:tplc="1009001B" w:tentative="1">
      <w:start w:val="1"/>
      <w:numFmt w:val="lowerRoman"/>
      <w:lvlText w:val="%3."/>
      <w:lvlJc w:val="right"/>
      <w:pPr>
        <w:ind w:left="3255" w:hanging="180"/>
      </w:pPr>
    </w:lvl>
    <w:lvl w:ilvl="3" w:tplc="1009000F" w:tentative="1">
      <w:start w:val="1"/>
      <w:numFmt w:val="decimal"/>
      <w:lvlText w:val="%4."/>
      <w:lvlJc w:val="left"/>
      <w:pPr>
        <w:ind w:left="3975" w:hanging="360"/>
      </w:pPr>
    </w:lvl>
    <w:lvl w:ilvl="4" w:tplc="10090019" w:tentative="1">
      <w:start w:val="1"/>
      <w:numFmt w:val="lowerLetter"/>
      <w:lvlText w:val="%5."/>
      <w:lvlJc w:val="left"/>
      <w:pPr>
        <w:ind w:left="4695" w:hanging="360"/>
      </w:pPr>
    </w:lvl>
    <w:lvl w:ilvl="5" w:tplc="1009001B" w:tentative="1">
      <w:start w:val="1"/>
      <w:numFmt w:val="lowerRoman"/>
      <w:lvlText w:val="%6."/>
      <w:lvlJc w:val="right"/>
      <w:pPr>
        <w:ind w:left="5415" w:hanging="180"/>
      </w:pPr>
    </w:lvl>
    <w:lvl w:ilvl="6" w:tplc="1009000F" w:tentative="1">
      <w:start w:val="1"/>
      <w:numFmt w:val="decimal"/>
      <w:lvlText w:val="%7."/>
      <w:lvlJc w:val="left"/>
      <w:pPr>
        <w:ind w:left="6135" w:hanging="360"/>
      </w:pPr>
    </w:lvl>
    <w:lvl w:ilvl="7" w:tplc="10090019" w:tentative="1">
      <w:start w:val="1"/>
      <w:numFmt w:val="lowerLetter"/>
      <w:lvlText w:val="%8."/>
      <w:lvlJc w:val="left"/>
      <w:pPr>
        <w:ind w:left="6855" w:hanging="360"/>
      </w:pPr>
    </w:lvl>
    <w:lvl w:ilvl="8" w:tplc="1009001B" w:tentative="1">
      <w:start w:val="1"/>
      <w:numFmt w:val="lowerRoman"/>
      <w:lvlText w:val="%9."/>
      <w:lvlJc w:val="right"/>
      <w:pPr>
        <w:ind w:left="7575" w:hanging="180"/>
      </w:pPr>
    </w:lvl>
  </w:abstractNum>
  <w:abstractNum w:abstractNumId="4">
    <w:nsid w:val="16BF5028"/>
    <w:multiLevelType w:val="hybridMultilevel"/>
    <w:tmpl w:val="5B90020E"/>
    <w:lvl w:ilvl="0" w:tplc="320EB60C">
      <w:start w:val="2"/>
      <w:numFmt w:val="decimal"/>
      <w:lvlText w:val="[%1]"/>
      <w:lvlJc w:val="left"/>
      <w:pPr>
        <w:ind w:left="360" w:hanging="360"/>
      </w:pPr>
      <w:rPr>
        <w:rFonts w:ascii="Arial" w:hAnsi="Arial" w:hint="default"/>
        <w:b w:val="0"/>
        <w:i w:val="0"/>
        <w:sz w:val="24"/>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nsid w:val="17E67A74"/>
    <w:multiLevelType w:val="hybridMultilevel"/>
    <w:tmpl w:val="E90CF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0F1F60"/>
    <w:multiLevelType w:val="hybridMultilevel"/>
    <w:tmpl w:val="D0DC2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EE3260E"/>
    <w:multiLevelType w:val="hybridMultilevel"/>
    <w:tmpl w:val="4FCE1E12"/>
    <w:lvl w:ilvl="0" w:tplc="C4C2FBDA">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937D4B"/>
    <w:multiLevelType w:val="hybridMultilevel"/>
    <w:tmpl w:val="F2D812E8"/>
    <w:lvl w:ilvl="0" w:tplc="C8AAA2F0">
      <w:start w:val="1"/>
      <w:numFmt w:val="decimal"/>
      <w:lvlText w:val="%1."/>
      <w:lvlJc w:val="left"/>
      <w:pPr>
        <w:ind w:left="1212"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2012786A"/>
    <w:multiLevelType w:val="hybridMultilevel"/>
    <w:tmpl w:val="34A2A6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C557F62"/>
    <w:multiLevelType w:val="hybridMultilevel"/>
    <w:tmpl w:val="32487B86"/>
    <w:lvl w:ilvl="0" w:tplc="F08247A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2EB7648F"/>
    <w:multiLevelType w:val="hybridMultilevel"/>
    <w:tmpl w:val="29364B6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8B82D88"/>
    <w:multiLevelType w:val="hybridMultilevel"/>
    <w:tmpl w:val="E68C454E"/>
    <w:lvl w:ilvl="0" w:tplc="8BB64492">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3FA44A38"/>
    <w:multiLevelType w:val="hybridMultilevel"/>
    <w:tmpl w:val="146E0010"/>
    <w:lvl w:ilvl="0" w:tplc="06D81034">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3FDA525C"/>
    <w:multiLevelType w:val="hybridMultilevel"/>
    <w:tmpl w:val="92460574"/>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5">
    <w:nsid w:val="40774E68"/>
    <w:multiLevelType w:val="hybridMultilevel"/>
    <w:tmpl w:val="02863DF2"/>
    <w:lvl w:ilvl="0" w:tplc="09CC1668">
      <w:start w:val="1"/>
      <w:numFmt w:val="decimal"/>
      <w:lvlText w:val="%1."/>
      <w:lvlJc w:val="left"/>
      <w:pPr>
        <w:tabs>
          <w:tab w:val="num" w:pos="567"/>
        </w:tabs>
        <w:ind w:left="567" w:hanging="567"/>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76A6F49"/>
    <w:multiLevelType w:val="hybridMultilevel"/>
    <w:tmpl w:val="28AEF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C6458B6"/>
    <w:multiLevelType w:val="hybridMultilevel"/>
    <w:tmpl w:val="288038B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3177116"/>
    <w:multiLevelType w:val="hybridMultilevel"/>
    <w:tmpl w:val="2DE627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31D5032"/>
    <w:multiLevelType w:val="hybridMultilevel"/>
    <w:tmpl w:val="AB34843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6A12260"/>
    <w:multiLevelType w:val="hybridMultilevel"/>
    <w:tmpl w:val="D2882F00"/>
    <w:lvl w:ilvl="0" w:tplc="921E247A">
      <w:start w:val="1"/>
      <w:numFmt w:val="decimal"/>
      <w:lvlText w:val="[%1]"/>
      <w:lvlJc w:val="left"/>
      <w:pPr>
        <w:ind w:left="2345" w:hanging="360"/>
      </w:pPr>
      <w:rPr>
        <w:rFonts w:hint="default"/>
        <w:b w:val="0"/>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21">
    <w:nsid w:val="5B9239C2"/>
    <w:multiLevelType w:val="hybridMultilevel"/>
    <w:tmpl w:val="249CEDAE"/>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nsid w:val="5C6275A3"/>
    <w:multiLevelType w:val="hybridMultilevel"/>
    <w:tmpl w:val="805A8E62"/>
    <w:lvl w:ilvl="0" w:tplc="01DC8C16">
      <w:start w:val="1"/>
      <w:numFmt w:val="decimal"/>
      <w:lvlText w:val="[%1]"/>
      <w:lvlJc w:val="left"/>
      <w:pPr>
        <w:ind w:left="720" w:hanging="360"/>
      </w:pPr>
      <w:rPr>
        <w:rFonts w:ascii="Arial" w:hAnsi="Arial" w:hint="default"/>
        <w:b w:val="0"/>
        <w:i w:val="0"/>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4AA120A"/>
    <w:multiLevelType w:val="hybridMultilevel"/>
    <w:tmpl w:val="9FA4C96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66B6A22"/>
    <w:multiLevelType w:val="hybridMultilevel"/>
    <w:tmpl w:val="8E221DE4"/>
    <w:lvl w:ilvl="0" w:tplc="80BC16C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5">
    <w:nsid w:val="66E41154"/>
    <w:multiLevelType w:val="hybridMultilevel"/>
    <w:tmpl w:val="3EEC5B7E"/>
    <w:lvl w:ilvl="0" w:tplc="FF8AF5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693A3642"/>
    <w:multiLevelType w:val="hybridMultilevel"/>
    <w:tmpl w:val="0824A6D2"/>
    <w:lvl w:ilvl="0" w:tplc="CD6A138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7CD52EC"/>
    <w:multiLevelType w:val="hybridMultilevel"/>
    <w:tmpl w:val="E5E4FC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920F07"/>
    <w:multiLevelType w:val="hybridMultilevel"/>
    <w:tmpl w:val="634A90FE"/>
    <w:lvl w:ilvl="0" w:tplc="C53065C6">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9">
    <w:nsid w:val="7A956977"/>
    <w:multiLevelType w:val="hybridMultilevel"/>
    <w:tmpl w:val="94C03168"/>
    <w:lvl w:ilvl="0" w:tplc="B53435BE">
      <w:start w:val="1"/>
      <w:numFmt w:val="decimal"/>
      <w:pStyle w:val="DecisionBody"/>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nsid w:val="7F2C0661"/>
    <w:multiLevelType w:val="hybridMultilevel"/>
    <w:tmpl w:val="68A054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6"/>
  </w:num>
  <w:num w:numId="3">
    <w:abstractNumId w:val="27"/>
  </w:num>
  <w:num w:numId="4">
    <w:abstractNumId w:val="9"/>
  </w:num>
  <w:num w:numId="5">
    <w:abstractNumId w:val="30"/>
  </w:num>
  <w:num w:numId="6">
    <w:abstractNumId w:val="5"/>
  </w:num>
  <w:num w:numId="7">
    <w:abstractNumId w:val="1"/>
  </w:num>
  <w:num w:numId="8">
    <w:abstractNumId w:val="25"/>
  </w:num>
  <w:num w:numId="9">
    <w:abstractNumId w:val="16"/>
  </w:num>
  <w:num w:numId="10">
    <w:abstractNumId w:val="14"/>
  </w:num>
  <w:num w:numId="11">
    <w:abstractNumId w:val="20"/>
  </w:num>
  <w:num w:numId="12">
    <w:abstractNumId w:val="28"/>
  </w:num>
  <w:num w:numId="13">
    <w:abstractNumId w:val="4"/>
  </w:num>
  <w:num w:numId="14">
    <w:abstractNumId w:val="17"/>
  </w:num>
  <w:num w:numId="15">
    <w:abstractNumId w:val="23"/>
  </w:num>
  <w:num w:numId="16">
    <w:abstractNumId w:val="19"/>
  </w:num>
  <w:num w:numId="17">
    <w:abstractNumId w:val="8"/>
  </w:num>
  <w:num w:numId="18">
    <w:abstractNumId w:val="10"/>
  </w:num>
  <w:num w:numId="19">
    <w:abstractNumId w:val="2"/>
  </w:num>
  <w:num w:numId="20">
    <w:abstractNumId w:val="0"/>
  </w:num>
  <w:num w:numId="21">
    <w:abstractNumId w:val="7"/>
  </w:num>
  <w:num w:numId="22">
    <w:abstractNumId w:val="3"/>
  </w:num>
  <w:num w:numId="23">
    <w:abstractNumId w:val="13"/>
  </w:num>
  <w:num w:numId="24">
    <w:abstractNumId w:val="24"/>
  </w:num>
  <w:num w:numId="25">
    <w:abstractNumId w:val="12"/>
  </w:num>
  <w:num w:numId="26">
    <w:abstractNumId w:val="26"/>
  </w:num>
  <w:num w:numId="27">
    <w:abstractNumId w:val="11"/>
  </w:num>
  <w:num w:numId="28">
    <w:abstractNumId w:val="21"/>
  </w:num>
  <w:num w:numId="29">
    <w:abstractNumId w:val="15"/>
  </w:num>
  <w:num w:numId="30">
    <w:abstractNumId w:val="22"/>
  </w:num>
  <w:num w:numId="3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9C4"/>
    <w:rsid w:val="0001398A"/>
    <w:rsid w:val="000170F3"/>
    <w:rsid w:val="00017DFC"/>
    <w:rsid w:val="00022EAD"/>
    <w:rsid w:val="00031C6E"/>
    <w:rsid w:val="0003783B"/>
    <w:rsid w:val="000424A6"/>
    <w:rsid w:val="00054A9F"/>
    <w:rsid w:val="00056F73"/>
    <w:rsid w:val="0006526A"/>
    <w:rsid w:val="00075342"/>
    <w:rsid w:val="00076196"/>
    <w:rsid w:val="0008105B"/>
    <w:rsid w:val="00081B93"/>
    <w:rsid w:val="00094E62"/>
    <w:rsid w:val="000A5BAE"/>
    <w:rsid w:val="000B4BFB"/>
    <w:rsid w:val="000C21BB"/>
    <w:rsid w:val="000C25F1"/>
    <w:rsid w:val="000C480C"/>
    <w:rsid w:val="000C7608"/>
    <w:rsid w:val="000D09B3"/>
    <w:rsid w:val="000D6F9D"/>
    <w:rsid w:val="000D7BBD"/>
    <w:rsid w:val="000F6357"/>
    <w:rsid w:val="00100AF6"/>
    <w:rsid w:val="0010191A"/>
    <w:rsid w:val="001021CB"/>
    <w:rsid w:val="00104001"/>
    <w:rsid w:val="001220E4"/>
    <w:rsid w:val="0013161B"/>
    <w:rsid w:val="00137797"/>
    <w:rsid w:val="001551CC"/>
    <w:rsid w:val="001562BE"/>
    <w:rsid w:val="001634FB"/>
    <w:rsid w:val="001656BC"/>
    <w:rsid w:val="001702F3"/>
    <w:rsid w:val="00172CE7"/>
    <w:rsid w:val="001765FB"/>
    <w:rsid w:val="001808B6"/>
    <w:rsid w:val="00182765"/>
    <w:rsid w:val="00182B0E"/>
    <w:rsid w:val="00185E46"/>
    <w:rsid w:val="00190DF3"/>
    <w:rsid w:val="001A3C06"/>
    <w:rsid w:val="001B5CE4"/>
    <w:rsid w:val="001D67CE"/>
    <w:rsid w:val="001D6F93"/>
    <w:rsid w:val="001E764F"/>
    <w:rsid w:val="001F179F"/>
    <w:rsid w:val="0020298E"/>
    <w:rsid w:val="00205167"/>
    <w:rsid w:val="002159B4"/>
    <w:rsid w:val="0021608D"/>
    <w:rsid w:val="00220639"/>
    <w:rsid w:val="0022133C"/>
    <w:rsid w:val="0022318F"/>
    <w:rsid w:val="00225203"/>
    <w:rsid w:val="0022579A"/>
    <w:rsid w:val="00226115"/>
    <w:rsid w:val="002315A3"/>
    <w:rsid w:val="002346B3"/>
    <w:rsid w:val="00235236"/>
    <w:rsid w:val="002419BB"/>
    <w:rsid w:val="002433A2"/>
    <w:rsid w:val="002446DE"/>
    <w:rsid w:val="00246A65"/>
    <w:rsid w:val="00246A9A"/>
    <w:rsid w:val="00250221"/>
    <w:rsid w:val="00257414"/>
    <w:rsid w:val="0026320F"/>
    <w:rsid w:val="00270AAE"/>
    <w:rsid w:val="00277F40"/>
    <w:rsid w:val="00280925"/>
    <w:rsid w:val="00283370"/>
    <w:rsid w:val="00285AD7"/>
    <w:rsid w:val="00290FEC"/>
    <w:rsid w:val="00293E85"/>
    <w:rsid w:val="002959D2"/>
    <w:rsid w:val="002A393B"/>
    <w:rsid w:val="002B47E9"/>
    <w:rsid w:val="002C00E1"/>
    <w:rsid w:val="002C7CBA"/>
    <w:rsid w:val="002D2254"/>
    <w:rsid w:val="002D23D0"/>
    <w:rsid w:val="002D38E7"/>
    <w:rsid w:val="002E7C9F"/>
    <w:rsid w:val="002F37EF"/>
    <w:rsid w:val="002F4E11"/>
    <w:rsid w:val="002F73E5"/>
    <w:rsid w:val="003051EA"/>
    <w:rsid w:val="00307DEE"/>
    <w:rsid w:val="00316394"/>
    <w:rsid w:val="00323369"/>
    <w:rsid w:val="00324440"/>
    <w:rsid w:val="00340879"/>
    <w:rsid w:val="00345480"/>
    <w:rsid w:val="003506EA"/>
    <w:rsid w:val="00350E1B"/>
    <w:rsid w:val="00354C2E"/>
    <w:rsid w:val="003620BF"/>
    <w:rsid w:val="00367CB0"/>
    <w:rsid w:val="00375F31"/>
    <w:rsid w:val="0038484F"/>
    <w:rsid w:val="00385FC9"/>
    <w:rsid w:val="00391DD7"/>
    <w:rsid w:val="003A54E5"/>
    <w:rsid w:val="003B236D"/>
    <w:rsid w:val="003B298B"/>
    <w:rsid w:val="003B7CE2"/>
    <w:rsid w:val="003D1234"/>
    <w:rsid w:val="003F266C"/>
    <w:rsid w:val="00401F7B"/>
    <w:rsid w:val="00403715"/>
    <w:rsid w:val="004207C6"/>
    <w:rsid w:val="00420FFD"/>
    <w:rsid w:val="004233D2"/>
    <w:rsid w:val="00441A9B"/>
    <w:rsid w:val="004507E6"/>
    <w:rsid w:val="00452228"/>
    <w:rsid w:val="004539BB"/>
    <w:rsid w:val="004568CC"/>
    <w:rsid w:val="00460B87"/>
    <w:rsid w:val="004662FE"/>
    <w:rsid w:val="004850D0"/>
    <w:rsid w:val="004A4461"/>
    <w:rsid w:val="004A587D"/>
    <w:rsid w:val="004B3247"/>
    <w:rsid w:val="004B6547"/>
    <w:rsid w:val="004B7E92"/>
    <w:rsid w:val="004C06AB"/>
    <w:rsid w:val="004C3B19"/>
    <w:rsid w:val="004C5ADC"/>
    <w:rsid w:val="004E03A4"/>
    <w:rsid w:val="004E31D7"/>
    <w:rsid w:val="004E4C91"/>
    <w:rsid w:val="004E4CD6"/>
    <w:rsid w:val="004F13B0"/>
    <w:rsid w:val="004F1B46"/>
    <w:rsid w:val="00505DF1"/>
    <w:rsid w:val="005064E9"/>
    <w:rsid w:val="005108D7"/>
    <w:rsid w:val="00513CCD"/>
    <w:rsid w:val="005176E6"/>
    <w:rsid w:val="00520315"/>
    <w:rsid w:val="00530917"/>
    <w:rsid w:val="0053773B"/>
    <w:rsid w:val="0055024F"/>
    <w:rsid w:val="005554F9"/>
    <w:rsid w:val="00566F89"/>
    <w:rsid w:val="00575802"/>
    <w:rsid w:val="00581834"/>
    <w:rsid w:val="00581FFB"/>
    <w:rsid w:val="005826C8"/>
    <w:rsid w:val="005832B8"/>
    <w:rsid w:val="00585632"/>
    <w:rsid w:val="0058684A"/>
    <w:rsid w:val="005A6B29"/>
    <w:rsid w:val="005A767F"/>
    <w:rsid w:val="005B0EFC"/>
    <w:rsid w:val="005B2223"/>
    <w:rsid w:val="005C46AA"/>
    <w:rsid w:val="005C7251"/>
    <w:rsid w:val="005C7AA9"/>
    <w:rsid w:val="005D1ED7"/>
    <w:rsid w:val="005E51AF"/>
    <w:rsid w:val="005F182A"/>
    <w:rsid w:val="005F7A16"/>
    <w:rsid w:val="006002DC"/>
    <w:rsid w:val="0060505C"/>
    <w:rsid w:val="00611B55"/>
    <w:rsid w:val="00614648"/>
    <w:rsid w:val="00616822"/>
    <w:rsid w:val="00627521"/>
    <w:rsid w:val="006306A8"/>
    <w:rsid w:val="0063575A"/>
    <w:rsid w:val="00640174"/>
    <w:rsid w:val="006419E7"/>
    <w:rsid w:val="00641AD3"/>
    <w:rsid w:val="00646BFB"/>
    <w:rsid w:val="00647B4B"/>
    <w:rsid w:val="00647ECC"/>
    <w:rsid w:val="006510E9"/>
    <w:rsid w:val="00653B50"/>
    <w:rsid w:val="00655F95"/>
    <w:rsid w:val="00656CC7"/>
    <w:rsid w:val="00657E0B"/>
    <w:rsid w:val="00663C56"/>
    <w:rsid w:val="00665DAE"/>
    <w:rsid w:val="006664C3"/>
    <w:rsid w:val="00675D5C"/>
    <w:rsid w:val="00677294"/>
    <w:rsid w:val="0069677C"/>
    <w:rsid w:val="006A119C"/>
    <w:rsid w:val="006A19B7"/>
    <w:rsid w:val="006A2B5B"/>
    <w:rsid w:val="006A5204"/>
    <w:rsid w:val="006C6D4C"/>
    <w:rsid w:val="006D09B4"/>
    <w:rsid w:val="006D1DFD"/>
    <w:rsid w:val="006E6454"/>
    <w:rsid w:val="006F214C"/>
    <w:rsid w:val="006F2DF2"/>
    <w:rsid w:val="006F3415"/>
    <w:rsid w:val="006F6F82"/>
    <w:rsid w:val="007057F0"/>
    <w:rsid w:val="00706196"/>
    <w:rsid w:val="00707B3B"/>
    <w:rsid w:val="00715DD1"/>
    <w:rsid w:val="00716030"/>
    <w:rsid w:val="00717044"/>
    <w:rsid w:val="007342E5"/>
    <w:rsid w:val="007353C0"/>
    <w:rsid w:val="00735538"/>
    <w:rsid w:val="0076119A"/>
    <w:rsid w:val="00765C2D"/>
    <w:rsid w:val="007A1709"/>
    <w:rsid w:val="007A2C3D"/>
    <w:rsid w:val="007B26F8"/>
    <w:rsid w:val="007C08BD"/>
    <w:rsid w:val="007E0B8E"/>
    <w:rsid w:val="007E0C30"/>
    <w:rsid w:val="007F7583"/>
    <w:rsid w:val="00802055"/>
    <w:rsid w:val="008046EB"/>
    <w:rsid w:val="0080724D"/>
    <w:rsid w:val="008173CF"/>
    <w:rsid w:val="00823753"/>
    <w:rsid w:val="008316DB"/>
    <w:rsid w:val="0083211C"/>
    <w:rsid w:val="00835A80"/>
    <w:rsid w:val="00837AE6"/>
    <w:rsid w:val="00865727"/>
    <w:rsid w:val="00866681"/>
    <w:rsid w:val="00890E5D"/>
    <w:rsid w:val="008934BC"/>
    <w:rsid w:val="0089782A"/>
    <w:rsid w:val="008A1A0C"/>
    <w:rsid w:val="008A23AF"/>
    <w:rsid w:val="008A3586"/>
    <w:rsid w:val="008A501F"/>
    <w:rsid w:val="008B3EB4"/>
    <w:rsid w:val="008B667D"/>
    <w:rsid w:val="008C09C4"/>
    <w:rsid w:val="008C7470"/>
    <w:rsid w:val="008D3B01"/>
    <w:rsid w:val="008E147D"/>
    <w:rsid w:val="008E5B11"/>
    <w:rsid w:val="00900C5B"/>
    <w:rsid w:val="00902134"/>
    <w:rsid w:val="00907DA4"/>
    <w:rsid w:val="009148E3"/>
    <w:rsid w:val="0092760B"/>
    <w:rsid w:val="00930FD3"/>
    <w:rsid w:val="009333AA"/>
    <w:rsid w:val="00935095"/>
    <w:rsid w:val="00935ABA"/>
    <w:rsid w:val="009360FC"/>
    <w:rsid w:val="00951EE2"/>
    <w:rsid w:val="0095571C"/>
    <w:rsid w:val="0096422B"/>
    <w:rsid w:val="009650D8"/>
    <w:rsid w:val="009748FB"/>
    <w:rsid w:val="00976AA8"/>
    <w:rsid w:val="009773EC"/>
    <w:rsid w:val="00981E7A"/>
    <w:rsid w:val="00990F55"/>
    <w:rsid w:val="009A1884"/>
    <w:rsid w:val="009A31C9"/>
    <w:rsid w:val="009A34A1"/>
    <w:rsid w:val="009A45C8"/>
    <w:rsid w:val="009A6D63"/>
    <w:rsid w:val="009A73F6"/>
    <w:rsid w:val="009C20B2"/>
    <w:rsid w:val="009C4D62"/>
    <w:rsid w:val="009D0B82"/>
    <w:rsid w:val="009D0F2B"/>
    <w:rsid w:val="009D5078"/>
    <w:rsid w:val="009E0DF7"/>
    <w:rsid w:val="009E1C08"/>
    <w:rsid w:val="009E202F"/>
    <w:rsid w:val="009E40F3"/>
    <w:rsid w:val="009E6983"/>
    <w:rsid w:val="009F040C"/>
    <w:rsid w:val="009F3047"/>
    <w:rsid w:val="00A07D8A"/>
    <w:rsid w:val="00A11CE2"/>
    <w:rsid w:val="00A20E8C"/>
    <w:rsid w:val="00A45D63"/>
    <w:rsid w:val="00A47406"/>
    <w:rsid w:val="00A550FC"/>
    <w:rsid w:val="00A63ACD"/>
    <w:rsid w:val="00A7018C"/>
    <w:rsid w:val="00A70B89"/>
    <w:rsid w:val="00A70E2F"/>
    <w:rsid w:val="00A76E5B"/>
    <w:rsid w:val="00A81716"/>
    <w:rsid w:val="00A81DB3"/>
    <w:rsid w:val="00A84EF0"/>
    <w:rsid w:val="00A86E97"/>
    <w:rsid w:val="00A955CF"/>
    <w:rsid w:val="00AA1090"/>
    <w:rsid w:val="00AA1241"/>
    <w:rsid w:val="00AA432A"/>
    <w:rsid w:val="00AA607D"/>
    <w:rsid w:val="00AA6E2C"/>
    <w:rsid w:val="00AB07FC"/>
    <w:rsid w:val="00AB519E"/>
    <w:rsid w:val="00AB7E2E"/>
    <w:rsid w:val="00AC517A"/>
    <w:rsid w:val="00AC548D"/>
    <w:rsid w:val="00AC630B"/>
    <w:rsid w:val="00AD29BF"/>
    <w:rsid w:val="00AE075F"/>
    <w:rsid w:val="00AE1098"/>
    <w:rsid w:val="00AE1446"/>
    <w:rsid w:val="00B12A97"/>
    <w:rsid w:val="00B13C3D"/>
    <w:rsid w:val="00B157E1"/>
    <w:rsid w:val="00B16A05"/>
    <w:rsid w:val="00B17BED"/>
    <w:rsid w:val="00B225A1"/>
    <w:rsid w:val="00B25ACB"/>
    <w:rsid w:val="00B25ECF"/>
    <w:rsid w:val="00B268A7"/>
    <w:rsid w:val="00B35686"/>
    <w:rsid w:val="00B44276"/>
    <w:rsid w:val="00B50AF6"/>
    <w:rsid w:val="00B51EB2"/>
    <w:rsid w:val="00B51EBA"/>
    <w:rsid w:val="00B5261C"/>
    <w:rsid w:val="00B5585B"/>
    <w:rsid w:val="00B5628D"/>
    <w:rsid w:val="00B62606"/>
    <w:rsid w:val="00B6431E"/>
    <w:rsid w:val="00B67AB9"/>
    <w:rsid w:val="00B70285"/>
    <w:rsid w:val="00B702CE"/>
    <w:rsid w:val="00B721A7"/>
    <w:rsid w:val="00B73739"/>
    <w:rsid w:val="00B77B07"/>
    <w:rsid w:val="00B818DE"/>
    <w:rsid w:val="00B92BA3"/>
    <w:rsid w:val="00BA28A5"/>
    <w:rsid w:val="00BA5F87"/>
    <w:rsid w:val="00BA79F7"/>
    <w:rsid w:val="00BB1683"/>
    <w:rsid w:val="00BB6613"/>
    <w:rsid w:val="00BB66A5"/>
    <w:rsid w:val="00BC66D9"/>
    <w:rsid w:val="00BE0FA0"/>
    <w:rsid w:val="00BF23CB"/>
    <w:rsid w:val="00BF3612"/>
    <w:rsid w:val="00BF497A"/>
    <w:rsid w:val="00BF7426"/>
    <w:rsid w:val="00C02B28"/>
    <w:rsid w:val="00C1171C"/>
    <w:rsid w:val="00C300F2"/>
    <w:rsid w:val="00C33FA2"/>
    <w:rsid w:val="00C5671C"/>
    <w:rsid w:val="00C801A0"/>
    <w:rsid w:val="00C838B9"/>
    <w:rsid w:val="00C92977"/>
    <w:rsid w:val="00C940BC"/>
    <w:rsid w:val="00CC269B"/>
    <w:rsid w:val="00CC29F3"/>
    <w:rsid w:val="00CC5C59"/>
    <w:rsid w:val="00CD235D"/>
    <w:rsid w:val="00CD5591"/>
    <w:rsid w:val="00CE10CC"/>
    <w:rsid w:val="00CF2AB8"/>
    <w:rsid w:val="00CF3F96"/>
    <w:rsid w:val="00CF4C37"/>
    <w:rsid w:val="00CF55CF"/>
    <w:rsid w:val="00D008AB"/>
    <w:rsid w:val="00D01696"/>
    <w:rsid w:val="00D265BD"/>
    <w:rsid w:val="00D30F49"/>
    <w:rsid w:val="00D32294"/>
    <w:rsid w:val="00D35322"/>
    <w:rsid w:val="00D35B18"/>
    <w:rsid w:val="00D36525"/>
    <w:rsid w:val="00D42D9F"/>
    <w:rsid w:val="00D50C1C"/>
    <w:rsid w:val="00D53BDA"/>
    <w:rsid w:val="00D66856"/>
    <w:rsid w:val="00D76186"/>
    <w:rsid w:val="00D76968"/>
    <w:rsid w:val="00D83C03"/>
    <w:rsid w:val="00D84899"/>
    <w:rsid w:val="00D8571F"/>
    <w:rsid w:val="00D91064"/>
    <w:rsid w:val="00D9357D"/>
    <w:rsid w:val="00DA3393"/>
    <w:rsid w:val="00DB023D"/>
    <w:rsid w:val="00DB16DE"/>
    <w:rsid w:val="00DB45DF"/>
    <w:rsid w:val="00DB49FE"/>
    <w:rsid w:val="00DD35F5"/>
    <w:rsid w:val="00DD6665"/>
    <w:rsid w:val="00DE62BC"/>
    <w:rsid w:val="00DF75FB"/>
    <w:rsid w:val="00E10F67"/>
    <w:rsid w:val="00E11D71"/>
    <w:rsid w:val="00E12DE7"/>
    <w:rsid w:val="00E15446"/>
    <w:rsid w:val="00E40778"/>
    <w:rsid w:val="00E4342D"/>
    <w:rsid w:val="00E45C87"/>
    <w:rsid w:val="00E5336E"/>
    <w:rsid w:val="00E65759"/>
    <w:rsid w:val="00E73226"/>
    <w:rsid w:val="00E743D2"/>
    <w:rsid w:val="00E77E48"/>
    <w:rsid w:val="00E8779D"/>
    <w:rsid w:val="00E87A9B"/>
    <w:rsid w:val="00E97D24"/>
    <w:rsid w:val="00E97F04"/>
    <w:rsid w:val="00EA73B7"/>
    <w:rsid w:val="00EB3E73"/>
    <w:rsid w:val="00EC181A"/>
    <w:rsid w:val="00EC2949"/>
    <w:rsid w:val="00EE4BA3"/>
    <w:rsid w:val="00EE62E6"/>
    <w:rsid w:val="00EF4FA7"/>
    <w:rsid w:val="00EF6354"/>
    <w:rsid w:val="00F13970"/>
    <w:rsid w:val="00F206C1"/>
    <w:rsid w:val="00F20B8D"/>
    <w:rsid w:val="00F376E5"/>
    <w:rsid w:val="00F404B1"/>
    <w:rsid w:val="00F408C2"/>
    <w:rsid w:val="00F46275"/>
    <w:rsid w:val="00F548C9"/>
    <w:rsid w:val="00F62711"/>
    <w:rsid w:val="00F62C56"/>
    <w:rsid w:val="00F71AB8"/>
    <w:rsid w:val="00F76E36"/>
    <w:rsid w:val="00F801FB"/>
    <w:rsid w:val="00F82F6D"/>
    <w:rsid w:val="00F90029"/>
    <w:rsid w:val="00F9597B"/>
    <w:rsid w:val="00FA016B"/>
    <w:rsid w:val="00FA6295"/>
    <w:rsid w:val="00FD10D9"/>
    <w:rsid w:val="00FD395A"/>
    <w:rsid w:val="00FD4182"/>
    <w:rsid w:val="00FE1AB5"/>
    <w:rsid w:val="00FE3524"/>
    <w:rsid w:val="00FE478E"/>
    <w:rsid w:val="00FE4D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261C"/>
    <w:rPr>
      <w:sz w:val="24"/>
      <w:szCs w:val="24"/>
      <w:lang w:val="en-US" w:eastAsia="en-US"/>
    </w:rPr>
  </w:style>
  <w:style w:type="paragraph" w:styleId="Heading1">
    <w:name w:val="heading 1"/>
    <w:basedOn w:val="Normal"/>
    <w:next w:val="Normal"/>
    <w:qFormat/>
    <w:rsid w:val="00AC548D"/>
    <w:pPr>
      <w:keepNext/>
      <w:spacing w:line="360" w:lineRule="auto"/>
      <w:outlineLvl w:val="0"/>
    </w:pPr>
    <w:rPr>
      <w:rFonts w:ascii="Arial" w:hAnsi="Arial"/>
      <w:b/>
      <w:bCs/>
      <w:caps/>
      <w:lang w:val="en-CA"/>
    </w:rPr>
  </w:style>
  <w:style w:type="paragraph" w:styleId="Heading2">
    <w:name w:val="heading 2"/>
    <w:basedOn w:val="Normal"/>
    <w:next w:val="Normal"/>
    <w:link w:val="Heading2Char"/>
    <w:semiHidden/>
    <w:unhideWhenUsed/>
    <w:qFormat/>
    <w:rsid w:val="008046E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8046EB"/>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B3E73"/>
    <w:rPr>
      <w:color w:val="0000FF"/>
      <w:u w:val="single"/>
    </w:rPr>
  </w:style>
  <w:style w:type="paragraph" w:styleId="BalloonText">
    <w:name w:val="Balloon Text"/>
    <w:basedOn w:val="Normal"/>
    <w:semiHidden/>
    <w:rsid w:val="002959D2"/>
    <w:rPr>
      <w:rFonts w:ascii="Tahoma" w:hAnsi="Tahoma" w:cs="Tahoma"/>
      <w:sz w:val="16"/>
      <w:szCs w:val="16"/>
    </w:rPr>
  </w:style>
  <w:style w:type="paragraph" w:styleId="Header">
    <w:name w:val="header"/>
    <w:basedOn w:val="Normal"/>
    <w:link w:val="HeaderChar"/>
    <w:uiPriority w:val="99"/>
    <w:rsid w:val="00A550FC"/>
    <w:pPr>
      <w:tabs>
        <w:tab w:val="center" w:pos="4320"/>
        <w:tab w:val="right" w:pos="8640"/>
      </w:tabs>
    </w:pPr>
  </w:style>
  <w:style w:type="paragraph" w:styleId="Footer">
    <w:name w:val="footer"/>
    <w:basedOn w:val="Normal"/>
    <w:link w:val="FooterChar"/>
    <w:uiPriority w:val="99"/>
    <w:rsid w:val="004850D0"/>
    <w:pPr>
      <w:tabs>
        <w:tab w:val="center" w:pos="4320"/>
        <w:tab w:val="right" w:pos="8640"/>
      </w:tabs>
      <w:jc w:val="center"/>
    </w:pPr>
    <w:rPr>
      <w:rFonts w:ascii="Arial" w:hAnsi="Arial"/>
    </w:rPr>
  </w:style>
  <w:style w:type="character" w:customStyle="1" w:styleId="Heading2Char">
    <w:name w:val="Heading 2 Char"/>
    <w:link w:val="Heading2"/>
    <w:semiHidden/>
    <w:rsid w:val="008046EB"/>
    <w:rPr>
      <w:rFonts w:ascii="Cambria" w:eastAsia="Times New Roman" w:hAnsi="Cambria" w:cs="Times New Roman"/>
      <w:b/>
      <w:bCs/>
      <w:i/>
      <w:iCs/>
      <w:sz w:val="28"/>
      <w:szCs w:val="28"/>
      <w:lang w:val="en-US" w:eastAsia="en-US"/>
    </w:rPr>
  </w:style>
  <w:style w:type="character" w:customStyle="1" w:styleId="Heading3Char">
    <w:name w:val="Heading 3 Char"/>
    <w:link w:val="Heading3"/>
    <w:semiHidden/>
    <w:rsid w:val="008046EB"/>
    <w:rPr>
      <w:rFonts w:ascii="Cambria" w:eastAsia="Times New Roman" w:hAnsi="Cambria" w:cs="Times New Roman"/>
      <w:b/>
      <w:bCs/>
      <w:sz w:val="26"/>
      <w:szCs w:val="26"/>
      <w:lang w:val="en-US" w:eastAsia="en-US"/>
    </w:rPr>
  </w:style>
  <w:style w:type="paragraph" w:customStyle="1" w:styleId="PartiesCounselAgent">
    <w:name w:val="Parties/Counsel*/Agent"/>
    <w:basedOn w:val="Normal"/>
    <w:autoRedefine/>
    <w:rsid w:val="008046EB"/>
    <w:rPr>
      <w:rFonts w:ascii="Arial" w:hAnsi="Arial"/>
      <w:lang w:val="en-CA"/>
    </w:rPr>
  </w:style>
  <w:style w:type="paragraph" w:customStyle="1" w:styleId="APPEARANCES">
    <w:name w:val="APPEARANCES"/>
    <w:basedOn w:val="PartiesCounselAgent"/>
    <w:rsid w:val="008046EB"/>
    <w:rPr>
      <w:b/>
      <w:spacing w:val="40"/>
    </w:rPr>
  </w:style>
  <w:style w:type="paragraph" w:customStyle="1" w:styleId="Parties">
    <w:name w:val="Parties"/>
    <w:basedOn w:val="PartiesCounselAgent"/>
    <w:rsid w:val="008046EB"/>
    <w:rPr>
      <w:b/>
      <w:u w:val="single"/>
    </w:rPr>
  </w:style>
  <w:style w:type="paragraph" w:customStyle="1" w:styleId="CounselAgent">
    <w:name w:val="Counsel*/Agent"/>
    <w:basedOn w:val="PartiesCounselAgent"/>
    <w:rsid w:val="008046EB"/>
    <w:rPr>
      <w:b/>
      <w:u w:val="single"/>
    </w:rPr>
  </w:style>
  <w:style w:type="paragraph" w:customStyle="1" w:styleId="DecisionDeliveredby">
    <w:name w:val="Decision Delivered by"/>
    <w:basedOn w:val="PartiesCounselAgent"/>
    <w:autoRedefine/>
    <w:rsid w:val="00665DAE"/>
    <w:pPr>
      <w:ind w:right="573"/>
    </w:pPr>
    <w:rPr>
      <w:b/>
    </w:rPr>
  </w:style>
  <w:style w:type="paragraph" w:styleId="ListParagraph">
    <w:name w:val="List Paragraph"/>
    <w:basedOn w:val="List"/>
    <w:autoRedefine/>
    <w:uiPriority w:val="34"/>
    <w:qFormat/>
    <w:rsid w:val="008A1A0C"/>
    <w:pPr>
      <w:ind w:left="0" w:firstLine="0"/>
      <w:contextualSpacing w:val="0"/>
      <w:jc w:val="both"/>
    </w:pPr>
    <w:rPr>
      <w:rFonts w:ascii="Arial" w:hAnsi="Arial"/>
    </w:rPr>
  </w:style>
  <w:style w:type="paragraph" w:customStyle="1" w:styleId="Member">
    <w:name w:val="Member"/>
    <w:basedOn w:val="PartiesCounselAgent"/>
    <w:autoRedefine/>
    <w:rsid w:val="009A73F6"/>
    <w:pPr>
      <w:keepLines/>
      <w:ind w:left="5040"/>
    </w:pPr>
    <w:rPr>
      <w:i/>
    </w:rPr>
  </w:style>
  <w:style w:type="paragraph" w:customStyle="1" w:styleId="DecisionBody">
    <w:name w:val="DecisionBody"/>
    <w:autoRedefine/>
    <w:rsid w:val="00C5671C"/>
    <w:pPr>
      <w:widowControl w:val="0"/>
      <w:numPr>
        <w:numId w:val="31"/>
      </w:numPr>
      <w:spacing w:after="240" w:line="360" w:lineRule="auto"/>
      <w:ind w:left="0" w:firstLine="0"/>
    </w:pPr>
    <w:rPr>
      <w:rFonts w:ascii="Arial" w:hAnsi="Arial"/>
      <w:bCs/>
      <w:sz w:val="24"/>
      <w:szCs w:val="24"/>
      <w:lang w:eastAsia="en-US"/>
    </w:rPr>
  </w:style>
  <w:style w:type="paragraph" w:styleId="List">
    <w:name w:val="List"/>
    <w:basedOn w:val="Normal"/>
    <w:rsid w:val="008046EB"/>
    <w:pPr>
      <w:ind w:left="360" w:hanging="360"/>
      <w:contextualSpacing/>
    </w:pPr>
  </w:style>
  <w:style w:type="paragraph" w:customStyle="1" w:styleId="CaseNo">
    <w:name w:val="Case No"/>
    <w:basedOn w:val="Caption"/>
    <w:rsid w:val="008046EB"/>
    <w:pPr>
      <w:ind w:left="720"/>
      <w:jc w:val="right"/>
    </w:pPr>
    <w:rPr>
      <w:rFonts w:ascii="Arial" w:hAnsi="Arial" w:cs="Arial"/>
      <w:b w:val="0"/>
      <w:noProof/>
      <w:sz w:val="24"/>
      <w:szCs w:val="24"/>
      <w:lang w:val="en-CA"/>
    </w:rPr>
  </w:style>
  <w:style w:type="paragraph" w:styleId="Caption">
    <w:name w:val="caption"/>
    <w:basedOn w:val="Normal"/>
    <w:next w:val="Normal"/>
    <w:semiHidden/>
    <w:unhideWhenUsed/>
    <w:qFormat/>
    <w:rsid w:val="008046EB"/>
    <w:rPr>
      <w:b/>
      <w:bCs/>
      <w:sz w:val="20"/>
      <w:szCs w:val="20"/>
    </w:rPr>
  </w:style>
  <w:style w:type="table" w:styleId="TableGrid">
    <w:name w:val="Table Grid"/>
    <w:basedOn w:val="TableNormal"/>
    <w:rsid w:val="008046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5D1ED7"/>
    <w:rPr>
      <w:sz w:val="24"/>
      <w:szCs w:val="24"/>
      <w:lang w:val="en-US" w:eastAsia="en-US"/>
    </w:rPr>
  </w:style>
  <w:style w:type="paragraph" w:styleId="FootnoteText">
    <w:name w:val="footnote text"/>
    <w:basedOn w:val="Normal"/>
    <w:link w:val="FootnoteTextChar"/>
    <w:rsid w:val="00283370"/>
    <w:rPr>
      <w:sz w:val="20"/>
      <w:szCs w:val="20"/>
    </w:rPr>
  </w:style>
  <w:style w:type="character" w:customStyle="1" w:styleId="FootnoteTextChar">
    <w:name w:val="Footnote Text Char"/>
    <w:link w:val="FootnoteText"/>
    <w:rsid w:val="00283370"/>
    <w:rPr>
      <w:lang w:val="en-US" w:eastAsia="en-US"/>
    </w:rPr>
  </w:style>
  <w:style w:type="character" w:styleId="FootnoteReference">
    <w:name w:val="footnote reference"/>
    <w:rsid w:val="00283370"/>
    <w:rPr>
      <w:vertAlign w:val="superscript"/>
    </w:rPr>
  </w:style>
  <w:style w:type="character" w:customStyle="1" w:styleId="FooterChar">
    <w:name w:val="Footer Char"/>
    <w:link w:val="Footer"/>
    <w:uiPriority w:val="99"/>
    <w:rsid w:val="004850D0"/>
    <w:rPr>
      <w:rFonts w:ascii="Arial" w:hAnsi="Arial"/>
      <w:sz w:val="24"/>
      <w:szCs w:val="24"/>
      <w:lang w:val="en-US" w:eastAsia="en-US"/>
    </w:rPr>
  </w:style>
  <w:style w:type="character" w:styleId="CommentReference">
    <w:name w:val="annotation reference"/>
    <w:rsid w:val="005B2223"/>
    <w:rPr>
      <w:sz w:val="16"/>
      <w:szCs w:val="16"/>
    </w:rPr>
  </w:style>
  <w:style w:type="paragraph" w:styleId="CommentText">
    <w:name w:val="annotation text"/>
    <w:basedOn w:val="Normal"/>
    <w:link w:val="CommentTextChar"/>
    <w:rsid w:val="005B2223"/>
    <w:rPr>
      <w:sz w:val="20"/>
      <w:szCs w:val="20"/>
    </w:rPr>
  </w:style>
  <w:style w:type="character" w:customStyle="1" w:styleId="CommentTextChar">
    <w:name w:val="Comment Text Char"/>
    <w:link w:val="CommentText"/>
    <w:rsid w:val="005B2223"/>
    <w:rPr>
      <w:lang w:val="en-US" w:eastAsia="en-US"/>
    </w:rPr>
  </w:style>
  <w:style w:type="paragraph" w:styleId="CommentSubject">
    <w:name w:val="annotation subject"/>
    <w:basedOn w:val="CommentText"/>
    <w:next w:val="CommentText"/>
    <w:link w:val="CommentSubjectChar"/>
    <w:rsid w:val="005B2223"/>
    <w:rPr>
      <w:b/>
      <w:bCs/>
    </w:rPr>
  </w:style>
  <w:style w:type="character" w:customStyle="1" w:styleId="CommentSubjectChar">
    <w:name w:val="Comment Subject Char"/>
    <w:link w:val="CommentSubject"/>
    <w:rsid w:val="005B2223"/>
    <w:rPr>
      <w:b/>
      <w:bCs/>
      <w:lang w:val="en-US" w:eastAsia="en-US"/>
    </w:rPr>
  </w:style>
  <w:style w:type="character" w:customStyle="1" w:styleId="ombquoteChar">
    <w:name w:val="omb quote Char"/>
    <w:link w:val="ombquote"/>
    <w:locked/>
    <w:rsid w:val="006F6F82"/>
    <w:rPr>
      <w:rFonts w:ascii="Arial" w:hAnsi="Arial" w:cs="Arial"/>
    </w:rPr>
  </w:style>
  <w:style w:type="paragraph" w:customStyle="1" w:styleId="ombquote">
    <w:name w:val="omb quote"/>
    <w:basedOn w:val="Normal"/>
    <w:link w:val="ombquoteChar"/>
    <w:rsid w:val="006F6F82"/>
    <w:pPr>
      <w:spacing w:beforeLines="150"/>
      <w:ind w:left="1440"/>
    </w:pPr>
    <w:rPr>
      <w:rFonts w:ascii="Arial" w:hAnsi="Arial" w:cs="Arial"/>
      <w:sz w:val="20"/>
      <w:szCs w:val="20"/>
      <w:lang w:val="en-CA" w:eastAsia="en-CA"/>
    </w:rPr>
  </w:style>
  <w:style w:type="paragraph" w:customStyle="1" w:styleId="MemberSignature">
    <w:name w:val="Member Signature"/>
    <w:basedOn w:val="Member"/>
    <w:qFormat/>
    <w:rsid w:val="00022EAD"/>
    <w:pPr>
      <w:ind w:left="5041"/>
      <w:jc w:val="right"/>
    </w:pPr>
  </w:style>
  <w:style w:type="paragraph" w:customStyle="1" w:styleId="MemberSignatureNameandTitle">
    <w:name w:val="Member Signature Name and Title"/>
    <w:basedOn w:val="Member"/>
    <w:qFormat/>
    <w:rsid w:val="00022EAD"/>
    <w:pPr>
      <w:ind w:left="5041"/>
      <w:jc w:val="right"/>
    </w:pPr>
    <w:rPr>
      <w:i w:val="0"/>
      <w:caps/>
    </w:rPr>
  </w:style>
  <w:style w:type="character" w:styleId="PlaceholderText">
    <w:name w:val="Placeholder Text"/>
    <w:basedOn w:val="DefaultParagraphFont"/>
    <w:uiPriority w:val="99"/>
    <w:semiHidden/>
    <w:rsid w:val="00F206C1"/>
    <w:rPr>
      <w:color w:val="808080"/>
    </w:rPr>
  </w:style>
  <w:style w:type="paragraph" w:customStyle="1" w:styleId="AttachmentTextaboveFooter">
    <w:name w:val="Attachment Text above Footer"/>
    <w:basedOn w:val="Footer"/>
    <w:qFormat/>
    <w:rsid w:val="004850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05497">
      <w:bodyDiv w:val="1"/>
      <w:marLeft w:val="0"/>
      <w:marRight w:val="0"/>
      <w:marTop w:val="0"/>
      <w:marBottom w:val="0"/>
      <w:divBdr>
        <w:top w:val="none" w:sz="0" w:space="0" w:color="auto"/>
        <w:left w:val="none" w:sz="0" w:space="0" w:color="auto"/>
        <w:bottom w:val="none" w:sz="0" w:space="0" w:color="auto"/>
        <w:right w:val="none" w:sz="0" w:space="0" w:color="auto"/>
      </w:divBdr>
    </w:div>
    <w:div w:id="308294427">
      <w:bodyDiv w:val="1"/>
      <w:marLeft w:val="0"/>
      <w:marRight w:val="0"/>
      <w:marTop w:val="0"/>
      <w:marBottom w:val="0"/>
      <w:divBdr>
        <w:top w:val="none" w:sz="0" w:space="0" w:color="auto"/>
        <w:left w:val="none" w:sz="0" w:space="0" w:color="auto"/>
        <w:bottom w:val="none" w:sz="0" w:space="0" w:color="auto"/>
        <w:right w:val="none" w:sz="0" w:space="0" w:color="auto"/>
      </w:divBdr>
    </w:div>
    <w:div w:id="448474643">
      <w:bodyDiv w:val="1"/>
      <w:marLeft w:val="0"/>
      <w:marRight w:val="0"/>
      <w:marTop w:val="0"/>
      <w:marBottom w:val="0"/>
      <w:divBdr>
        <w:top w:val="none" w:sz="0" w:space="0" w:color="auto"/>
        <w:left w:val="none" w:sz="0" w:space="0" w:color="auto"/>
        <w:bottom w:val="none" w:sz="0" w:space="0" w:color="auto"/>
        <w:right w:val="none" w:sz="0" w:space="0" w:color="auto"/>
      </w:divBdr>
    </w:div>
    <w:div w:id="515576386">
      <w:bodyDiv w:val="1"/>
      <w:marLeft w:val="0"/>
      <w:marRight w:val="0"/>
      <w:marTop w:val="0"/>
      <w:marBottom w:val="0"/>
      <w:divBdr>
        <w:top w:val="none" w:sz="0" w:space="0" w:color="auto"/>
        <w:left w:val="none" w:sz="0" w:space="0" w:color="auto"/>
        <w:bottom w:val="none" w:sz="0" w:space="0" w:color="auto"/>
        <w:right w:val="none" w:sz="0" w:space="0" w:color="auto"/>
      </w:divBdr>
    </w:div>
    <w:div w:id="719131537">
      <w:bodyDiv w:val="1"/>
      <w:marLeft w:val="0"/>
      <w:marRight w:val="0"/>
      <w:marTop w:val="0"/>
      <w:marBottom w:val="0"/>
      <w:divBdr>
        <w:top w:val="none" w:sz="0" w:space="0" w:color="auto"/>
        <w:left w:val="none" w:sz="0" w:space="0" w:color="auto"/>
        <w:bottom w:val="none" w:sz="0" w:space="0" w:color="auto"/>
        <w:right w:val="none" w:sz="0" w:space="0" w:color="auto"/>
      </w:divBdr>
    </w:div>
    <w:div w:id="977341194">
      <w:bodyDiv w:val="1"/>
      <w:marLeft w:val="0"/>
      <w:marRight w:val="0"/>
      <w:marTop w:val="0"/>
      <w:marBottom w:val="0"/>
      <w:divBdr>
        <w:top w:val="none" w:sz="0" w:space="0" w:color="auto"/>
        <w:left w:val="none" w:sz="0" w:space="0" w:color="auto"/>
        <w:bottom w:val="none" w:sz="0" w:space="0" w:color="auto"/>
        <w:right w:val="none" w:sz="0" w:space="0" w:color="auto"/>
      </w:divBdr>
    </w:div>
    <w:div w:id="1040859229">
      <w:bodyDiv w:val="1"/>
      <w:marLeft w:val="0"/>
      <w:marRight w:val="0"/>
      <w:marTop w:val="0"/>
      <w:marBottom w:val="0"/>
      <w:divBdr>
        <w:top w:val="none" w:sz="0" w:space="0" w:color="auto"/>
        <w:left w:val="none" w:sz="0" w:space="0" w:color="auto"/>
        <w:bottom w:val="none" w:sz="0" w:space="0" w:color="auto"/>
        <w:right w:val="none" w:sz="0" w:space="0" w:color="auto"/>
      </w:divBdr>
    </w:div>
    <w:div w:id="1546480620">
      <w:bodyDiv w:val="1"/>
      <w:marLeft w:val="0"/>
      <w:marRight w:val="0"/>
      <w:marTop w:val="0"/>
      <w:marBottom w:val="0"/>
      <w:divBdr>
        <w:top w:val="none" w:sz="0" w:space="0" w:color="auto"/>
        <w:left w:val="none" w:sz="0" w:space="0" w:color="auto"/>
        <w:bottom w:val="none" w:sz="0" w:space="0" w:color="auto"/>
        <w:right w:val="none" w:sz="0" w:space="0" w:color="auto"/>
      </w:divBdr>
    </w:div>
    <w:div w:id="1806770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3D7D-A483-4339-8A33-1AEC90BED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697</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Publications (annual reports, brochures)</vt:lpstr>
    </vt:vector>
  </TitlesOfParts>
  <Company>Justice Enterprise</Company>
  <LinksUpToDate>false</LinksUpToDate>
  <CharactersWithSpaces>4359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Publications (annual reports, brochures)</dc:title>
  <dc:creator>Authorized User</dc:creator>
  <cp:lastModifiedBy>Pilon, Kelly (MAG)</cp:lastModifiedBy>
  <cp:revision>3</cp:revision>
  <cp:lastPrinted>2019-05-21T12:25:00Z</cp:lastPrinted>
  <dcterms:created xsi:type="dcterms:W3CDTF">2019-05-21T12:23:00Z</dcterms:created>
  <dcterms:modified xsi:type="dcterms:W3CDTF">2019-05-21T12:32:00Z</dcterms:modified>
</cp:coreProperties>
</file>