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6A60E1">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241BCA80" wp14:editId="593443F9">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6A60E1">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6A60E1">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6A60E1">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803125" w:rsidP="002159B4">
            <w:pPr>
              <w:rPr>
                <w:rFonts w:ascii="Arial" w:hAnsi="Arial" w:cs="Arial"/>
              </w:rPr>
            </w:pPr>
            <w:r>
              <w:rPr>
                <w:rFonts w:ascii="Arial" w:hAnsi="Arial" w:cs="Arial"/>
              </w:rPr>
              <w:t>March 15, 2019</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1C6B11" w:rsidP="00280925">
            <w:pPr>
              <w:jc w:val="right"/>
              <w:rPr>
                <w:rFonts w:ascii="Arial" w:hAnsi="Arial" w:cs="Arial"/>
              </w:rPr>
            </w:pPr>
            <w:r>
              <w:rPr>
                <w:rFonts w:ascii="Arial" w:hAnsi="Arial" w:cs="Arial"/>
              </w:rPr>
              <w:t>PL180766</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6A60E1">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tbl>
      <w:tblPr>
        <w:tblW w:w="10068" w:type="dxa"/>
        <w:tblLook w:val="04A0" w:firstRow="1" w:lastRow="0" w:firstColumn="1" w:lastColumn="0" w:noHBand="0" w:noVBand="1"/>
      </w:tblPr>
      <w:tblGrid>
        <w:gridCol w:w="3468"/>
        <w:gridCol w:w="6600"/>
      </w:tblGrid>
      <w:tr w:rsidR="006A60E1" w:rsidTr="006A60E1">
        <w:trPr>
          <w:cantSplit/>
          <w:trHeight w:val="732"/>
        </w:trPr>
        <w:tc>
          <w:tcPr>
            <w:tcW w:w="10068" w:type="dxa"/>
            <w:gridSpan w:val="2"/>
            <w:hideMark/>
          </w:tcPr>
          <w:p w:rsidR="006A60E1" w:rsidRPr="006A60E1" w:rsidRDefault="006A60E1">
            <w:pPr>
              <w:rPr>
                <w:rFonts w:ascii="Arial" w:hAnsi="Arial" w:cs="Arial"/>
              </w:rPr>
            </w:pPr>
            <w:r w:rsidRPr="006A60E1">
              <w:rPr>
                <w:rFonts w:ascii="Arial" w:hAnsi="Arial" w:cs="Arial"/>
                <w:b/>
              </w:rPr>
              <w:t xml:space="preserve">PROCEEDING COMMENCED UNDER </w:t>
            </w:r>
            <w:r w:rsidRPr="006A60E1">
              <w:rPr>
                <w:rFonts w:ascii="Arial" w:hAnsi="Arial" w:cs="Arial"/>
              </w:rPr>
              <w:t xml:space="preserve">subsection 45(12) of the </w:t>
            </w:r>
            <w:r w:rsidRPr="006A60E1">
              <w:rPr>
                <w:rFonts w:ascii="Arial" w:hAnsi="Arial" w:cs="Arial"/>
                <w:i/>
              </w:rPr>
              <w:t>Planning Act</w:t>
            </w:r>
            <w:r w:rsidRPr="006A60E1">
              <w:rPr>
                <w:rFonts w:ascii="Arial" w:hAnsi="Arial" w:cs="Arial"/>
              </w:rPr>
              <w:t>, R.S.O. 1990, c. P.13, as amended</w:t>
            </w:r>
          </w:p>
        </w:tc>
      </w:tr>
      <w:tr w:rsidR="006A60E1" w:rsidTr="006A60E1">
        <w:tc>
          <w:tcPr>
            <w:tcW w:w="3468" w:type="dxa"/>
            <w:hideMark/>
          </w:tcPr>
          <w:p w:rsidR="006A60E1" w:rsidRPr="006A60E1" w:rsidRDefault="006A60E1">
            <w:pPr>
              <w:rPr>
                <w:rFonts w:ascii="Arial" w:hAnsi="Arial" w:cs="Arial"/>
              </w:rPr>
            </w:pPr>
            <w:r w:rsidRPr="006A60E1">
              <w:rPr>
                <w:rFonts w:ascii="Arial" w:hAnsi="Arial" w:cs="Arial"/>
              </w:rPr>
              <w:t>Applicant and Appellant:</w:t>
            </w:r>
          </w:p>
        </w:tc>
        <w:tc>
          <w:tcPr>
            <w:tcW w:w="6600" w:type="dxa"/>
            <w:hideMark/>
          </w:tcPr>
          <w:p w:rsidR="006A60E1" w:rsidRPr="006A60E1" w:rsidRDefault="006A60E1" w:rsidP="006A60E1">
            <w:pPr>
              <w:ind w:left="927"/>
              <w:rPr>
                <w:rFonts w:ascii="Arial" w:hAnsi="Arial" w:cs="Arial"/>
              </w:rPr>
            </w:pPr>
            <w:r w:rsidRPr="006A60E1">
              <w:rPr>
                <w:rFonts w:ascii="Arial" w:hAnsi="Arial" w:cs="Arial"/>
              </w:rPr>
              <w:t xml:space="preserve">Tony </w:t>
            </w:r>
            <w:proofErr w:type="spellStart"/>
            <w:r w:rsidRPr="006A60E1">
              <w:rPr>
                <w:rFonts w:ascii="Arial" w:hAnsi="Arial" w:cs="Arial"/>
              </w:rPr>
              <w:t>Raposo</w:t>
            </w:r>
            <w:proofErr w:type="spellEnd"/>
          </w:p>
        </w:tc>
      </w:tr>
      <w:tr w:rsidR="006A60E1" w:rsidTr="006A60E1">
        <w:tc>
          <w:tcPr>
            <w:tcW w:w="3468" w:type="dxa"/>
            <w:hideMark/>
          </w:tcPr>
          <w:p w:rsidR="006A60E1" w:rsidRPr="006A60E1" w:rsidRDefault="006A60E1">
            <w:pPr>
              <w:rPr>
                <w:rFonts w:ascii="Arial" w:hAnsi="Arial" w:cs="Arial"/>
              </w:rPr>
            </w:pPr>
            <w:r w:rsidRPr="006A60E1">
              <w:rPr>
                <w:rFonts w:ascii="Arial" w:hAnsi="Arial" w:cs="Arial"/>
              </w:rPr>
              <w:t>Subject:</w:t>
            </w:r>
          </w:p>
        </w:tc>
        <w:tc>
          <w:tcPr>
            <w:tcW w:w="6600" w:type="dxa"/>
            <w:hideMark/>
          </w:tcPr>
          <w:p w:rsidR="006A60E1" w:rsidRPr="006A60E1" w:rsidRDefault="006A60E1" w:rsidP="006A60E1">
            <w:pPr>
              <w:ind w:left="927"/>
              <w:rPr>
                <w:rFonts w:ascii="Arial" w:hAnsi="Arial" w:cs="Arial"/>
              </w:rPr>
            </w:pPr>
            <w:r w:rsidRPr="006A60E1">
              <w:rPr>
                <w:rFonts w:ascii="Arial" w:hAnsi="Arial" w:cs="Arial"/>
              </w:rPr>
              <w:t>Minor Variance</w:t>
            </w:r>
          </w:p>
        </w:tc>
      </w:tr>
      <w:tr w:rsidR="006A60E1" w:rsidTr="006A60E1">
        <w:tc>
          <w:tcPr>
            <w:tcW w:w="3468" w:type="dxa"/>
            <w:hideMark/>
          </w:tcPr>
          <w:p w:rsidR="006A60E1" w:rsidRPr="006A60E1" w:rsidRDefault="006A60E1">
            <w:pPr>
              <w:rPr>
                <w:rFonts w:ascii="Arial" w:hAnsi="Arial" w:cs="Arial"/>
              </w:rPr>
            </w:pPr>
            <w:r w:rsidRPr="006A60E1">
              <w:rPr>
                <w:rFonts w:ascii="Arial" w:hAnsi="Arial" w:cs="Arial"/>
              </w:rPr>
              <w:t>Variance from By-law No.:</w:t>
            </w:r>
          </w:p>
        </w:tc>
        <w:tc>
          <w:tcPr>
            <w:tcW w:w="6600" w:type="dxa"/>
            <w:hideMark/>
          </w:tcPr>
          <w:p w:rsidR="006A60E1" w:rsidRPr="006A60E1" w:rsidRDefault="006A60E1" w:rsidP="006A60E1">
            <w:pPr>
              <w:ind w:left="927"/>
              <w:rPr>
                <w:rFonts w:ascii="Arial" w:hAnsi="Arial" w:cs="Arial"/>
              </w:rPr>
            </w:pPr>
            <w:r w:rsidRPr="006A60E1">
              <w:rPr>
                <w:rFonts w:ascii="Arial" w:hAnsi="Arial" w:cs="Arial"/>
              </w:rPr>
              <w:t>0225-2007</w:t>
            </w:r>
          </w:p>
        </w:tc>
      </w:tr>
      <w:tr w:rsidR="006A60E1" w:rsidTr="006A60E1">
        <w:tc>
          <w:tcPr>
            <w:tcW w:w="3468" w:type="dxa"/>
            <w:hideMark/>
          </w:tcPr>
          <w:p w:rsidR="006A60E1" w:rsidRPr="006A60E1" w:rsidRDefault="006A60E1">
            <w:pPr>
              <w:rPr>
                <w:rFonts w:ascii="Arial" w:hAnsi="Arial" w:cs="Arial"/>
              </w:rPr>
            </w:pPr>
            <w:r w:rsidRPr="006A60E1">
              <w:rPr>
                <w:rFonts w:ascii="Arial" w:hAnsi="Arial" w:cs="Arial"/>
              </w:rPr>
              <w:t xml:space="preserve">Property Address/Description: </w:t>
            </w:r>
          </w:p>
        </w:tc>
        <w:tc>
          <w:tcPr>
            <w:tcW w:w="6600" w:type="dxa"/>
            <w:hideMark/>
          </w:tcPr>
          <w:p w:rsidR="006A60E1" w:rsidRPr="006A60E1" w:rsidRDefault="006A60E1" w:rsidP="006A60E1">
            <w:pPr>
              <w:ind w:left="927"/>
              <w:rPr>
                <w:rFonts w:ascii="Arial" w:hAnsi="Arial" w:cs="Arial"/>
              </w:rPr>
            </w:pPr>
            <w:bookmarkStart w:id="1" w:name="_GoBack"/>
            <w:r w:rsidRPr="006A60E1">
              <w:rPr>
                <w:rFonts w:ascii="Arial" w:hAnsi="Arial" w:cs="Arial"/>
              </w:rPr>
              <w:t>170 Pinewood Trail</w:t>
            </w:r>
            <w:bookmarkEnd w:id="1"/>
          </w:p>
        </w:tc>
      </w:tr>
      <w:tr w:rsidR="006A60E1" w:rsidTr="006A60E1">
        <w:tc>
          <w:tcPr>
            <w:tcW w:w="3468" w:type="dxa"/>
            <w:hideMark/>
          </w:tcPr>
          <w:p w:rsidR="006A60E1" w:rsidRPr="006A60E1" w:rsidRDefault="006A60E1">
            <w:pPr>
              <w:rPr>
                <w:rFonts w:ascii="Arial" w:hAnsi="Arial" w:cs="Arial"/>
              </w:rPr>
            </w:pPr>
            <w:r w:rsidRPr="006A60E1">
              <w:rPr>
                <w:rFonts w:ascii="Arial" w:hAnsi="Arial" w:cs="Arial"/>
              </w:rPr>
              <w:t xml:space="preserve">Municipality: </w:t>
            </w:r>
          </w:p>
        </w:tc>
        <w:tc>
          <w:tcPr>
            <w:tcW w:w="6600" w:type="dxa"/>
            <w:hideMark/>
          </w:tcPr>
          <w:p w:rsidR="006A60E1" w:rsidRPr="006A60E1" w:rsidRDefault="006A60E1" w:rsidP="006A60E1">
            <w:pPr>
              <w:ind w:left="927"/>
              <w:rPr>
                <w:rFonts w:ascii="Arial" w:hAnsi="Arial" w:cs="Arial"/>
              </w:rPr>
            </w:pPr>
            <w:r w:rsidRPr="006A60E1">
              <w:rPr>
                <w:rFonts w:ascii="Arial" w:hAnsi="Arial" w:cs="Arial"/>
              </w:rPr>
              <w:t>City of Mississauga</w:t>
            </w:r>
          </w:p>
        </w:tc>
      </w:tr>
      <w:tr w:rsidR="006A60E1" w:rsidTr="006A60E1">
        <w:tc>
          <w:tcPr>
            <w:tcW w:w="3468" w:type="dxa"/>
            <w:hideMark/>
          </w:tcPr>
          <w:p w:rsidR="006A60E1" w:rsidRPr="006A60E1" w:rsidRDefault="006A60E1">
            <w:pPr>
              <w:rPr>
                <w:rFonts w:ascii="Arial" w:hAnsi="Arial" w:cs="Arial"/>
              </w:rPr>
            </w:pPr>
            <w:r w:rsidRPr="006A60E1">
              <w:rPr>
                <w:rFonts w:ascii="Arial" w:hAnsi="Arial" w:cs="Arial"/>
              </w:rPr>
              <w:t xml:space="preserve">Municipal File No.: </w:t>
            </w:r>
          </w:p>
        </w:tc>
        <w:tc>
          <w:tcPr>
            <w:tcW w:w="6600" w:type="dxa"/>
            <w:hideMark/>
          </w:tcPr>
          <w:p w:rsidR="006A60E1" w:rsidRPr="006A60E1" w:rsidRDefault="006A60E1" w:rsidP="006A60E1">
            <w:pPr>
              <w:ind w:left="927"/>
              <w:rPr>
                <w:rFonts w:ascii="Arial" w:hAnsi="Arial" w:cs="Arial"/>
              </w:rPr>
            </w:pPr>
            <w:r w:rsidRPr="006A60E1">
              <w:rPr>
                <w:rFonts w:ascii="Arial" w:hAnsi="Arial" w:cs="Arial"/>
              </w:rPr>
              <w:t>A306/18</w:t>
            </w:r>
          </w:p>
        </w:tc>
      </w:tr>
      <w:tr w:rsidR="006A60E1" w:rsidTr="006A60E1">
        <w:tc>
          <w:tcPr>
            <w:tcW w:w="3468" w:type="dxa"/>
            <w:hideMark/>
          </w:tcPr>
          <w:p w:rsidR="006A60E1" w:rsidRPr="006A60E1" w:rsidRDefault="006A60E1">
            <w:pPr>
              <w:rPr>
                <w:rFonts w:ascii="Arial" w:hAnsi="Arial" w:cs="Arial"/>
              </w:rPr>
            </w:pPr>
            <w:r w:rsidRPr="006A60E1">
              <w:rPr>
                <w:rFonts w:ascii="Arial" w:hAnsi="Arial" w:cs="Arial"/>
              </w:rPr>
              <w:t xml:space="preserve">OMB Case No.: </w:t>
            </w:r>
          </w:p>
        </w:tc>
        <w:tc>
          <w:tcPr>
            <w:tcW w:w="6600" w:type="dxa"/>
            <w:hideMark/>
          </w:tcPr>
          <w:p w:rsidR="006A60E1" w:rsidRPr="006A60E1" w:rsidRDefault="006A60E1" w:rsidP="006A60E1">
            <w:pPr>
              <w:ind w:left="927"/>
              <w:rPr>
                <w:rFonts w:ascii="Arial" w:hAnsi="Arial" w:cs="Arial"/>
              </w:rPr>
            </w:pPr>
            <w:r w:rsidRPr="006A60E1">
              <w:rPr>
                <w:rFonts w:ascii="Arial" w:hAnsi="Arial" w:cs="Arial"/>
              </w:rPr>
              <w:t>PL180766</w:t>
            </w:r>
          </w:p>
        </w:tc>
      </w:tr>
      <w:tr w:rsidR="006A60E1" w:rsidTr="006A60E1">
        <w:tc>
          <w:tcPr>
            <w:tcW w:w="3468" w:type="dxa"/>
            <w:hideMark/>
          </w:tcPr>
          <w:p w:rsidR="006A60E1" w:rsidRPr="006A60E1" w:rsidRDefault="006A60E1">
            <w:pPr>
              <w:rPr>
                <w:rFonts w:ascii="Arial" w:hAnsi="Arial" w:cs="Arial"/>
              </w:rPr>
            </w:pPr>
            <w:r w:rsidRPr="006A60E1">
              <w:rPr>
                <w:rFonts w:ascii="Arial" w:hAnsi="Arial" w:cs="Arial"/>
              </w:rPr>
              <w:t xml:space="preserve">OMB File No.: </w:t>
            </w:r>
          </w:p>
        </w:tc>
        <w:tc>
          <w:tcPr>
            <w:tcW w:w="6600" w:type="dxa"/>
            <w:hideMark/>
          </w:tcPr>
          <w:p w:rsidR="006A60E1" w:rsidRPr="006A60E1" w:rsidRDefault="006A60E1" w:rsidP="006A60E1">
            <w:pPr>
              <w:ind w:left="927"/>
              <w:rPr>
                <w:rFonts w:ascii="Arial" w:hAnsi="Arial" w:cs="Arial"/>
              </w:rPr>
            </w:pPr>
            <w:r w:rsidRPr="006A60E1">
              <w:rPr>
                <w:rFonts w:ascii="Arial" w:hAnsi="Arial" w:cs="Arial"/>
              </w:rPr>
              <w:t>PL180766</w:t>
            </w:r>
          </w:p>
        </w:tc>
      </w:tr>
      <w:tr w:rsidR="006A60E1" w:rsidTr="006A60E1">
        <w:tc>
          <w:tcPr>
            <w:tcW w:w="3468" w:type="dxa"/>
            <w:hideMark/>
          </w:tcPr>
          <w:p w:rsidR="006A60E1" w:rsidRPr="006A60E1" w:rsidRDefault="006A60E1">
            <w:pPr>
              <w:rPr>
                <w:rFonts w:ascii="Arial" w:hAnsi="Arial" w:cs="Arial"/>
              </w:rPr>
            </w:pPr>
            <w:r w:rsidRPr="006A60E1">
              <w:rPr>
                <w:rFonts w:ascii="Arial" w:hAnsi="Arial" w:cs="Arial"/>
              </w:rPr>
              <w:t xml:space="preserve">OMB Case Name: </w:t>
            </w:r>
          </w:p>
        </w:tc>
        <w:tc>
          <w:tcPr>
            <w:tcW w:w="6600" w:type="dxa"/>
            <w:hideMark/>
          </w:tcPr>
          <w:p w:rsidR="006A60E1" w:rsidRPr="006A60E1" w:rsidRDefault="006A60E1" w:rsidP="006A60E1">
            <w:pPr>
              <w:ind w:left="927"/>
              <w:rPr>
                <w:rFonts w:ascii="Arial" w:hAnsi="Arial" w:cs="Arial"/>
              </w:rPr>
            </w:pPr>
            <w:proofErr w:type="spellStart"/>
            <w:r w:rsidRPr="006A60E1">
              <w:rPr>
                <w:rFonts w:ascii="Arial" w:hAnsi="Arial" w:cs="Arial"/>
              </w:rPr>
              <w:t>Raposo</w:t>
            </w:r>
            <w:proofErr w:type="spellEnd"/>
            <w:r w:rsidRPr="006A60E1">
              <w:rPr>
                <w:rFonts w:ascii="Arial" w:hAnsi="Arial" w:cs="Arial"/>
              </w:rPr>
              <w:t xml:space="preserve"> v. Mississauga (City)</w:t>
            </w:r>
          </w:p>
        </w:tc>
      </w:tr>
    </w:tbl>
    <w:p w:rsidR="00F46275" w:rsidRDefault="00F46275"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6A60E1">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1C6B11" w:rsidP="006A60E1">
            <w:pPr>
              <w:rPr>
                <w:rFonts w:ascii="Arial" w:hAnsi="Arial" w:cs="Arial"/>
              </w:rPr>
            </w:pPr>
            <w:r>
              <w:rPr>
                <w:rFonts w:ascii="Arial" w:hAnsi="Arial" w:cs="Arial"/>
              </w:rPr>
              <w:t>February 25, 2019 in Mississauga, Ontario</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6A60E1">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034710">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034710">
        <w:tc>
          <w:tcPr>
            <w:tcW w:w="4361"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rsidR="008046EB" w:rsidRPr="00C940BC" w:rsidRDefault="008046EB" w:rsidP="006A60E1">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rsidTr="00034710">
        <w:tc>
          <w:tcPr>
            <w:tcW w:w="4361" w:type="dxa"/>
          </w:tcPr>
          <w:p w:rsidR="00CF3F96" w:rsidRPr="001E764F" w:rsidRDefault="00CF3F96" w:rsidP="00270AAE">
            <w:pPr>
              <w:rPr>
                <w:rFonts w:ascii="Arial" w:hAnsi="Arial" w:cs="Arial"/>
              </w:rPr>
            </w:pPr>
          </w:p>
        </w:tc>
        <w:tc>
          <w:tcPr>
            <w:tcW w:w="5245" w:type="dxa"/>
          </w:tcPr>
          <w:p w:rsidR="00CF3F96" w:rsidRPr="001D67CE" w:rsidRDefault="00CF3F96" w:rsidP="00270AAE">
            <w:pPr>
              <w:rPr>
                <w:rFonts w:ascii="Arial" w:hAnsi="Arial" w:cs="Arial"/>
              </w:rPr>
            </w:pPr>
          </w:p>
        </w:tc>
      </w:tr>
      <w:tr w:rsidR="001D67CE" w:rsidRPr="001E764F" w:rsidTr="00034710">
        <w:tc>
          <w:tcPr>
            <w:tcW w:w="4361" w:type="dxa"/>
          </w:tcPr>
          <w:p w:rsidR="001D67CE" w:rsidRPr="001E764F" w:rsidRDefault="001D6DA4" w:rsidP="00270AAE">
            <w:pPr>
              <w:rPr>
                <w:rFonts w:ascii="Arial" w:hAnsi="Arial" w:cs="Arial"/>
              </w:rPr>
            </w:pPr>
            <w:r>
              <w:rPr>
                <w:rFonts w:ascii="Arial" w:hAnsi="Arial" w:cs="Arial"/>
              </w:rPr>
              <w:t xml:space="preserve"> </w:t>
            </w:r>
            <w:r w:rsidR="001C6B11">
              <w:rPr>
                <w:rFonts w:ascii="Arial" w:hAnsi="Arial" w:cs="Arial"/>
              </w:rPr>
              <w:t xml:space="preserve">Tony </w:t>
            </w:r>
            <w:proofErr w:type="spellStart"/>
            <w:r w:rsidR="001C6B11">
              <w:rPr>
                <w:rFonts w:ascii="Arial" w:hAnsi="Arial" w:cs="Arial"/>
              </w:rPr>
              <w:t>Raposo</w:t>
            </w:r>
            <w:proofErr w:type="spellEnd"/>
          </w:p>
        </w:tc>
        <w:tc>
          <w:tcPr>
            <w:tcW w:w="5245" w:type="dxa"/>
          </w:tcPr>
          <w:p w:rsidR="001D67CE" w:rsidRPr="001D67CE" w:rsidRDefault="001C6B11" w:rsidP="006A60E1">
            <w:pPr>
              <w:rPr>
                <w:rFonts w:ascii="Arial" w:hAnsi="Arial" w:cs="Arial"/>
              </w:rPr>
            </w:pPr>
            <w:r>
              <w:rPr>
                <w:rFonts w:ascii="Arial" w:hAnsi="Arial" w:cs="Arial"/>
              </w:rPr>
              <w:t xml:space="preserve">Jennifer </w:t>
            </w:r>
            <w:proofErr w:type="spellStart"/>
            <w:r>
              <w:rPr>
                <w:rFonts w:ascii="Arial" w:hAnsi="Arial" w:cs="Arial"/>
              </w:rPr>
              <w:t>Meader</w:t>
            </w:r>
            <w:proofErr w:type="spellEnd"/>
          </w:p>
        </w:tc>
      </w:tr>
    </w:tbl>
    <w:p w:rsidR="00034710" w:rsidRDefault="00034710" w:rsidP="006A60E1">
      <w:pPr>
        <w:pStyle w:val="Heading1"/>
        <w:spacing w:line="240" w:lineRule="auto"/>
      </w:pPr>
    </w:p>
    <w:p w:rsidR="00720DC5" w:rsidRDefault="00400A7D" w:rsidP="006A60E1">
      <w:pPr>
        <w:pStyle w:val="Heading1"/>
        <w:spacing w:line="240" w:lineRule="auto"/>
        <w:rPr>
          <w:b w:val="0"/>
        </w:rPr>
      </w:pPr>
      <w:r w:rsidRPr="006A60E1">
        <w:t xml:space="preserve">MEMORANDUM OF ORAL DECISION DELIVERED BY RICHARD </w:t>
      </w:r>
      <w:r w:rsidR="007C4F6A" w:rsidRPr="006A60E1">
        <w:t xml:space="preserve">JONES ON </w:t>
      </w:r>
      <w:r w:rsidR="007C4F6A" w:rsidRPr="006A60E1">
        <w:rPr>
          <w:u w:val="single"/>
        </w:rPr>
        <w:t>FEBRUARY 25, 2019 AND ORDER OF the TRIBUNAL</w:t>
      </w:r>
      <w:r w:rsidR="006A60E1">
        <w:rPr>
          <w:u w:val="single"/>
        </w:rPr>
        <w:tab/>
      </w:r>
      <w:r w:rsidR="006A60E1">
        <w:rPr>
          <w:u w:val="single"/>
        </w:rPr>
        <w:tab/>
      </w:r>
      <w:r w:rsidR="006A60E1">
        <w:rPr>
          <w:u w:val="single"/>
        </w:rPr>
        <w:tab/>
      </w:r>
      <w:r w:rsidR="006A60E1">
        <w:rPr>
          <w:u w:val="single"/>
        </w:rPr>
        <w:tab/>
      </w:r>
    </w:p>
    <w:p w:rsidR="006C3E23" w:rsidRDefault="006C3E23" w:rsidP="006C3E23"/>
    <w:p w:rsidR="006C3E23" w:rsidRPr="006A60E1" w:rsidRDefault="00936A9C" w:rsidP="006A60E1">
      <w:pPr>
        <w:pStyle w:val="ListParagraph"/>
        <w:spacing w:beforeLines="150" w:before="360" w:afterLines="150" w:after="360" w:line="360" w:lineRule="auto"/>
        <w:rPr>
          <w:rFonts w:cs="Arial"/>
          <w:b/>
        </w:rPr>
      </w:pPr>
      <w:r w:rsidRPr="006A60E1">
        <w:rPr>
          <w:rFonts w:cs="Arial"/>
          <w:b/>
        </w:rPr>
        <w:t xml:space="preserve">THE </w:t>
      </w:r>
      <w:r w:rsidR="00DC5D47" w:rsidRPr="006A60E1">
        <w:rPr>
          <w:rFonts w:cs="Arial"/>
          <w:b/>
        </w:rPr>
        <w:t>EVIDENCE</w:t>
      </w:r>
      <w:r w:rsidRPr="006A60E1">
        <w:rPr>
          <w:rFonts w:cs="Arial"/>
          <w:b/>
        </w:rPr>
        <w:t xml:space="preserve"> WHICH ALLOWED</w:t>
      </w:r>
      <w:r w:rsidR="006C3E23" w:rsidRPr="006A60E1">
        <w:rPr>
          <w:rFonts w:cs="Arial"/>
          <w:b/>
        </w:rPr>
        <w:t xml:space="preserve"> THE APPEAL</w:t>
      </w:r>
    </w:p>
    <w:p w:rsidR="007C4F6A" w:rsidRPr="006A60E1" w:rsidRDefault="007C4F6A"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 xml:space="preserve"> David </w:t>
      </w:r>
      <w:proofErr w:type="spellStart"/>
      <w:r w:rsidRPr="006A60E1">
        <w:rPr>
          <w:rFonts w:cs="Arial"/>
        </w:rPr>
        <w:t>Raposo</w:t>
      </w:r>
      <w:proofErr w:type="spellEnd"/>
      <w:r w:rsidRPr="006A60E1">
        <w:rPr>
          <w:rFonts w:cs="Arial"/>
        </w:rPr>
        <w:t xml:space="preserve"> </w:t>
      </w:r>
      <w:r w:rsidR="006A60E1">
        <w:rPr>
          <w:rFonts w:cs="Arial"/>
        </w:rPr>
        <w:t>(“</w:t>
      </w:r>
      <w:r w:rsidR="006A60E1" w:rsidRPr="006A60E1">
        <w:rPr>
          <w:rFonts w:cs="Arial"/>
        </w:rPr>
        <w:t>Applicant/Appellant</w:t>
      </w:r>
      <w:r w:rsidR="0054304B">
        <w:rPr>
          <w:rFonts w:cs="Arial"/>
        </w:rPr>
        <w:t>”</w:t>
      </w:r>
      <w:r w:rsidR="006A60E1">
        <w:rPr>
          <w:rFonts w:cs="Arial"/>
        </w:rPr>
        <w:t xml:space="preserve">) </w:t>
      </w:r>
      <w:r w:rsidRPr="006A60E1">
        <w:rPr>
          <w:rFonts w:cs="Arial"/>
        </w:rPr>
        <w:t>made application to the City of Mississauga Committee of Adjustment (</w:t>
      </w:r>
      <w:r w:rsidR="006A60E1">
        <w:rPr>
          <w:rFonts w:cs="Arial"/>
        </w:rPr>
        <w:t>“</w:t>
      </w:r>
      <w:r w:rsidRPr="006A60E1">
        <w:rPr>
          <w:rFonts w:cs="Arial"/>
        </w:rPr>
        <w:t>COA</w:t>
      </w:r>
      <w:r w:rsidR="006A60E1">
        <w:rPr>
          <w:rFonts w:cs="Arial"/>
        </w:rPr>
        <w:t>”</w:t>
      </w:r>
      <w:r w:rsidRPr="006A60E1">
        <w:rPr>
          <w:rFonts w:cs="Arial"/>
        </w:rPr>
        <w:t xml:space="preserve">) to allow six variances in relationship to </w:t>
      </w:r>
      <w:r w:rsidRPr="006A60E1">
        <w:rPr>
          <w:rFonts w:cs="Arial"/>
        </w:rPr>
        <w:lastRenderedPageBreak/>
        <w:t>construction of a replacement home for his property described municipally as 170 Pinewood Trail (</w:t>
      </w:r>
      <w:r w:rsidR="006A60E1">
        <w:rPr>
          <w:rFonts w:cs="Arial"/>
        </w:rPr>
        <w:t>“</w:t>
      </w:r>
      <w:r w:rsidRPr="006A60E1">
        <w:rPr>
          <w:rFonts w:cs="Arial"/>
        </w:rPr>
        <w:t>subject lands</w:t>
      </w:r>
      <w:r w:rsidR="006A60E1">
        <w:rPr>
          <w:rFonts w:cs="Arial"/>
        </w:rPr>
        <w:t>”</w:t>
      </w:r>
      <w:r w:rsidRPr="006A60E1">
        <w:rPr>
          <w:rFonts w:cs="Arial"/>
        </w:rPr>
        <w:t>).</w:t>
      </w:r>
    </w:p>
    <w:p w:rsidR="007C4F6A" w:rsidRPr="006A60E1" w:rsidRDefault="007C4F6A"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 xml:space="preserve">His application was denied by the COA and </w:t>
      </w:r>
      <w:r w:rsidR="00936A9C" w:rsidRPr="006A60E1">
        <w:rPr>
          <w:rFonts w:cs="Arial"/>
        </w:rPr>
        <w:t>subsequently</w:t>
      </w:r>
      <w:r w:rsidRPr="006A60E1">
        <w:rPr>
          <w:rFonts w:cs="Arial"/>
        </w:rPr>
        <w:t xml:space="preserve"> appealed to the Tribunal. </w:t>
      </w:r>
      <w:r w:rsidR="00E4758A">
        <w:rPr>
          <w:rFonts w:cs="Arial"/>
        </w:rPr>
        <w:t xml:space="preserve">The variances before the Tribunal are those same variances denied by the COA.   </w:t>
      </w:r>
    </w:p>
    <w:p w:rsidR="007C4F6A" w:rsidRPr="006A60E1" w:rsidRDefault="007C4F6A"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 xml:space="preserve">The City of Mississauga </w:t>
      </w:r>
      <w:r w:rsidR="005A1CE3" w:rsidRPr="006A60E1">
        <w:rPr>
          <w:rFonts w:cs="Arial"/>
        </w:rPr>
        <w:t>(</w:t>
      </w:r>
      <w:r w:rsidR="006A60E1">
        <w:rPr>
          <w:rFonts w:cs="Arial"/>
        </w:rPr>
        <w:t>“</w:t>
      </w:r>
      <w:r w:rsidR="005A1CE3" w:rsidRPr="006A60E1">
        <w:rPr>
          <w:rFonts w:cs="Arial"/>
        </w:rPr>
        <w:t>City</w:t>
      </w:r>
      <w:r w:rsidR="006A60E1">
        <w:rPr>
          <w:rFonts w:cs="Arial"/>
        </w:rPr>
        <w:t>”</w:t>
      </w:r>
      <w:r w:rsidR="005A1CE3" w:rsidRPr="006A60E1">
        <w:rPr>
          <w:rFonts w:cs="Arial"/>
        </w:rPr>
        <w:t xml:space="preserve">) </w:t>
      </w:r>
      <w:r w:rsidRPr="006A60E1">
        <w:rPr>
          <w:rFonts w:cs="Arial"/>
        </w:rPr>
        <w:t>did not appear at the hearing and the Tribunal notes that the City’s planning staff supported the application in their recommendation to the COA dated July 27, 2018 (</w:t>
      </w:r>
      <w:r w:rsidR="006A60E1">
        <w:rPr>
          <w:rFonts w:cs="Arial"/>
        </w:rPr>
        <w:t>T</w:t>
      </w:r>
      <w:r w:rsidRPr="006A60E1">
        <w:rPr>
          <w:rFonts w:cs="Arial"/>
        </w:rPr>
        <w:t>ab 11, Exhibit 1).</w:t>
      </w:r>
    </w:p>
    <w:p w:rsidR="005A1CE3" w:rsidRPr="006A60E1" w:rsidRDefault="005A1CE3"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The Tribunal in its</w:t>
      </w:r>
      <w:r w:rsidR="007C4F6A" w:rsidRPr="006A60E1">
        <w:rPr>
          <w:rFonts w:cs="Arial"/>
        </w:rPr>
        <w:t xml:space="preserve"> oral decision allowed the appeal on the basis of the uncontest</w:t>
      </w:r>
      <w:r w:rsidR="00936A9C" w:rsidRPr="006A60E1">
        <w:rPr>
          <w:rFonts w:cs="Arial"/>
        </w:rPr>
        <w:t>ed pl</w:t>
      </w:r>
      <w:r w:rsidR="00DC5D47" w:rsidRPr="006A60E1">
        <w:rPr>
          <w:rFonts w:cs="Arial"/>
        </w:rPr>
        <w:t>anning testimony which affirmed to the Tribunal’s satisfaction</w:t>
      </w:r>
      <w:r w:rsidR="007C4F6A" w:rsidRPr="006A60E1">
        <w:rPr>
          <w:rFonts w:cs="Arial"/>
        </w:rPr>
        <w:t xml:space="preserve"> that </w:t>
      </w:r>
      <w:r w:rsidRPr="006A60E1">
        <w:rPr>
          <w:rFonts w:cs="Arial"/>
        </w:rPr>
        <w:t xml:space="preserve">the variances </w:t>
      </w:r>
      <w:r w:rsidR="007C4F6A" w:rsidRPr="006A60E1">
        <w:rPr>
          <w:rFonts w:cs="Arial"/>
        </w:rPr>
        <w:t>arose from the proposed const</w:t>
      </w:r>
      <w:r w:rsidRPr="006A60E1">
        <w:rPr>
          <w:rFonts w:cs="Arial"/>
        </w:rPr>
        <w:t>ruction of a below grade garage, which because of the terminology</w:t>
      </w:r>
      <w:r w:rsidR="007D4726" w:rsidRPr="006A60E1">
        <w:rPr>
          <w:rFonts w:cs="Arial"/>
        </w:rPr>
        <w:t xml:space="preserve"> of the City’s </w:t>
      </w:r>
      <w:r w:rsidRPr="006A60E1">
        <w:rPr>
          <w:rFonts w:cs="Arial"/>
        </w:rPr>
        <w:t xml:space="preserve"> Zon</w:t>
      </w:r>
      <w:r w:rsidR="00936A9C" w:rsidRPr="006A60E1">
        <w:rPr>
          <w:rFonts w:cs="Arial"/>
        </w:rPr>
        <w:t>ing By-</w:t>
      </w:r>
      <w:r w:rsidRPr="006A60E1">
        <w:rPr>
          <w:rFonts w:cs="Arial"/>
        </w:rPr>
        <w:t xml:space="preserve">law </w:t>
      </w:r>
      <w:r w:rsidR="006A60E1">
        <w:rPr>
          <w:rFonts w:cs="Arial"/>
        </w:rPr>
        <w:t xml:space="preserve">No. </w:t>
      </w:r>
      <w:r w:rsidRPr="006A60E1">
        <w:rPr>
          <w:rFonts w:cs="Arial"/>
        </w:rPr>
        <w:t>0225-2007 (</w:t>
      </w:r>
      <w:r w:rsidR="006A60E1">
        <w:rPr>
          <w:rFonts w:cs="Arial"/>
        </w:rPr>
        <w:t>“</w:t>
      </w:r>
      <w:r w:rsidRPr="006A60E1">
        <w:rPr>
          <w:rFonts w:cs="Arial"/>
        </w:rPr>
        <w:t>ZB</w:t>
      </w:r>
      <w:r w:rsidR="006A60E1">
        <w:rPr>
          <w:rFonts w:cs="Arial"/>
        </w:rPr>
        <w:t>”</w:t>
      </w:r>
      <w:r w:rsidRPr="006A60E1">
        <w:rPr>
          <w:rFonts w:cs="Arial"/>
        </w:rPr>
        <w:t>) includes subterranean garage space as if it were a visible, above grad</w:t>
      </w:r>
      <w:r w:rsidR="00936A9C" w:rsidRPr="006A60E1">
        <w:rPr>
          <w:rFonts w:cs="Arial"/>
        </w:rPr>
        <w:t>e, structural  presence on</w:t>
      </w:r>
      <w:r w:rsidR="00260BD4" w:rsidRPr="006A60E1">
        <w:rPr>
          <w:rFonts w:cs="Arial"/>
        </w:rPr>
        <w:t xml:space="preserve"> the subject lands </w:t>
      </w:r>
      <w:r w:rsidR="00F75807" w:rsidRPr="006A60E1">
        <w:rPr>
          <w:rFonts w:cs="Arial"/>
        </w:rPr>
        <w:t>contributing</w:t>
      </w:r>
      <w:r w:rsidR="00936A9C" w:rsidRPr="006A60E1">
        <w:rPr>
          <w:rFonts w:cs="Arial"/>
        </w:rPr>
        <w:t xml:space="preserve"> to zoning calculations applicable to gross floor area, lot coverage, above grade garage area, front yard setbacks and dwelling depth.</w:t>
      </w:r>
      <w:r w:rsidRPr="006A60E1">
        <w:rPr>
          <w:rFonts w:cs="Arial"/>
        </w:rPr>
        <w:t xml:space="preserve"> </w:t>
      </w:r>
    </w:p>
    <w:p w:rsidR="00AC3BD2" w:rsidRPr="006A60E1" w:rsidRDefault="005A1CE3"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 xml:space="preserve">In further </w:t>
      </w:r>
      <w:r w:rsidR="00936A9C" w:rsidRPr="006A60E1">
        <w:rPr>
          <w:rFonts w:cs="Arial"/>
        </w:rPr>
        <w:t>explanation</w:t>
      </w:r>
      <w:r w:rsidRPr="006A60E1">
        <w:rPr>
          <w:rFonts w:cs="Arial"/>
        </w:rPr>
        <w:t xml:space="preserve"> of this </w:t>
      </w:r>
      <w:r w:rsidR="00AC3BD2" w:rsidRPr="006A60E1">
        <w:rPr>
          <w:rFonts w:cs="Arial"/>
        </w:rPr>
        <w:t>partic</w:t>
      </w:r>
      <w:r w:rsidR="00936A9C" w:rsidRPr="006A60E1">
        <w:rPr>
          <w:rFonts w:cs="Arial"/>
        </w:rPr>
        <w:t xml:space="preserve">ular zoning related </w:t>
      </w:r>
      <w:r w:rsidR="00DC5D47" w:rsidRPr="006A60E1">
        <w:rPr>
          <w:rFonts w:cs="Arial"/>
        </w:rPr>
        <w:t>requirement,</w:t>
      </w:r>
      <w:r w:rsidRPr="006A60E1">
        <w:rPr>
          <w:rFonts w:cs="Arial"/>
        </w:rPr>
        <w:t xml:space="preserve"> </w:t>
      </w:r>
      <w:r w:rsidR="00AC3BD2" w:rsidRPr="006A60E1">
        <w:rPr>
          <w:rFonts w:cs="Arial"/>
        </w:rPr>
        <w:t xml:space="preserve">Attachment 1, </w:t>
      </w:r>
      <w:r w:rsidR="00936A9C" w:rsidRPr="006A60E1">
        <w:rPr>
          <w:rFonts w:cs="Arial"/>
        </w:rPr>
        <w:t>extracted</w:t>
      </w:r>
      <w:r w:rsidR="00AC3BD2" w:rsidRPr="006A60E1">
        <w:rPr>
          <w:rFonts w:cs="Arial"/>
        </w:rPr>
        <w:t xml:space="preserve"> from </w:t>
      </w:r>
      <w:r w:rsidR="0054304B">
        <w:rPr>
          <w:rFonts w:cs="Arial"/>
        </w:rPr>
        <w:t>T</w:t>
      </w:r>
      <w:r w:rsidR="00AC3BD2" w:rsidRPr="006A60E1">
        <w:rPr>
          <w:rFonts w:cs="Arial"/>
        </w:rPr>
        <w:t>ab 9, Exhibit 1</w:t>
      </w:r>
      <w:r w:rsidR="00DC5D47" w:rsidRPr="006A60E1">
        <w:rPr>
          <w:rFonts w:cs="Arial"/>
        </w:rPr>
        <w:t>,</w:t>
      </w:r>
      <w:r w:rsidR="00AC3BD2" w:rsidRPr="006A60E1">
        <w:rPr>
          <w:rFonts w:cs="Arial"/>
        </w:rPr>
        <w:t xml:space="preserve"> has been appended to illustrate the </w:t>
      </w:r>
      <w:r w:rsidR="000D5534" w:rsidRPr="006A60E1">
        <w:rPr>
          <w:rFonts w:cs="Arial"/>
        </w:rPr>
        <w:t xml:space="preserve">additional </w:t>
      </w:r>
      <w:r w:rsidR="00AC3BD2" w:rsidRPr="006A60E1">
        <w:rPr>
          <w:rFonts w:cs="Arial"/>
        </w:rPr>
        <w:t>numerical</w:t>
      </w:r>
      <w:r w:rsidR="00880BBD" w:rsidRPr="006A60E1">
        <w:rPr>
          <w:rFonts w:cs="Arial"/>
        </w:rPr>
        <w:t xml:space="preserve"> contrib</w:t>
      </w:r>
      <w:r w:rsidR="000D5534" w:rsidRPr="006A60E1">
        <w:rPr>
          <w:rFonts w:cs="Arial"/>
        </w:rPr>
        <w:t>ution of the proposed</w:t>
      </w:r>
      <w:r w:rsidR="00936A9C" w:rsidRPr="006A60E1">
        <w:rPr>
          <w:rFonts w:cs="Arial"/>
        </w:rPr>
        <w:t xml:space="preserve"> subterranean g</w:t>
      </w:r>
      <w:r w:rsidR="00880BBD" w:rsidRPr="006A60E1">
        <w:rPr>
          <w:rFonts w:cs="Arial"/>
        </w:rPr>
        <w:t xml:space="preserve">arage space in comparison with values which exclude that below grade </w:t>
      </w:r>
      <w:r w:rsidR="00260BD4" w:rsidRPr="006A60E1">
        <w:rPr>
          <w:rFonts w:cs="Arial"/>
        </w:rPr>
        <w:t>garage space for each variance.</w:t>
      </w:r>
      <w:r w:rsidR="00880BBD" w:rsidRPr="006A60E1">
        <w:rPr>
          <w:rFonts w:cs="Arial"/>
        </w:rPr>
        <w:t xml:space="preserve"> Attachment 1 revealed</w:t>
      </w:r>
      <w:r w:rsidR="00AC3BD2" w:rsidRPr="006A60E1">
        <w:rPr>
          <w:rFonts w:cs="Arial"/>
        </w:rPr>
        <w:t xml:space="preserve"> a distinct, and in the Tribunal’s view</w:t>
      </w:r>
      <w:r w:rsidR="006C3E23" w:rsidRPr="006A60E1">
        <w:rPr>
          <w:rFonts w:cs="Arial"/>
        </w:rPr>
        <w:t>,</w:t>
      </w:r>
      <w:r w:rsidR="00AC3BD2" w:rsidRPr="006A60E1">
        <w:rPr>
          <w:rFonts w:cs="Arial"/>
        </w:rPr>
        <w:t xml:space="preserve"> compelling difference</w:t>
      </w:r>
      <w:r w:rsidR="000D5534" w:rsidRPr="006A60E1">
        <w:rPr>
          <w:rFonts w:cs="Arial"/>
        </w:rPr>
        <w:t xml:space="preserve"> between the two</w:t>
      </w:r>
      <w:r w:rsidR="000B2A24" w:rsidRPr="006A60E1">
        <w:rPr>
          <w:rFonts w:cs="Arial"/>
        </w:rPr>
        <w:t xml:space="preserve"> </w:t>
      </w:r>
      <w:r w:rsidR="00AC3BD2" w:rsidRPr="006A60E1">
        <w:rPr>
          <w:rFonts w:cs="Arial"/>
        </w:rPr>
        <w:t>columns of variance</w:t>
      </w:r>
      <w:r w:rsidR="00C1239D" w:rsidRPr="006A60E1">
        <w:rPr>
          <w:rFonts w:cs="Arial"/>
        </w:rPr>
        <w:t>s</w:t>
      </w:r>
      <w:r w:rsidR="000D5534" w:rsidRPr="006A60E1">
        <w:rPr>
          <w:rFonts w:cs="Arial"/>
        </w:rPr>
        <w:t xml:space="preserve"> as follows</w:t>
      </w:r>
      <w:r w:rsidR="00AC3BD2" w:rsidRPr="006A60E1">
        <w:rPr>
          <w:rFonts w:cs="Arial"/>
        </w:rPr>
        <w:t>:</w:t>
      </w:r>
    </w:p>
    <w:p w:rsidR="007C4F6A" w:rsidRPr="006A60E1" w:rsidRDefault="00EC45C6" w:rsidP="00EC45C6">
      <w:pPr>
        <w:pStyle w:val="ListParagraph"/>
        <w:spacing w:beforeLines="150" w:before="360" w:afterLines="150" w:after="360" w:line="360" w:lineRule="auto"/>
        <w:ind w:left="1440" w:hanging="720"/>
        <w:jc w:val="left"/>
        <w:rPr>
          <w:rFonts w:cs="Arial"/>
        </w:rPr>
      </w:pPr>
      <w:r>
        <w:rPr>
          <w:rFonts w:cs="Arial"/>
        </w:rPr>
        <w:t xml:space="preserve">1. </w:t>
      </w:r>
      <w:r>
        <w:rPr>
          <w:rFonts w:cs="Arial"/>
        </w:rPr>
        <w:tab/>
      </w:r>
      <w:r w:rsidR="00AC3BD2" w:rsidRPr="006A60E1">
        <w:rPr>
          <w:rFonts w:cs="Arial"/>
        </w:rPr>
        <w:t xml:space="preserve">With respect to the </w:t>
      </w:r>
      <w:r w:rsidR="00880BBD" w:rsidRPr="006A60E1">
        <w:rPr>
          <w:rFonts w:cs="Arial"/>
        </w:rPr>
        <w:t>calculation</w:t>
      </w:r>
      <w:r w:rsidR="00AC3BD2" w:rsidRPr="006A60E1">
        <w:rPr>
          <w:rFonts w:cs="Arial"/>
        </w:rPr>
        <w:t xml:space="preserve"> of gross floor area, the ZB requires a maximum of 614.99 square metres (</w:t>
      </w:r>
      <w:r>
        <w:rPr>
          <w:rFonts w:cs="Arial"/>
        </w:rPr>
        <w:t>“</w:t>
      </w:r>
      <w:r w:rsidR="00AC3BD2" w:rsidRPr="006A60E1">
        <w:rPr>
          <w:rFonts w:cs="Arial"/>
        </w:rPr>
        <w:t>m</w:t>
      </w:r>
      <w:r>
        <w:rPr>
          <w:rFonts w:cs="Arial"/>
          <w:vertAlign w:val="superscript"/>
        </w:rPr>
        <w:t>2</w:t>
      </w:r>
      <w:r>
        <w:rPr>
          <w:rFonts w:cs="Arial"/>
        </w:rPr>
        <w:t>”</w:t>
      </w:r>
      <w:r w:rsidR="00AC3BD2" w:rsidRPr="006A60E1">
        <w:rPr>
          <w:rFonts w:cs="Arial"/>
        </w:rPr>
        <w:t>)</w:t>
      </w:r>
      <w:r w:rsidR="00880BBD" w:rsidRPr="006A60E1">
        <w:rPr>
          <w:rFonts w:cs="Arial"/>
        </w:rPr>
        <w:t xml:space="preserve"> whereas;</w:t>
      </w:r>
      <w:r w:rsidR="00AC3BD2" w:rsidRPr="006A60E1">
        <w:rPr>
          <w:rFonts w:cs="Arial"/>
        </w:rPr>
        <w:t xml:space="preserve"> the application proposes 542.7 m</w:t>
      </w:r>
      <w:r>
        <w:rPr>
          <w:rFonts w:cs="Arial"/>
          <w:vertAlign w:val="superscript"/>
        </w:rPr>
        <w:t>2</w:t>
      </w:r>
      <w:r w:rsidR="00AC3BD2" w:rsidRPr="006A60E1">
        <w:rPr>
          <w:rFonts w:cs="Arial"/>
        </w:rPr>
        <w:t xml:space="preserve"> or 704 m</w:t>
      </w:r>
      <w:r>
        <w:rPr>
          <w:rFonts w:cs="Arial"/>
          <w:vertAlign w:val="superscript"/>
        </w:rPr>
        <w:t>2</w:t>
      </w:r>
      <w:r w:rsidR="00AC3BD2" w:rsidRPr="006A60E1">
        <w:rPr>
          <w:rFonts w:cs="Arial"/>
        </w:rPr>
        <w:t xml:space="preserve"> depending on the garage being excluded or included in the gross floor area calculation.</w:t>
      </w:r>
    </w:p>
    <w:p w:rsidR="00EC45C6" w:rsidRDefault="00EC45C6" w:rsidP="00EC45C6">
      <w:pPr>
        <w:pStyle w:val="ListParagraph"/>
        <w:spacing w:beforeLines="150" w:before="360" w:afterLines="150" w:after="360" w:line="360" w:lineRule="auto"/>
        <w:ind w:left="1440" w:hanging="720"/>
        <w:jc w:val="left"/>
        <w:rPr>
          <w:rFonts w:cs="Arial"/>
        </w:rPr>
      </w:pPr>
      <w:r>
        <w:rPr>
          <w:rFonts w:cs="Arial"/>
        </w:rPr>
        <w:lastRenderedPageBreak/>
        <w:t>2.</w:t>
      </w:r>
      <w:r>
        <w:rPr>
          <w:rFonts w:cs="Arial"/>
        </w:rPr>
        <w:tab/>
      </w:r>
      <w:r w:rsidR="000B2A24" w:rsidRPr="006A60E1">
        <w:rPr>
          <w:rFonts w:cs="Arial"/>
        </w:rPr>
        <w:t>Similarly</w:t>
      </w:r>
      <w:r w:rsidR="00880BBD" w:rsidRPr="006A60E1">
        <w:rPr>
          <w:rFonts w:cs="Arial"/>
        </w:rPr>
        <w:t xml:space="preserve">, maximum lot coverage is </w:t>
      </w:r>
      <w:r w:rsidR="000B2A24" w:rsidRPr="006A60E1">
        <w:rPr>
          <w:rFonts w:cs="Arial"/>
        </w:rPr>
        <w:t>25%, whereas</w:t>
      </w:r>
      <w:r w:rsidR="00880BBD" w:rsidRPr="006A60E1">
        <w:rPr>
          <w:rFonts w:cs="Arial"/>
        </w:rPr>
        <w:t>; calc</w:t>
      </w:r>
      <w:r w:rsidR="00DC1C2C" w:rsidRPr="006A60E1">
        <w:rPr>
          <w:rFonts w:cs="Arial"/>
        </w:rPr>
        <w:t>ulations of 25.45% or 29.45% were</w:t>
      </w:r>
      <w:r w:rsidR="00880BBD" w:rsidRPr="006A60E1">
        <w:rPr>
          <w:rFonts w:cs="Arial"/>
        </w:rPr>
        <w:t xml:space="preserve"> determined assuming</w:t>
      </w:r>
      <w:r w:rsidR="000B2A24" w:rsidRPr="006A60E1">
        <w:rPr>
          <w:rFonts w:cs="Arial"/>
        </w:rPr>
        <w:t xml:space="preserve"> the exclusion</w:t>
      </w:r>
      <w:r w:rsidR="00880BBD" w:rsidRPr="006A60E1">
        <w:rPr>
          <w:rFonts w:cs="Arial"/>
        </w:rPr>
        <w:t xml:space="preserve"> of below grade </w:t>
      </w:r>
      <w:r w:rsidR="000B2A24" w:rsidRPr="006A60E1">
        <w:rPr>
          <w:rFonts w:cs="Arial"/>
        </w:rPr>
        <w:t xml:space="preserve">garage space, or its inclusion. </w:t>
      </w:r>
    </w:p>
    <w:p w:rsidR="00EC45C6" w:rsidRDefault="00EC45C6" w:rsidP="00EC45C6">
      <w:pPr>
        <w:pStyle w:val="ListParagraph"/>
        <w:spacing w:beforeLines="150" w:before="360" w:afterLines="150" w:after="360" w:line="360" w:lineRule="auto"/>
        <w:ind w:left="1440" w:hanging="720"/>
        <w:jc w:val="left"/>
        <w:rPr>
          <w:rFonts w:cs="Arial"/>
        </w:rPr>
      </w:pPr>
      <w:r>
        <w:rPr>
          <w:rFonts w:cs="Arial"/>
        </w:rPr>
        <w:t>3.</w:t>
      </w:r>
      <w:r>
        <w:rPr>
          <w:rFonts w:cs="Arial"/>
        </w:rPr>
        <w:tab/>
      </w:r>
      <w:r w:rsidR="00880BBD" w:rsidRPr="006A60E1">
        <w:rPr>
          <w:rFonts w:cs="Arial"/>
        </w:rPr>
        <w:t>The ZB’s p</w:t>
      </w:r>
      <w:r w:rsidR="000B2A24" w:rsidRPr="006A60E1">
        <w:rPr>
          <w:rFonts w:cs="Arial"/>
        </w:rPr>
        <w:t>ermitted garage area of 75</w:t>
      </w:r>
      <w:r>
        <w:rPr>
          <w:rFonts w:cs="Arial"/>
        </w:rPr>
        <w:t xml:space="preserve"> </w:t>
      </w:r>
      <w:r w:rsidR="000B2A24" w:rsidRPr="006A60E1">
        <w:rPr>
          <w:rFonts w:cs="Arial"/>
        </w:rPr>
        <w:t>m</w:t>
      </w:r>
      <w:r>
        <w:rPr>
          <w:rFonts w:cs="Arial"/>
          <w:vertAlign w:val="superscript"/>
        </w:rPr>
        <w:t>2</w:t>
      </w:r>
      <w:r w:rsidR="000B2A24" w:rsidRPr="006A60E1">
        <w:rPr>
          <w:rFonts w:cs="Arial"/>
        </w:rPr>
        <w:t xml:space="preserve"> </w:t>
      </w:r>
      <w:r w:rsidR="00880BBD" w:rsidRPr="006A60E1">
        <w:rPr>
          <w:rFonts w:cs="Arial"/>
        </w:rPr>
        <w:t>(</w:t>
      </w:r>
      <w:r w:rsidR="000B2A24" w:rsidRPr="006A60E1">
        <w:rPr>
          <w:rFonts w:cs="Arial"/>
        </w:rPr>
        <w:t>maximum</w:t>
      </w:r>
      <w:r w:rsidR="00880BBD" w:rsidRPr="006A60E1">
        <w:rPr>
          <w:rFonts w:cs="Arial"/>
        </w:rPr>
        <w:t>)</w:t>
      </w:r>
      <w:r w:rsidR="000B2A24" w:rsidRPr="006A60E1">
        <w:rPr>
          <w:rFonts w:cs="Arial"/>
        </w:rPr>
        <w:t xml:space="preserve"> is inflated substantially by the </w:t>
      </w:r>
      <w:r w:rsidR="00880BBD" w:rsidRPr="006A60E1">
        <w:rPr>
          <w:rFonts w:cs="Arial"/>
        </w:rPr>
        <w:t xml:space="preserve">addition of </w:t>
      </w:r>
      <w:r w:rsidR="000B2A24" w:rsidRPr="006A60E1">
        <w:rPr>
          <w:rFonts w:cs="Arial"/>
        </w:rPr>
        <w:t xml:space="preserve">underground garage to 243.4 </w:t>
      </w:r>
      <w:r w:rsidR="00DC1C2C" w:rsidRPr="006A60E1">
        <w:rPr>
          <w:rFonts w:cs="Arial"/>
        </w:rPr>
        <w:t>m</w:t>
      </w:r>
      <w:r>
        <w:rPr>
          <w:rFonts w:cs="Arial"/>
          <w:vertAlign w:val="superscript"/>
        </w:rPr>
        <w:t>2</w:t>
      </w:r>
      <w:r w:rsidR="00DC1C2C" w:rsidRPr="006A60E1">
        <w:rPr>
          <w:rFonts w:cs="Arial"/>
        </w:rPr>
        <w:t xml:space="preserve"> </w:t>
      </w:r>
      <w:r w:rsidR="000B2A24" w:rsidRPr="006A60E1">
        <w:rPr>
          <w:rFonts w:cs="Arial"/>
        </w:rPr>
        <w:t>versus the 75.3 m</w:t>
      </w:r>
      <w:r>
        <w:rPr>
          <w:rFonts w:cs="Arial"/>
          <w:vertAlign w:val="superscript"/>
        </w:rPr>
        <w:t>2</w:t>
      </w:r>
      <w:r w:rsidR="000B2A24" w:rsidRPr="006A60E1">
        <w:rPr>
          <w:rFonts w:cs="Arial"/>
        </w:rPr>
        <w:t xml:space="preserve"> area calculation ar</w:t>
      </w:r>
      <w:r w:rsidR="00880BBD" w:rsidRPr="006A60E1">
        <w:rPr>
          <w:rFonts w:cs="Arial"/>
        </w:rPr>
        <w:t>ising from the deletion of underground</w:t>
      </w:r>
      <w:r w:rsidR="000B2A24" w:rsidRPr="006A60E1">
        <w:rPr>
          <w:rFonts w:cs="Arial"/>
        </w:rPr>
        <w:t xml:space="preserve"> garage space.</w:t>
      </w:r>
      <w:r w:rsidR="00880BBD" w:rsidRPr="006A60E1">
        <w:rPr>
          <w:rFonts w:cs="Arial"/>
        </w:rPr>
        <w:t xml:space="preserve"> </w:t>
      </w:r>
      <w:r w:rsidR="00862E1E">
        <w:rPr>
          <w:rFonts w:cs="Arial"/>
        </w:rPr>
        <w:t>(</w:t>
      </w:r>
      <w:r w:rsidR="00DC1C2C" w:rsidRPr="006A60E1">
        <w:rPr>
          <w:rFonts w:cs="Arial"/>
        </w:rPr>
        <w:t>The proposed new home also proposes a conventional, above grade garage with three doors</w:t>
      </w:r>
      <w:r w:rsidR="00862E1E">
        <w:rPr>
          <w:rFonts w:cs="Arial"/>
        </w:rPr>
        <w:t>)</w:t>
      </w:r>
      <w:r w:rsidR="00DC1C2C" w:rsidRPr="006A60E1">
        <w:rPr>
          <w:rFonts w:cs="Arial"/>
        </w:rPr>
        <w:t xml:space="preserve">. </w:t>
      </w:r>
    </w:p>
    <w:p w:rsidR="00EC45C6" w:rsidRDefault="00EC45C6" w:rsidP="00EC45C6">
      <w:pPr>
        <w:pStyle w:val="ListParagraph"/>
        <w:spacing w:beforeLines="150" w:before="360" w:afterLines="150" w:after="360" w:line="360" w:lineRule="auto"/>
        <w:ind w:left="1440" w:hanging="720"/>
        <w:jc w:val="left"/>
        <w:rPr>
          <w:rFonts w:cs="Arial"/>
        </w:rPr>
      </w:pPr>
      <w:r>
        <w:rPr>
          <w:rFonts w:cs="Arial"/>
        </w:rPr>
        <w:t>4.</w:t>
      </w:r>
      <w:r>
        <w:rPr>
          <w:rFonts w:cs="Arial"/>
        </w:rPr>
        <w:tab/>
      </w:r>
      <w:r w:rsidR="00DC1C2C" w:rsidRPr="006A60E1">
        <w:rPr>
          <w:rFonts w:cs="Arial"/>
        </w:rPr>
        <w:t>Th</w:t>
      </w:r>
      <w:r w:rsidR="000D5534" w:rsidRPr="006A60E1">
        <w:rPr>
          <w:rFonts w:cs="Arial"/>
        </w:rPr>
        <w:t>e minimum front yard setback of</w:t>
      </w:r>
      <w:r w:rsidR="000B2A24" w:rsidRPr="006A60E1">
        <w:rPr>
          <w:rFonts w:cs="Arial"/>
        </w:rPr>
        <w:t xml:space="preserve"> 12.0 m</w:t>
      </w:r>
      <w:r>
        <w:rPr>
          <w:rFonts w:cs="Arial"/>
        </w:rPr>
        <w:t>etres (“m”</w:t>
      </w:r>
      <w:proofErr w:type="gramStart"/>
      <w:r>
        <w:rPr>
          <w:rFonts w:cs="Arial"/>
        </w:rPr>
        <w:t>)</w:t>
      </w:r>
      <w:r w:rsidR="00DC1C2C" w:rsidRPr="006A60E1">
        <w:rPr>
          <w:rFonts w:cs="Arial"/>
        </w:rPr>
        <w:t>,</w:t>
      </w:r>
      <w:proofErr w:type="gramEnd"/>
      <w:r w:rsidR="00DC1C2C" w:rsidRPr="006A60E1">
        <w:rPr>
          <w:rFonts w:cs="Arial"/>
        </w:rPr>
        <w:t xml:space="preserve"> is compared to the setback distance of 13.7 m, assuming the </w:t>
      </w:r>
      <w:r w:rsidR="00260BD4" w:rsidRPr="006A60E1">
        <w:rPr>
          <w:rFonts w:cs="Arial"/>
        </w:rPr>
        <w:t>subterranean garage</w:t>
      </w:r>
      <w:r w:rsidR="000B2A24" w:rsidRPr="006A60E1">
        <w:rPr>
          <w:rFonts w:cs="Arial"/>
        </w:rPr>
        <w:t xml:space="preserve"> </w:t>
      </w:r>
      <w:r w:rsidR="00260BD4" w:rsidRPr="006A60E1">
        <w:rPr>
          <w:rFonts w:cs="Arial"/>
        </w:rPr>
        <w:t>space is</w:t>
      </w:r>
      <w:r w:rsidR="00DC1C2C" w:rsidRPr="006A60E1">
        <w:rPr>
          <w:rFonts w:cs="Arial"/>
        </w:rPr>
        <w:t xml:space="preserve"> not included, </w:t>
      </w:r>
      <w:r w:rsidR="000B2A24" w:rsidRPr="006A60E1">
        <w:rPr>
          <w:rFonts w:cs="Arial"/>
        </w:rPr>
        <w:t>in comparison with the actual variance of 7.5 m</w:t>
      </w:r>
      <w:r w:rsidR="00DC1C2C" w:rsidRPr="006A60E1">
        <w:rPr>
          <w:rFonts w:cs="Arial"/>
        </w:rPr>
        <w:t xml:space="preserve"> in compliance with the ZB.</w:t>
      </w:r>
      <w:r w:rsidR="000B2A24" w:rsidRPr="006A60E1">
        <w:rPr>
          <w:rFonts w:cs="Arial"/>
        </w:rPr>
        <w:t xml:space="preserve"> </w:t>
      </w:r>
    </w:p>
    <w:p w:rsidR="00EC45C6" w:rsidRDefault="00EC45C6" w:rsidP="00EC45C6">
      <w:pPr>
        <w:pStyle w:val="ListParagraph"/>
        <w:spacing w:beforeLines="150" w:before="360" w:afterLines="150" w:after="360" w:line="360" w:lineRule="auto"/>
        <w:ind w:left="1440" w:hanging="720"/>
        <w:jc w:val="left"/>
        <w:rPr>
          <w:rFonts w:cs="Arial"/>
        </w:rPr>
      </w:pPr>
      <w:r>
        <w:rPr>
          <w:rFonts w:cs="Arial"/>
        </w:rPr>
        <w:t>5.</w:t>
      </w:r>
      <w:r>
        <w:rPr>
          <w:rFonts w:cs="Arial"/>
        </w:rPr>
        <w:tab/>
      </w:r>
      <w:r w:rsidR="000B2A24" w:rsidRPr="006A60E1">
        <w:rPr>
          <w:rFonts w:cs="Arial"/>
        </w:rPr>
        <w:t>The combined</w:t>
      </w:r>
      <w:r w:rsidR="00AE2A68" w:rsidRPr="006A60E1">
        <w:rPr>
          <w:rFonts w:cs="Arial"/>
        </w:rPr>
        <w:t>, minimum</w:t>
      </w:r>
      <w:r w:rsidR="000B2A24" w:rsidRPr="006A60E1">
        <w:rPr>
          <w:rFonts w:cs="Arial"/>
        </w:rPr>
        <w:t xml:space="preserve"> width of side yards, calculated to be 9.46 m </w:t>
      </w:r>
      <w:r w:rsidR="003E3633" w:rsidRPr="006A60E1">
        <w:rPr>
          <w:rFonts w:cs="Arial"/>
        </w:rPr>
        <w:t xml:space="preserve">in compliance with the ZB </w:t>
      </w:r>
      <w:r w:rsidR="00480FE4" w:rsidRPr="006A60E1">
        <w:rPr>
          <w:rFonts w:cs="Arial"/>
        </w:rPr>
        <w:t xml:space="preserve">is, </w:t>
      </w:r>
      <w:r w:rsidR="00AE2A68" w:rsidRPr="006A60E1">
        <w:rPr>
          <w:rFonts w:cs="Arial"/>
        </w:rPr>
        <w:t>however;</w:t>
      </w:r>
      <w:r w:rsidR="000B2A24" w:rsidRPr="006A60E1">
        <w:rPr>
          <w:rFonts w:cs="Arial"/>
        </w:rPr>
        <w:t xml:space="preserve"> unaffecte</w:t>
      </w:r>
      <w:r w:rsidR="00C1239D" w:rsidRPr="006A60E1">
        <w:rPr>
          <w:rFonts w:cs="Arial"/>
        </w:rPr>
        <w:t xml:space="preserve">d by the </w:t>
      </w:r>
      <w:r w:rsidR="00AE2A68" w:rsidRPr="006A60E1">
        <w:rPr>
          <w:rFonts w:cs="Arial"/>
        </w:rPr>
        <w:t xml:space="preserve">underground </w:t>
      </w:r>
      <w:r w:rsidR="00C1239D" w:rsidRPr="006A60E1">
        <w:rPr>
          <w:rFonts w:cs="Arial"/>
        </w:rPr>
        <w:t xml:space="preserve">garage area and describes </w:t>
      </w:r>
      <w:r w:rsidR="000B2A24" w:rsidRPr="006A60E1">
        <w:rPr>
          <w:rFonts w:cs="Arial"/>
        </w:rPr>
        <w:t xml:space="preserve"> a </w:t>
      </w:r>
      <w:r w:rsidR="00C1239D" w:rsidRPr="006A60E1">
        <w:rPr>
          <w:rFonts w:cs="Arial"/>
        </w:rPr>
        <w:t xml:space="preserve">variance </w:t>
      </w:r>
      <w:r w:rsidR="000B2A24" w:rsidRPr="006A60E1">
        <w:rPr>
          <w:rFonts w:cs="Arial"/>
        </w:rPr>
        <w:t xml:space="preserve"> of 6.90 m with or without the </w:t>
      </w:r>
      <w:r w:rsidR="00480FE4" w:rsidRPr="006A60E1">
        <w:rPr>
          <w:rFonts w:cs="Arial"/>
        </w:rPr>
        <w:t xml:space="preserve">underground </w:t>
      </w:r>
      <w:r w:rsidR="000B2A24" w:rsidRPr="006A60E1">
        <w:rPr>
          <w:rFonts w:cs="Arial"/>
        </w:rPr>
        <w:t>garage</w:t>
      </w:r>
      <w:r w:rsidR="00C1239D" w:rsidRPr="006A60E1">
        <w:rPr>
          <w:rFonts w:cs="Arial"/>
        </w:rPr>
        <w:t>.</w:t>
      </w:r>
    </w:p>
    <w:p w:rsidR="000B2A24" w:rsidRPr="006A60E1" w:rsidRDefault="00EC45C6" w:rsidP="00EC45C6">
      <w:pPr>
        <w:pStyle w:val="ListParagraph"/>
        <w:spacing w:beforeLines="150" w:before="360" w:afterLines="150" w:after="360" w:line="360" w:lineRule="auto"/>
        <w:ind w:left="1440" w:hanging="720"/>
        <w:jc w:val="left"/>
        <w:rPr>
          <w:rFonts w:cs="Arial"/>
        </w:rPr>
      </w:pPr>
      <w:r>
        <w:rPr>
          <w:rFonts w:cs="Arial"/>
        </w:rPr>
        <w:t>6.</w:t>
      </w:r>
      <w:r>
        <w:rPr>
          <w:rFonts w:cs="Arial"/>
        </w:rPr>
        <w:tab/>
      </w:r>
      <w:r w:rsidR="003E3633" w:rsidRPr="006A60E1">
        <w:rPr>
          <w:rFonts w:cs="Arial"/>
        </w:rPr>
        <w:t>With respect to the last</w:t>
      </w:r>
      <w:r w:rsidR="000B2A24" w:rsidRPr="006A60E1">
        <w:rPr>
          <w:rFonts w:cs="Arial"/>
        </w:rPr>
        <w:t xml:space="preserve"> </w:t>
      </w:r>
      <w:r w:rsidR="003E3633" w:rsidRPr="006A60E1">
        <w:rPr>
          <w:rFonts w:cs="Arial"/>
        </w:rPr>
        <w:t>variance</w:t>
      </w:r>
      <w:r w:rsidR="00C1239D" w:rsidRPr="006A60E1">
        <w:rPr>
          <w:rFonts w:cs="Arial"/>
        </w:rPr>
        <w:t xml:space="preserve"> of dwelling depth which the ZB requires a </w:t>
      </w:r>
      <w:r w:rsidR="003E3633" w:rsidRPr="006A60E1">
        <w:rPr>
          <w:rFonts w:cs="Arial"/>
        </w:rPr>
        <w:t>minimum</w:t>
      </w:r>
      <w:r w:rsidR="00C1239D" w:rsidRPr="006A60E1">
        <w:rPr>
          <w:rFonts w:cs="Arial"/>
        </w:rPr>
        <w:t xml:space="preserve"> depth of 20 m</w:t>
      </w:r>
      <w:r w:rsidR="003E3633" w:rsidRPr="006A60E1">
        <w:rPr>
          <w:rFonts w:cs="Arial"/>
        </w:rPr>
        <w:t>,</w:t>
      </w:r>
      <w:r w:rsidR="00C1239D" w:rsidRPr="006A60E1">
        <w:rPr>
          <w:rFonts w:cs="Arial"/>
        </w:rPr>
        <w:t xml:space="preserve"> a variance of 22.41 m arises in the absence of the </w:t>
      </w:r>
      <w:r w:rsidR="003E3633" w:rsidRPr="006A60E1">
        <w:rPr>
          <w:rFonts w:cs="Arial"/>
        </w:rPr>
        <w:t xml:space="preserve">subterranean </w:t>
      </w:r>
      <w:r w:rsidR="00C1239D" w:rsidRPr="006A60E1">
        <w:rPr>
          <w:rFonts w:cs="Arial"/>
        </w:rPr>
        <w:t xml:space="preserve">garage but is 29.72 m with the inclusion of the subterranean garage space. </w:t>
      </w:r>
    </w:p>
    <w:p w:rsidR="006C3E23" w:rsidRPr="006A60E1" w:rsidRDefault="003E3633"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Attachment 1</w:t>
      </w:r>
      <w:r w:rsidR="006C3E23" w:rsidRPr="006A60E1">
        <w:rPr>
          <w:rFonts w:cs="Arial"/>
        </w:rPr>
        <w:t xml:space="preserve"> and the professiona</w:t>
      </w:r>
      <w:r w:rsidR="000F3C3C" w:rsidRPr="006A60E1">
        <w:rPr>
          <w:rFonts w:cs="Arial"/>
        </w:rPr>
        <w:t>l testimony which justified</w:t>
      </w:r>
      <w:r w:rsidR="00C508D1" w:rsidRPr="006A60E1">
        <w:rPr>
          <w:rFonts w:cs="Arial"/>
        </w:rPr>
        <w:t xml:space="preserve"> these variances </w:t>
      </w:r>
      <w:r w:rsidR="006C3E23" w:rsidRPr="006A60E1">
        <w:rPr>
          <w:rFonts w:cs="Arial"/>
        </w:rPr>
        <w:t xml:space="preserve">within the </w:t>
      </w:r>
      <w:r w:rsidR="00C508D1" w:rsidRPr="006A60E1">
        <w:rPr>
          <w:rFonts w:cs="Arial"/>
        </w:rPr>
        <w:t xml:space="preserve">broader </w:t>
      </w:r>
      <w:r w:rsidR="006C3E23" w:rsidRPr="006A60E1">
        <w:rPr>
          <w:rFonts w:cs="Arial"/>
        </w:rPr>
        <w:t xml:space="preserve">context of </w:t>
      </w:r>
      <w:r w:rsidR="009B4A17" w:rsidRPr="006A60E1">
        <w:rPr>
          <w:rFonts w:cs="Arial"/>
        </w:rPr>
        <w:t xml:space="preserve">prevailing </w:t>
      </w:r>
      <w:r w:rsidR="006C3E23" w:rsidRPr="006A60E1">
        <w:rPr>
          <w:rFonts w:cs="Arial"/>
        </w:rPr>
        <w:t>policy and physical setting</w:t>
      </w:r>
      <w:r w:rsidR="00AE2A68" w:rsidRPr="006A60E1">
        <w:rPr>
          <w:rFonts w:cs="Arial"/>
        </w:rPr>
        <w:t>,</w:t>
      </w:r>
      <w:r w:rsidR="000F3C3C" w:rsidRPr="006A60E1">
        <w:rPr>
          <w:rFonts w:cs="Arial"/>
        </w:rPr>
        <w:t xml:space="preserve"> was</w:t>
      </w:r>
      <w:r w:rsidR="006C3E23" w:rsidRPr="006A60E1">
        <w:rPr>
          <w:rFonts w:cs="Arial"/>
        </w:rPr>
        <w:t xml:space="preserve"> the basis for the oral decision allowing the appeal.</w:t>
      </w:r>
    </w:p>
    <w:p w:rsidR="00034710" w:rsidRDefault="00034710" w:rsidP="00034710">
      <w:pPr>
        <w:pStyle w:val="ListParagraph"/>
        <w:spacing w:beforeLines="150" w:before="360" w:afterLines="150" w:after="360" w:line="360" w:lineRule="auto"/>
        <w:jc w:val="left"/>
        <w:rPr>
          <w:rFonts w:cs="Arial"/>
          <w:b/>
        </w:rPr>
      </w:pPr>
    </w:p>
    <w:p w:rsidR="00034710" w:rsidRDefault="00034710" w:rsidP="00034710">
      <w:pPr>
        <w:pStyle w:val="ListParagraph"/>
        <w:spacing w:beforeLines="150" w:before="360" w:afterLines="150" w:after="360" w:line="360" w:lineRule="auto"/>
        <w:jc w:val="left"/>
        <w:rPr>
          <w:rFonts w:cs="Arial"/>
          <w:b/>
        </w:rPr>
      </w:pPr>
    </w:p>
    <w:p w:rsidR="006C3E23" w:rsidRPr="00034710" w:rsidRDefault="006C3E23" w:rsidP="00034710">
      <w:pPr>
        <w:pStyle w:val="ListParagraph"/>
        <w:spacing w:beforeLines="150" w:before="360" w:afterLines="150" w:after="360" w:line="360" w:lineRule="auto"/>
        <w:jc w:val="left"/>
        <w:rPr>
          <w:rFonts w:cs="Arial"/>
          <w:b/>
        </w:rPr>
      </w:pPr>
      <w:r w:rsidRPr="00034710">
        <w:rPr>
          <w:rFonts w:cs="Arial"/>
          <w:b/>
        </w:rPr>
        <w:lastRenderedPageBreak/>
        <w:t>THE NEIGHBOURHOOD</w:t>
      </w:r>
    </w:p>
    <w:p w:rsidR="00C508D1" w:rsidRPr="006A60E1" w:rsidRDefault="00C508D1"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 xml:space="preserve">The subject lands are located within the Mineola </w:t>
      </w:r>
      <w:r w:rsidRPr="0072569C">
        <w:rPr>
          <w:rFonts w:cs="Arial"/>
          <w:lang w:val="en-CA"/>
        </w:rPr>
        <w:t>Neighbourhood</w:t>
      </w:r>
      <w:r w:rsidRPr="006A60E1">
        <w:rPr>
          <w:rFonts w:cs="Arial"/>
        </w:rPr>
        <w:t xml:space="preserve">, an area of large lots and </w:t>
      </w:r>
      <w:r w:rsidR="009B4A17" w:rsidRPr="006A60E1">
        <w:rPr>
          <w:rFonts w:cs="Arial"/>
        </w:rPr>
        <w:t xml:space="preserve">long established </w:t>
      </w:r>
      <w:r w:rsidRPr="006A60E1">
        <w:rPr>
          <w:rFonts w:cs="Arial"/>
        </w:rPr>
        <w:t xml:space="preserve">single </w:t>
      </w:r>
      <w:r w:rsidR="009B4A17" w:rsidRPr="006A60E1">
        <w:rPr>
          <w:rFonts w:cs="Arial"/>
        </w:rPr>
        <w:t>f</w:t>
      </w:r>
      <w:r w:rsidR="003E3633" w:rsidRPr="006A60E1">
        <w:rPr>
          <w:rFonts w:cs="Arial"/>
        </w:rPr>
        <w:t xml:space="preserve">amily residences </w:t>
      </w:r>
      <w:r w:rsidR="00305691" w:rsidRPr="006A60E1">
        <w:rPr>
          <w:rFonts w:cs="Arial"/>
        </w:rPr>
        <w:t xml:space="preserve">some of </w:t>
      </w:r>
      <w:r w:rsidR="003E3633" w:rsidRPr="006A60E1">
        <w:rPr>
          <w:rFonts w:cs="Arial"/>
        </w:rPr>
        <w:t xml:space="preserve">which have experienced </w:t>
      </w:r>
      <w:r w:rsidR="00305691" w:rsidRPr="006A60E1">
        <w:rPr>
          <w:rFonts w:cs="Arial"/>
        </w:rPr>
        <w:t xml:space="preserve">reconstruction </w:t>
      </w:r>
      <w:r w:rsidR="003E3633" w:rsidRPr="006A60E1">
        <w:rPr>
          <w:rFonts w:cs="Arial"/>
        </w:rPr>
        <w:t xml:space="preserve">and replacement with </w:t>
      </w:r>
      <w:r w:rsidR="00305691" w:rsidRPr="006A60E1">
        <w:rPr>
          <w:rFonts w:cs="Arial"/>
        </w:rPr>
        <w:t>larger homes</w:t>
      </w:r>
      <w:r w:rsidRPr="006A60E1">
        <w:rPr>
          <w:rFonts w:cs="Arial"/>
        </w:rPr>
        <w:t xml:space="preserve">. </w:t>
      </w:r>
    </w:p>
    <w:p w:rsidR="00C508D1" w:rsidRPr="006A60E1" w:rsidRDefault="00C508D1"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The Official Plan for the City (</w:t>
      </w:r>
      <w:r w:rsidR="00034710">
        <w:rPr>
          <w:rFonts w:cs="Arial"/>
        </w:rPr>
        <w:t>“</w:t>
      </w:r>
      <w:r w:rsidRPr="006A60E1">
        <w:rPr>
          <w:rFonts w:cs="Arial"/>
        </w:rPr>
        <w:t>OP</w:t>
      </w:r>
      <w:r w:rsidR="00034710">
        <w:rPr>
          <w:rFonts w:cs="Arial"/>
        </w:rPr>
        <w:t>”</w:t>
      </w:r>
      <w:r w:rsidRPr="006A60E1">
        <w:rPr>
          <w:rFonts w:cs="Arial"/>
        </w:rPr>
        <w:t>) designates the subject</w:t>
      </w:r>
      <w:r w:rsidR="009B4A17" w:rsidRPr="006A60E1">
        <w:rPr>
          <w:rFonts w:cs="Arial"/>
        </w:rPr>
        <w:t xml:space="preserve"> lands Residential Low Density 1.</w:t>
      </w:r>
      <w:r w:rsidRPr="006A60E1">
        <w:rPr>
          <w:rFonts w:cs="Arial"/>
        </w:rPr>
        <w:t xml:space="preserve"> The ZB categorizes the property as R1-2</w:t>
      </w:r>
      <w:r w:rsidR="009B4A17" w:rsidRPr="006A60E1">
        <w:rPr>
          <w:rFonts w:cs="Arial"/>
        </w:rPr>
        <w:t xml:space="preserve">, a zoning </w:t>
      </w:r>
      <w:r w:rsidR="003E3633" w:rsidRPr="006A60E1">
        <w:rPr>
          <w:rFonts w:cs="Arial"/>
        </w:rPr>
        <w:t>designation</w:t>
      </w:r>
      <w:r w:rsidR="009B4A17" w:rsidRPr="006A60E1">
        <w:rPr>
          <w:rFonts w:cs="Arial"/>
        </w:rPr>
        <w:t xml:space="preserve"> which is subject to site plan control.</w:t>
      </w:r>
    </w:p>
    <w:p w:rsidR="009B4A17" w:rsidRPr="006A60E1" w:rsidRDefault="009B4A17"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The building drawing describing the new replacement home</w:t>
      </w:r>
      <w:r w:rsidR="003E3633" w:rsidRPr="006A60E1">
        <w:rPr>
          <w:rFonts w:cs="Arial"/>
        </w:rPr>
        <w:t>, (page</w:t>
      </w:r>
      <w:r w:rsidR="00032E48" w:rsidRPr="006A60E1">
        <w:rPr>
          <w:rFonts w:cs="Arial"/>
        </w:rPr>
        <w:t>s</w:t>
      </w:r>
      <w:r w:rsidR="003E3633" w:rsidRPr="006A60E1">
        <w:rPr>
          <w:rFonts w:cs="Arial"/>
        </w:rPr>
        <w:t xml:space="preserve"> 37 </w:t>
      </w:r>
      <w:r w:rsidR="00032E48" w:rsidRPr="006A60E1">
        <w:rPr>
          <w:rFonts w:cs="Arial"/>
        </w:rPr>
        <w:t xml:space="preserve">and 38 </w:t>
      </w:r>
      <w:r w:rsidR="003E3633" w:rsidRPr="006A60E1">
        <w:rPr>
          <w:rFonts w:cs="Arial"/>
        </w:rPr>
        <w:t xml:space="preserve">of Exhibit 1) </w:t>
      </w:r>
      <w:r w:rsidRPr="006A60E1">
        <w:rPr>
          <w:rFonts w:cs="Arial"/>
        </w:rPr>
        <w:t>depict</w:t>
      </w:r>
      <w:r w:rsidR="003E3633" w:rsidRPr="006A60E1">
        <w:rPr>
          <w:rFonts w:cs="Arial"/>
        </w:rPr>
        <w:t>s a</w:t>
      </w:r>
      <w:r w:rsidRPr="006A60E1">
        <w:rPr>
          <w:rFonts w:cs="Arial"/>
        </w:rPr>
        <w:t xml:space="preserve"> large French style residence, with a steeply pitched roof enclosing a partial second storey</w:t>
      </w:r>
      <w:r w:rsidR="00862E1E">
        <w:rPr>
          <w:rFonts w:cs="Arial"/>
        </w:rPr>
        <w:t xml:space="preserve"> </w:t>
      </w:r>
      <w:r w:rsidR="00AE2A68" w:rsidRPr="006A60E1">
        <w:rPr>
          <w:rFonts w:cs="Arial"/>
        </w:rPr>
        <w:t>(</w:t>
      </w:r>
      <w:r w:rsidR="00034710">
        <w:rPr>
          <w:rFonts w:cs="Arial"/>
        </w:rPr>
        <w:t>t</w:t>
      </w:r>
      <w:r w:rsidR="00D0687A" w:rsidRPr="006A60E1">
        <w:rPr>
          <w:rFonts w:cs="Arial"/>
        </w:rPr>
        <w:t>he second storey is significantly smaller than the fir</w:t>
      </w:r>
      <w:r w:rsidR="00305691" w:rsidRPr="006A60E1">
        <w:rPr>
          <w:rFonts w:cs="Arial"/>
        </w:rPr>
        <w:t xml:space="preserve">st floor because of the articulation </w:t>
      </w:r>
      <w:r w:rsidR="003E3633" w:rsidRPr="006A60E1">
        <w:rPr>
          <w:rFonts w:cs="Arial"/>
        </w:rPr>
        <w:t xml:space="preserve"> of the roofline which restricts second storey habitable space</w:t>
      </w:r>
      <w:r w:rsidR="00AE2A68" w:rsidRPr="006A60E1">
        <w:rPr>
          <w:rFonts w:cs="Arial"/>
        </w:rPr>
        <w:t>)</w:t>
      </w:r>
      <w:r w:rsidR="00034710">
        <w:rPr>
          <w:rFonts w:cs="Arial"/>
        </w:rPr>
        <w:t>.</w:t>
      </w:r>
      <w:r w:rsidR="003E3633" w:rsidRPr="006A60E1">
        <w:rPr>
          <w:rFonts w:cs="Arial"/>
        </w:rPr>
        <w:t xml:space="preserve"> </w:t>
      </w:r>
      <w:r w:rsidR="00D0687A" w:rsidRPr="006A60E1">
        <w:rPr>
          <w:rFonts w:cs="Arial"/>
        </w:rPr>
        <w:t xml:space="preserve"> </w:t>
      </w:r>
      <w:r w:rsidR="003E3633" w:rsidRPr="006A60E1">
        <w:rPr>
          <w:rFonts w:cs="Arial"/>
        </w:rPr>
        <w:t>Available g</w:t>
      </w:r>
      <w:r w:rsidRPr="006A60E1">
        <w:rPr>
          <w:rFonts w:cs="Arial"/>
        </w:rPr>
        <w:t xml:space="preserve">arage parking is provided </w:t>
      </w:r>
      <w:r w:rsidR="007E7F84" w:rsidRPr="006A60E1">
        <w:rPr>
          <w:rFonts w:cs="Arial"/>
        </w:rPr>
        <w:t xml:space="preserve">above </w:t>
      </w:r>
      <w:r w:rsidR="00032E48" w:rsidRPr="006A60E1">
        <w:rPr>
          <w:rFonts w:cs="Arial"/>
        </w:rPr>
        <w:t>and below grade as noted</w:t>
      </w:r>
      <w:r w:rsidR="00850FF2" w:rsidRPr="006A60E1">
        <w:rPr>
          <w:rFonts w:cs="Arial"/>
        </w:rPr>
        <w:t xml:space="preserve"> and</w:t>
      </w:r>
      <w:r w:rsidR="003E3633" w:rsidRPr="006A60E1">
        <w:rPr>
          <w:rFonts w:cs="Arial"/>
        </w:rPr>
        <w:t xml:space="preserve"> t</w:t>
      </w:r>
      <w:r w:rsidR="00032E48" w:rsidRPr="006A60E1">
        <w:rPr>
          <w:rFonts w:cs="Arial"/>
        </w:rPr>
        <w:t xml:space="preserve">he subterranean portion </w:t>
      </w:r>
      <w:r w:rsidRPr="006A60E1">
        <w:rPr>
          <w:rFonts w:cs="Arial"/>
        </w:rPr>
        <w:t xml:space="preserve">is situated below </w:t>
      </w:r>
      <w:r w:rsidR="007E7F84" w:rsidRPr="006A60E1">
        <w:rPr>
          <w:rFonts w:cs="Arial"/>
        </w:rPr>
        <w:t xml:space="preserve">both </w:t>
      </w:r>
      <w:r w:rsidRPr="006A60E1">
        <w:rPr>
          <w:rFonts w:cs="Arial"/>
        </w:rPr>
        <w:t xml:space="preserve">the proposed above </w:t>
      </w:r>
      <w:r w:rsidR="003E3633" w:rsidRPr="006A60E1">
        <w:rPr>
          <w:rFonts w:cs="Arial"/>
        </w:rPr>
        <w:t>grade</w:t>
      </w:r>
      <w:r w:rsidRPr="006A60E1">
        <w:rPr>
          <w:rFonts w:cs="Arial"/>
        </w:rPr>
        <w:t xml:space="preserve"> </w:t>
      </w:r>
      <w:r w:rsidR="007E7F84" w:rsidRPr="006A60E1">
        <w:rPr>
          <w:rFonts w:cs="Arial"/>
        </w:rPr>
        <w:t xml:space="preserve">garage </w:t>
      </w:r>
      <w:r w:rsidR="00260BD4" w:rsidRPr="006A60E1">
        <w:rPr>
          <w:rFonts w:cs="Arial"/>
        </w:rPr>
        <w:t xml:space="preserve">structure </w:t>
      </w:r>
      <w:r w:rsidR="007E7F84" w:rsidRPr="006A60E1">
        <w:rPr>
          <w:rFonts w:cs="Arial"/>
        </w:rPr>
        <w:t>and the driveway</w:t>
      </w:r>
      <w:r w:rsidR="00D0687A" w:rsidRPr="006A60E1">
        <w:rPr>
          <w:rFonts w:cs="Arial"/>
        </w:rPr>
        <w:t xml:space="preserve"> </w:t>
      </w:r>
      <w:r w:rsidR="00260BD4" w:rsidRPr="006A60E1">
        <w:rPr>
          <w:rFonts w:cs="Arial"/>
        </w:rPr>
        <w:t>in roughly equal parts</w:t>
      </w:r>
      <w:r w:rsidR="000563EA" w:rsidRPr="006A60E1">
        <w:rPr>
          <w:rFonts w:cs="Arial"/>
        </w:rPr>
        <w:t>.</w:t>
      </w:r>
      <w:r w:rsidR="007E7F84" w:rsidRPr="006A60E1">
        <w:rPr>
          <w:rFonts w:cs="Arial"/>
        </w:rPr>
        <w:t xml:space="preserve"> </w:t>
      </w:r>
      <w:r w:rsidRPr="006A60E1">
        <w:rPr>
          <w:rFonts w:cs="Arial"/>
        </w:rPr>
        <w:t xml:space="preserve"> </w:t>
      </w:r>
      <w:r w:rsidR="007E7F84" w:rsidRPr="006A60E1">
        <w:rPr>
          <w:rFonts w:cs="Arial"/>
        </w:rPr>
        <w:t xml:space="preserve">According to </w:t>
      </w:r>
      <w:r w:rsidR="003E3633" w:rsidRPr="006A60E1">
        <w:rPr>
          <w:rFonts w:cs="Arial"/>
        </w:rPr>
        <w:t>evidence</w:t>
      </w:r>
      <w:r w:rsidR="007E7F84" w:rsidRPr="006A60E1">
        <w:rPr>
          <w:rFonts w:cs="Arial"/>
        </w:rPr>
        <w:t>, the Ap</w:t>
      </w:r>
      <w:r w:rsidR="003E3633" w:rsidRPr="006A60E1">
        <w:rPr>
          <w:rFonts w:cs="Arial"/>
        </w:rPr>
        <w:t>p</w:t>
      </w:r>
      <w:r w:rsidR="007E7F84" w:rsidRPr="006A60E1">
        <w:rPr>
          <w:rFonts w:cs="Arial"/>
        </w:rPr>
        <w:t xml:space="preserve">licant is a car enthusiast and anticipates storing his collection of </w:t>
      </w:r>
      <w:r w:rsidR="003E3633" w:rsidRPr="006A60E1">
        <w:rPr>
          <w:rFonts w:cs="Arial"/>
        </w:rPr>
        <w:t>automobiles</w:t>
      </w:r>
      <w:r w:rsidR="007E7F84" w:rsidRPr="006A60E1">
        <w:rPr>
          <w:rFonts w:cs="Arial"/>
        </w:rPr>
        <w:t xml:space="preserve"> within th</w:t>
      </w:r>
      <w:r w:rsidR="003E3633" w:rsidRPr="006A60E1">
        <w:rPr>
          <w:rFonts w:cs="Arial"/>
        </w:rPr>
        <w:t>e below grade area</w:t>
      </w:r>
      <w:r w:rsidR="007E7F84" w:rsidRPr="006A60E1">
        <w:rPr>
          <w:rFonts w:cs="Arial"/>
        </w:rPr>
        <w:t xml:space="preserve">. </w:t>
      </w:r>
    </w:p>
    <w:p w:rsidR="007E7F84" w:rsidRPr="00034710" w:rsidRDefault="007E7F84" w:rsidP="00034710">
      <w:pPr>
        <w:pStyle w:val="ListParagraph"/>
        <w:spacing w:beforeLines="150" w:before="360" w:afterLines="150" w:after="360" w:line="360" w:lineRule="auto"/>
        <w:jc w:val="left"/>
        <w:rPr>
          <w:rFonts w:cs="Arial"/>
          <w:b/>
        </w:rPr>
      </w:pPr>
      <w:r w:rsidRPr="00034710">
        <w:rPr>
          <w:rFonts w:cs="Arial"/>
          <w:b/>
        </w:rPr>
        <w:t>PLANNING EVIDENCE</w:t>
      </w:r>
    </w:p>
    <w:p w:rsidR="009B4A17" w:rsidRPr="006A60E1" w:rsidRDefault="00457D08"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David</w:t>
      </w:r>
      <w:r w:rsidR="000563EA" w:rsidRPr="006A60E1">
        <w:rPr>
          <w:rFonts w:cs="Arial"/>
        </w:rPr>
        <w:t xml:space="preserve"> Brown, a </w:t>
      </w:r>
      <w:r w:rsidR="00034710">
        <w:rPr>
          <w:rFonts w:cs="Arial"/>
        </w:rPr>
        <w:t>P</w:t>
      </w:r>
      <w:r w:rsidR="000563EA" w:rsidRPr="006A60E1">
        <w:rPr>
          <w:rFonts w:cs="Arial"/>
        </w:rPr>
        <w:t xml:space="preserve">rofessional </w:t>
      </w:r>
      <w:r w:rsidR="00034710">
        <w:rPr>
          <w:rFonts w:cs="Arial"/>
        </w:rPr>
        <w:t>P</w:t>
      </w:r>
      <w:r w:rsidR="000563EA" w:rsidRPr="006A60E1">
        <w:rPr>
          <w:rFonts w:cs="Arial"/>
        </w:rPr>
        <w:t xml:space="preserve">lanning </w:t>
      </w:r>
      <w:r w:rsidR="00034710">
        <w:rPr>
          <w:rFonts w:cs="Arial"/>
        </w:rPr>
        <w:t>C</w:t>
      </w:r>
      <w:r w:rsidR="000563EA" w:rsidRPr="006A60E1">
        <w:rPr>
          <w:rFonts w:cs="Arial"/>
        </w:rPr>
        <w:t xml:space="preserve">onsultant was qualified to provide </w:t>
      </w:r>
      <w:r w:rsidR="00862E1E">
        <w:rPr>
          <w:rFonts w:cs="Arial"/>
        </w:rPr>
        <w:t xml:space="preserve">expert </w:t>
      </w:r>
      <w:r w:rsidR="000563EA" w:rsidRPr="006A60E1">
        <w:rPr>
          <w:rFonts w:cs="Arial"/>
        </w:rPr>
        <w:t xml:space="preserve">opinion </w:t>
      </w:r>
      <w:r w:rsidR="00862E1E">
        <w:rPr>
          <w:rFonts w:cs="Arial"/>
        </w:rPr>
        <w:t xml:space="preserve">evidence </w:t>
      </w:r>
      <w:r w:rsidR="000563EA" w:rsidRPr="006A60E1">
        <w:rPr>
          <w:rFonts w:cs="Arial"/>
        </w:rPr>
        <w:t xml:space="preserve">in the field of land use planning. Mr. Brown was very thorough </w:t>
      </w:r>
      <w:r w:rsidR="00D0687A" w:rsidRPr="006A60E1">
        <w:rPr>
          <w:rFonts w:cs="Arial"/>
        </w:rPr>
        <w:t xml:space="preserve">in his testimony </w:t>
      </w:r>
      <w:r w:rsidR="000563EA" w:rsidRPr="006A60E1">
        <w:rPr>
          <w:rFonts w:cs="Arial"/>
        </w:rPr>
        <w:t xml:space="preserve">and was commended for his efforts in this regard. </w:t>
      </w:r>
    </w:p>
    <w:p w:rsidR="00D0687A" w:rsidRPr="006A60E1" w:rsidRDefault="00457D08"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W</w:t>
      </w:r>
      <w:r w:rsidR="00D0687A" w:rsidRPr="006A60E1">
        <w:rPr>
          <w:rFonts w:cs="Arial"/>
        </w:rPr>
        <w:t xml:space="preserve">ith regard to </w:t>
      </w:r>
      <w:r w:rsidR="00032E48" w:rsidRPr="006A60E1">
        <w:rPr>
          <w:rFonts w:cs="Arial"/>
        </w:rPr>
        <w:t>provincial</w:t>
      </w:r>
      <w:r w:rsidR="00D0687A" w:rsidRPr="006A60E1">
        <w:rPr>
          <w:rFonts w:cs="Arial"/>
        </w:rPr>
        <w:t xml:space="preserve"> policy, the planner</w:t>
      </w:r>
      <w:r w:rsidR="00032E48" w:rsidRPr="006A60E1">
        <w:rPr>
          <w:rFonts w:cs="Arial"/>
        </w:rPr>
        <w:t xml:space="preserve"> opined that the Provincial Policy Statement</w:t>
      </w:r>
      <w:r w:rsidR="00D0687A" w:rsidRPr="006A60E1">
        <w:rPr>
          <w:rFonts w:cs="Arial"/>
        </w:rPr>
        <w:t xml:space="preserve"> 2014 and the Growth Plan for the Greater Golden Horseshoe </w:t>
      </w:r>
      <w:r w:rsidRPr="006A60E1">
        <w:rPr>
          <w:rFonts w:cs="Arial"/>
        </w:rPr>
        <w:t>2017</w:t>
      </w:r>
      <w:r w:rsidR="00A539E5" w:rsidRPr="006A60E1">
        <w:rPr>
          <w:rFonts w:cs="Arial"/>
        </w:rPr>
        <w:t xml:space="preserve"> </w:t>
      </w:r>
      <w:r w:rsidR="00260BD4" w:rsidRPr="006A60E1">
        <w:rPr>
          <w:rFonts w:cs="Arial"/>
        </w:rPr>
        <w:t>encourage</w:t>
      </w:r>
      <w:r w:rsidRPr="006A60E1">
        <w:rPr>
          <w:rFonts w:cs="Arial"/>
        </w:rPr>
        <w:t xml:space="preserve"> </w:t>
      </w:r>
      <w:r w:rsidR="00D0687A" w:rsidRPr="006A60E1">
        <w:rPr>
          <w:rFonts w:cs="Arial"/>
        </w:rPr>
        <w:t xml:space="preserve">the efficient development of </w:t>
      </w:r>
      <w:r w:rsidRPr="006A60E1">
        <w:rPr>
          <w:rFonts w:cs="Arial"/>
        </w:rPr>
        <w:t>land on full municipal services</w:t>
      </w:r>
      <w:r w:rsidR="00862E1E">
        <w:rPr>
          <w:rFonts w:cs="Arial"/>
        </w:rPr>
        <w:t xml:space="preserve"> </w:t>
      </w:r>
      <w:r w:rsidR="00034710">
        <w:rPr>
          <w:rFonts w:cs="Arial"/>
        </w:rPr>
        <w:t>and</w:t>
      </w:r>
      <w:r w:rsidR="00A539E5" w:rsidRPr="006A60E1">
        <w:rPr>
          <w:rFonts w:cs="Arial"/>
        </w:rPr>
        <w:t xml:space="preserve"> </w:t>
      </w:r>
      <w:r w:rsidR="00862E1E">
        <w:rPr>
          <w:rFonts w:cs="Arial"/>
        </w:rPr>
        <w:t xml:space="preserve">these </w:t>
      </w:r>
      <w:r w:rsidR="00A539E5" w:rsidRPr="006A60E1">
        <w:rPr>
          <w:rFonts w:cs="Arial"/>
        </w:rPr>
        <w:t>policy objective</w:t>
      </w:r>
      <w:r w:rsidR="00850FF2" w:rsidRPr="006A60E1">
        <w:rPr>
          <w:rFonts w:cs="Arial"/>
        </w:rPr>
        <w:t>s</w:t>
      </w:r>
      <w:r w:rsidR="00A539E5" w:rsidRPr="006A60E1">
        <w:rPr>
          <w:rFonts w:cs="Arial"/>
        </w:rPr>
        <w:t xml:space="preserve"> </w:t>
      </w:r>
      <w:r w:rsidR="00862E1E">
        <w:rPr>
          <w:rFonts w:cs="Arial"/>
        </w:rPr>
        <w:t>were</w:t>
      </w:r>
      <w:r w:rsidR="00850FF2" w:rsidRPr="006A60E1">
        <w:rPr>
          <w:rFonts w:cs="Arial"/>
        </w:rPr>
        <w:t xml:space="preserve"> met by</w:t>
      </w:r>
      <w:r w:rsidRPr="006A60E1">
        <w:rPr>
          <w:rFonts w:cs="Arial"/>
        </w:rPr>
        <w:t xml:space="preserve"> the </w:t>
      </w:r>
      <w:r w:rsidR="00862E1E">
        <w:rPr>
          <w:rFonts w:cs="Arial"/>
        </w:rPr>
        <w:t>application in the planner’s view</w:t>
      </w:r>
      <w:proofErr w:type="gramStart"/>
      <w:r w:rsidR="00862E1E">
        <w:rPr>
          <w:rFonts w:cs="Arial"/>
        </w:rPr>
        <w:t>.</w:t>
      </w:r>
      <w:r w:rsidRPr="006A60E1">
        <w:rPr>
          <w:rFonts w:cs="Arial"/>
        </w:rPr>
        <w:t>.</w:t>
      </w:r>
      <w:proofErr w:type="gramEnd"/>
    </w:p>
    <w:p w:rsidR="00D0687A" w:rsidRPr="006A60E1" w:rsidRDefault="00D0687A" w:rsidP="006A60E1">
      <w:pPr>
        <w:spacing w:beforeLines="150" w:before="360" w:afterLines="150" w:after="360" w:line="360" w:lineRule="auto"/>
        <w:rPr>
          <w:rFonts w:ascii="Arial" w:hAnsi="Arial" w:cs="Arial"/>
        </w:rPr>
      </w:pPr>
    </w:p>
    <w:p w:rsidR="00D0687A" w:rsidRPr="006A60E1" w:rsidRDefault="00D0687A"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lastRenderedPageBreak/>
        <w:t xml:space="preserve">He testified that the OP acknowledges that </w:t>
      </w:r>
      <w:r w:rsidRPr="0072569C">
        <w:rPr>
          <w:rFonts w:cs="Arial"/>
          <w:lang w:val="en-CA"/>
        </w:rPr>
        <w:t>neighbourhoods</w:t>
      </w:r>
      <w:r w:rsidRPr="006A60E1">
        <w:rPr>
          <w:rFonts w:cs="Arial"/>
        </w:rPr>
        <w:t xml:space="preserve"> </w:t>
      </w:r>
      <w:r w:rsidR="00457D08" w:rsidRPr="006A60E1">
        <w:rPr>
          <w:rFonts w:cs="Arial"/>
        </w:rPr>
        <w:t>are not designated area</w:t>
      </w:r>
      <w:r w:rsidR="00032E48" w:rsidRPr="006A60E1">
        <w:rPr>
          <w:rFonts w:cs="Arial"/>
        </w:rPr>
        <w:t>s</w:t>
      </w:r>
      <w:r w:rsidR="00457D08" w:rsidRPr="006A60E1">
        <w:rPr>
          <w:rFonts w:cs="Arial"/>
        </w:rPr>
        <w:t xml:space="preserve"> of intensification, </w:t>
      </w:r>
      <w:r w:rsidR="00A539E5" w:rsidRPr="006A60E1">
        <w:rPr>
          <w:rFonts w:cs="Arial"/>
        </w:rPr>
        <w:t>but such areas</w:t>
      </w:r>
      <w:r w:rsidR="00457D08" w:rsidRPr="006A60E1">
        <w:rPr>
          <w:rFonts w:cs="Arial"/>
        </w:rPr>
        <w:t xml:space="preserve"> are not </w:t>
      </w:r>
      <w:r w:rsidR="00032E48" w:rsidRPr="006A60E1">
        <w:rPr>
          <w:rFonts w:cs="Arial"/>
        </w:rPr>
        <w:t xml:space="preserve">to </w:t>
      </w:r>
      <w:r w:rsidR="00A539E5" w:rsidRPr="006A60E1">
        <w:rPr>
          <w:rFonts w:cs="Arial"/>
        </w:rPr>
        <w:t>remain “static”</w:t>
      </w:r>
      <w:r w:rsidR="00457D08" w:rsidRPr="006A60E1">
        <w:rPr>
          <w:rFonts w:cs="Arial"/>
        </w:rPr>
        <w:t xml:space="preserve"> or obliged to “imitate previous development patterns”.</w:t>
      </w:r>
      <w:r w:rsidR="00032E48" w:rsidRPr="006A60E1">
        <w:rPr>
          <w:rFonts w:cs="Arial"/>
        </w:rPr>
        <w:t xml:space="preserve"> </w:t>
      </w:r>
      <w:r w:rsidR="00457D08" w:rsidRPr="006A60E1">
        <w:rPr>
          <w:rFonts w:cs="Arial"/>
        </w:rPr>
        <w:t>He c</w:t>
      </w:r>
      <w:r w:rsidR="00032E48" w:rsidRPr="006A60E1">
        <w:rPr>
          <w:rFonts w:cs="Arial"/>
        </w:rPr>
        <w:t>ited OP policies that encourage</w:t>
      </w:r>
      <w:r w:rsidR="00457D08" w:rsidRPr="006A60E1">
        <w:rPr>
          <w:rFonts w:cs="Arial"/>
        </w:rPr>
        <w:t xml:space="preserve"> appropriate infill actions that serv</w:t>
      </w:r>
      <w:r w:rsidR="00FF470E" w:rsidRPr="006A60E1">
        <w:rPr>
          <w:rFonts w:cs="Arial"/>
        </w:rPr>
        <w:t>e to revitalize areas but</w:t>
      </w:r>
      <w:r w:rsidR="00AE2A68" w:rsidRPr="006A60E1">
        <w:rPr>
          <w:rFonts w:cs="Arial"/>
        </w:rPr>
        <w:t xml:space="preserve"> which </w:t>
      </w:r>
      <w:r w:rsidR="00457D08" w:rsidRPr="006A60E1">
        <w:rPr>
          <w:rFonts w:cs="Arial"/>
        </w:rPr>
        <w:t xml:space="preserve">“minimize undue </w:t>
      </w:r>
      <w:r w:rsidR="00FF470E" w:rsidRPr="006A60E1">
        <w:rPr>
          <w:rFonts w:cs="Arial"/>
        </w:rPr>
        <w:t>impacts on adjacent properties”,</w:t>
      </w:r>
      <w:r w:rsidR="00496AC5" w:rsidRPr="006A60E1">
        <w:rPr>
          <w:rFonts w:cs="Arial"/>
        </w:rPr>
        <w:t xml:space="preserve"> </w:t>
      </w:r>
      <w:r w:rsidR="00FF470E" w:rsidRPr="006A60E1">
        <w:rPr>
          <w:rFonts w:cs="Arial"/>
        </w:rPr>
        <w:t>duel objectives</w:t>
      </w:r>
      <w:r w:rsidR="00AE2A68" w:rsidRPr="006A60E1">
        <w:rPr>
          <w:rFonts w:cs="Arial"/>
        </w:rPr>
        <w:t xml:space="preserve"> also </w:t>
      </w:r>
      <w:r w:rsidR="00260BD4" w:rsidRPr="006A60E1">
        <w:rPr>
          <w:rFonts w:cs="Arial"/>
        </w:rPr>
        <w:t>met</w:t>
      </w:r>
      <w:r w:rsidR="00032E48" w:rsidRPr="006A60E1">
        <w:rPr>
          <w:rFonts w:cs="Arial"/>
        </w:rPr>
        <w:t xml:space="preserve"> by the application in his opinion.</w:t>
      </w:r>
      <w:r w:rsidR="00457D08" w:rsidRPr="006A60E1">
        <w:rPr>
          <w:rFonts w:cs="Arial"/>
        </w:rPr>
        <w:t xml:space="preserve"> </w:t>
      </w:r>
    </w:p>
    <w:p w:rsidR="00457D08" w:rsidRPr="006A60E1" w:rsidRDefault="00457D08"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 xml:space="preserve">The planner opined pursuant to section 45(1) of the </w:t>
      </w:r>
      <w:r w:rsidRPr="00862E1E">
        <w:rPr>
          <w:rFonts w:cs="Arial"/>
          <w:i/>
        </w:rPr>
        <w:t>Planning Act</w:t>
      </w:r>
      <w:r w:rsidR="00742B12" w:rsidRPr="006A60E1">
        <w:rPr>
          <w:rFonts w:cs="Arial"/>
        </w:rPr>
        <w:t>, that the appl</w:t>
      </w:r>
      <w:r w:rsidR="00496AC5" w:rsidRPr="006A60E1">
        <w:rPr>
          <w:rFonts w:cs="Arial"/>
        </w:rPr>
        <w:t>ication met the general</w:t>
      </w:r>
      <w:r w:rsidR="00FF470E" w:rsidRPr="006A60E1">
        <w:rPr>
          <w:rFonts w:cs="Arial"/>
        </w:rPr>
        <w:t xml:space="preserve"> intent </w:t>
      </w:r>
      <w:r w:rsidR="00496AC5" w:rsidRPr="006A60E1">
        <w:rPr>
          <w:rFonts w:cs="Arial"/>
        </w:rPr>
        <w:t xml:space="preserve">and purpose </w:t>
      </w:r>
      <w:r w:rsidR="00742B12" w:rsidRPr="006A60E1">
        <w:rPr>
          <w:rFonts w:cs="Arial"/>
        </w:rPr>
        <w:t xml:space="preserve">of </w:t>
      </w:r>
      <w:r w:rsidR="00FF470E" w:rsidRPr="006A60E1">
        <w:rPr>
          <w:rFonts w:cs="Arial"/>
        </w:rPr>
        <w:t xml:space="preserve">both </w:t>
      </w:r>
      <w:r w:rsidR="00260BD4" w:rsidRPr="006A60E1">
        <w:rPr>
          <w:rFonts w:cs="Arial"/>
        </w:rPr>
        <w:t>the OP and ZB;</w:t>
      </w:r>
      <w:r w:rsidR="00742B12" w:rsidRPr="006A60E1">
        <w:rPr>
          <w:rFonts w:cs="Arial"/>
        </w:rPr>
        <w:t xml:space="preserve"> was desirable for the use and development of the land because five out the six variances relate to the </w:t>
      </w:r>
      <w:r w:rsidR="00032E48" w:rsidRPr="006A60E1">
        <w:rPr>
          <w:rFonts w:cs="Arial"/>
        </w:rPr>
        <w:t>proposed</w:t>
      </w:r>
      <w:r w:rsidR="00742B12" w:rsidRPr="006A60E1">
        <w:rPr>
          <w:rFonts w:cs="Arial"/>
        </w:rPr>
        <w:t xml:space="preserve"> </w:t>
      </w:r>
      <w:r w:rsidR="00032E48" w:rsidRPr="006A60E1">
        <w:rPr>
          <w:rFonts w:cs="Arial"/>
        </w:rPr>
        <w:t>subterranean</w:t>
      </w:r>
      <w:r w:rsidR="00742B12" w:rsidRPr="006A60E1">
        <w:rPr>
          <w:rFonts w:cs="Arial"/>
        </w:rPr>
        <w:t xml:space="preserve"> garage which has no visible presence on the subject lands</w:t>
      </w:r>
      <w:r w:rsidR="00032E48" w:rsidRPr="006A60E1">
        <w:rPr>
          <w:rFonts w:cs="Arial"/>
        </w:rPr>
        <w:t>;</w:t>
      </w:r>
      <w:r w:rsidR="00742B12" w:rsidRPr="006A60E1">
        <w:rPr>
          <w:rFonts w:cs="Arial"/>
        </w:rPr>
        <w:t xml:space="preserve"> and </w:t>
      </w:r>
      <w:r w:rsidR="002872E0" w:rsidRPr="006A60E1">
        <w:rPr>
          <w:rFonts w:cs="Arial"/>
        </w:rPr>
        <w:t>further</w:t>
      </w:r>
      <w:r w:rsidR="00862E1E">
        <w:rPr>
          <w:rFonts w:cs="Arial"/>
        </w:rPr>
        <w:t>,</w:t>
      </w:r>
      <w:r w:rsidR="002872E0" w:rsidRPr="006A60E1">
        <w:rPr>
          <w:rFonts w:cs="Arial"/>
        </w:rPr>
        <w:t xml:space="preserve"> </w:t>
      </w:r>
      <w:r w:rsidR="00742B12" w:rsidRPr="006A60E1">
        <w:rPr>
          <w:rFonts w:cs="Arial"/>
        </w:rPr>
        <w:t xml:space="preserve">that </w:t>
      </w:r>
      <w:r w:rsidR="002872E0" w:rsidRPr="006A60E1">
        <w:rPr>
          <w:rFonts w:cs="Arial"/>
        </w:rPr>
        <w:t xml:space="preserve">the </w:t>
      </w:r>
      <w:r w:rsidR="00742B12" w:rsidRPr="006A60E1">
        <w:rPr>
          <w:rFonts w:cs="Arial"/>
        </w:rPr>
        <w:t xml:space="preserve">variances were </w:t>
      </w:r>
      <w:r w:rsidR="00032E48" w:rsidRPr="006A60E1">
        <w:rPr>
          <w:rFonts w:cs="Arial"/>
        </w:rPr>
        <w:t>singularly and</w:t>
      </w:r>
      <w:r w:rsidR="002872E0" w:rsidRPr="006A60E1">
        <w:rPr>
          <w:rFonts w:cs="Arial"/>
        </w:rPr>
        <w:t xml:space="preserve"> </w:t>
      </w:r>
      <w:r w:rsidR="00032E48" w:rsidRPr="006A60E1">
        <w:rPr>
          <w:rFonts w:cs="Arial"/>
        </w:rPr>
        <w:t>collectively minor</w:t>
      </w:r>
      <w:r w:rsidR="00742B12" w:rsidRPr="006A60E1">
        <w:rPr>
          <w:rFonts w:cs="Arial"/>
        </w:rPr>
        <w:t xml:space="preserve">. During his testimony, Mr. Brown </w:t>
      </w:r>
      <w:r w:rsidR="00032E48" w:rsidRPr="006A60E1">
        <w:rPr>
          <w:rFonts w:cs="Arial"/>
        </w:rPr>
        <w:t>emphasized</w:t>
      </w:r>
      <w:r w:rsidR="00742B12" w:rsidRPr="006A60E1">
        <w:rPr>
          <w:rFonts w:cs="Arial"/>
        </w:rPr>
        <w:t xml:space="preserve"> that the side</w:t>
      </w:r>
      <w:r w:rsidR="00032E48" w:rsidRPr="006A60E1">
        <w:rPr>
          <w:rFonts w:cs="Arial"/>
        </w:rPr>
        <w:t xml:space="preserve"> </w:t>
      </w:r>
      <w:r w:rsidR="00260BD4" w:rsidRPr="006A60E1">
        <w:rPr>
          <w:rFonts w:cs="Arial"/>
        </w:rPr>
        <w:t>yard variance</w:t>
      </w:r>
      <w:r w:rsidR="00742B12" w:rsidRPr="006A60E1">
        <w:rPr>
          <w:rFonts w:cs="Arial"/>
        </w:rPr>
        <w:t>, whic</w:t>
      </w:r>
      <w:r w:rsidR="00260BD4" w:rsidRPr="006A60E1">
        <w:rPr>
          <w:rFonts w:cs="Arial"/>
        </w:rPr>
        <w:t>h is</w:t>
      </w:r>
      <w:r w:rsidR="00DE1BD9" w:rsidRPr="006A60E1">
        <w:rPr>
          <w:rFonts w:cs="Arial"/>
        </w:rPr>
        <w:t xml:space="preserve"> the only </w:t>
      </w:r>
      <w:r w:rsidR="00260BD4" w:rsidRPr="006A60E1">
        <w:rPr>
          <w:rFonts w:cs="Arial"/>
        </w:rPr>
        <w:t>variance</w:t>
      </w:r>
      <w:r w:rsidR="00A539E5" w:rsidRPr="006A60E1">
        <w:rPr>
          <w:rFonts w:cs="Arial"/>
        </w:rPr>
        <w:t xml:space="preserve"> not</w:t>
      </w:r>
      <w:r w:rsidR="00DE1BD9" w:rsidRPr="006A60E1">
        <w:rPr>
          <w:rFonts w:cs="Arial"/>
        </w:rPr>
        <w:t xml:space="preserve"> associated</w:t>
      </w:r>
      <w:r w:rsidR="00742B12" w:rsidRPr="006A60E1">
        <w:rPr>
          <w:rFonts w:cs="Arial"/>
        </w:rPr>
        <w:t xml:space="preserve"> w</w:t>
      </w:r>
      <w:r w:rsidR="00DE1BD9" w:rsidRPr="006A60E1">
        <w:rPr>
          <w:rFonts w:cs="Arial"/>
        </w:rPr>
        <w:t>ith the be</w:t>
      </w:r>
      <w:r w:rsidR="00260BD4" w:rsidRPr="006A60E1">
        <w:rPr>
          <w:rFonts w:cs="Arial"/>
        </w:rPr>
        <w:t>low grade garage structure, is</w:t>
      </w:r>
      <w:r w:rsidR="00DE1BD9" w:rsidRPr="006A60E1">
        <w:rPr>
          <w:rFonts w:cs="Arial"/>
        </w:rPr>
        <w:t xml:space="preserve"> appropriate </w:t>
      </w:r>
      <w:r w:rsidR="00742B12" w:rsidRPr="006A60E1">
        <w:rPr>
          <w:rFonts w:cs="Arial"/>
        </w:rPr>
        <w:t xml:space="preserve">because </w:t>
      </w:r>
      <w:r w:rsidR="00032E48" w:rsidRPr="006A60E1">
        <w:rPr>
          <w:rFonts w:cs="Arial"/>
        </w:rPr>
        <w:t xml:space="preserve">the east and west sidewalls </w:t>
      </w:r>
      <w:r w:rsidR="009662AD" w:rsidRPr="006A60E1">
        <w:rPr>
          <w:rFonts w:cs="Arial"/>
        </w:rPr>
        <w:t xml:space="preserve">of the new home </w:t>
      </w:r>
      <w:r w:rsidR="00032E48" w:rsidRPr="006A60E1">
        <w:rPr>
          <w:rFonts w:cs="Arial"/>
        </w:rPr>
        <w:t>fa</w:t>
      </w:r>
      <w:r w:rsidR="00742B12" w:rsidRPr="006A60E1">
        <w:rPr>
          <w:rFonts w:cs="Arial"/>
        </w:rPr>
        <w:t xml:space="preserve">cing the adjacent </w:t>
      </w:r>
      <w:r w:rsidR="00032E48" w:rsidRPr="006A60E1">
        <w:rPr>
          <w:rFonts w:cs="Arial"/>
        </w:rPr>
        <w:t xml:space="preserve">residential </w:t>
      </w:r>
      <w:r w:rsidR="00742B12" w:rsidRPr="006A60E1">
        <w:rPr>
          <w:rFonts w:cs="Arial"/>
        </w:rPr>
        <w:t xml:space="preserve">properties on the west and east </w:t>
      </w:r>
      <w:r w:rsidR="006C2618" w:rsidRPr="006A60E1">
        <w:rPr>
          <w:rFonts w:cs="Arial"/>
        </w:rPr>
        <w:t>property</w:t>
      </w:r>
      <w:r w:rsidR="00742B12" w:rsidRPr="006A60E1">
        <w:rPr>
          <w:rFonts w:cs="Arial"/>
        </w:rPr>
        <w:t xml:space="preserve"> boundaries are either </w:t>
      </w:r>
      <w:r w:rsidR="00742B12" w:rsidRPr="0072569C">
        <w:rPr>
          <w:rFonts w:cs="Arial"/>
          <w:lang w:val="en-CA"/>
        </w:rPr>
        <w:t xml:space="preserve">single storey (east side) or </w:t>
      </w:r>
      <w:r w:rsidR="00A539E5" w:rsidRPr="0072569C">
        <w:rPr>
          <w:rFonts w:cs="Arial"/>
          <w:lang w:val="en-CA"/>
        </w:rPr>
        <w:t>ar</w:t>
      </w:r>
      <w:r w:rsidR="00111826" w:rsidRPr="0072569C">
        <w:rPr>
          <w:rFonts w:cs="Arial"/>
          <w:lang w:val="en-CA"/>
        </w:rPr>
        <w:t xml:space="preserve">e </w:t>
      </w:r>
      <w:r w:rsidR="00742B12" w:rsidRPr="0072569C">
        <w:rPr>
          <w:rFonts w:cs="Arial"/>
          <w:lang w:val="en-CA"/>
        </w:rPr>
        <w:t>only partially two storey</w:t>
      </w:r>
      <w:r w:rsidR="00034710" w:rsidRPr="0072569C">
        <w:rPr>
          <w:rFonts w:cs="Arial"/>
          <w:lang w:val="en-CA"/>
        </w:rPr>
        <w:t>s</w:t>
      </w:r>
      <w:r w:rsidR="00742B12" w:rsidRPr="0072569C">
        <w:rPr>
          <w:rFonts w:cs="Arial"/>
          <w:lang w:val="en-CA"/>
        </w:rPr>
        <w:t xml:space="preserve"> </w:t>
      </w:r>
      <w:r w:rsidR="00DE1BD9" w:rsidRPr="0072569C">
        <w:rPr>
          <w:rFonts w:cs="Arial"/>
          <w:lang w:val="en-CA"/>
        </w:rPr>
        <w:t xml:space="preserve">in height </w:t>
      </w:r>
      <w:r w:rsidR="00111826" w:rsidRPr="0072569C">
        <w:rPr>
          <w:rFonts w:cs="Arial"/>
          <w:lang w:val="en-CA"/>
        </w:rPr>
        <w:t xml:space="preserve">as </w:t>
      </w:r>
      <w:r w:rsidR="00DE1BD9" w:rsidRPr="0072569C">
        <w:rPr>
          <w:rFonts w:cs="Arial"/>
          <w:lang w:val="en-CA"/>
        </w:rPr>
        <w:t>on the west boundary. The trees</w:t>
      </w:r>
      <w:r w:rsidR="00862E1E">
        <w:rPr>
          <w:rFonts w:cs="Arial"/>
          <w:lang w:val="en-CA"/>
        </w:rPr>
        <w:t>,</w:t>
      </w:r>
      <w:r w:rsidR="00DE1BD9" w:rsidRPr="0072569C">
        <w:rPr>
          <w:rFonts w:cs="Arial"/>
          <w:lang w:val="en-CA"/>
        </w:rPr>
        <w:t xml:space="preserve"> which will be removed by the construction program, five in a</w:t>
      </w:r>
      <w:r w:rsidR="00A539E5" w:rsidRPr="0072569C">
        <w:rPr>
          <w:rFonts w:cs="Arial"/>
          <w:lang w:val="en-CA"/>
        </w:rPr>
        <w:t>ll, will be replaced within</w:t>
      </w:r>
      <w:r w:rsidR="00DE1BD9" w:rsidRPr="0072569C">
        <w:rPr>
          <w:rFonts w:cs="Arial"/>
          <w:lang w:val="en-CA"/>
        </w:rPr>
        <w:t xml:space="preserve"> the side yards in accordance with site plan control</w:t>
      </w:r>
      <w:r w:rsidR="00A539E5" w:rsidRPr="0072569C">
        <w:rPr>
          <w:rFonts w:cs="Arial"/>
          <w:lang w:val="en-CA"/>
        </w:rPr>
        <w:t>,</w:t>
      </w:r>
      <w:r w:rsidR="00DE1BD9" w:rsidRPr="0072569C">
        <w:rPr>
          <w:rFonts w:cs="Arial"/>
          <w:lang w:val="en-CA"/>
        </w:rPr>
        <w:t xml:space="preserve"> and because the adjacent neighbours do</w:t>
      </w:r>
      <w:r w:rsidR="00DE1BD9" w:rsidRPr="006A60E1">
        <w:rPr>
          <w:rFonts w:cs="Arial"/>
        </w:rPr>
        <w:t xml:space="preserve"> not oppose the applicat</w:t>
      </w:r>
      <w:r w:rsidR="00260BD4" w:rsidRPr="006A60E1">
        <w:rPr>
          <w:rFonts w:cs="Arial"/>
        </w:rPr>
        <w:t>ion, the impact of the variance</w:t>
      </w:r>
      <w:r w:rsidR="00DE1BD9" w:rsidRPr="006A60E1">
        <w:rPr>
          <w:rFonts w:cs="Arial"/>
        </w:rPr>
        <w:t xml:space="preserve"> is deemed to be not adverse or materially impactful. </w:t>
      </w:r>
    </w:p>
    <w:p w:rsidR="00D36132" w:rsidRPr="00034710" w:rsidRDefault="00D36132" w:rsidP="00034710">
      <w:pPr>
        <w:pStyle w:val="ListParagraph"/>
        <w:spacing w:beforeLines="150" w:before="360" w:afterLines="150" w:after="360" w:line="360" w:lineRule="auto"/>
        <w:jc w:val="left"/>
        <w:rPr>
          <w:rFonts w:cs="Arial"/>
          <w:b/>
        </w:rPr>
      </w:pPr>
      <w:r w:rsidRPr="00034710">
        <w:rPr>
          <w:rFonts w:cs="Arial"/>
          <w:b/>
        </w:rPr>
        <w:t>PARTICIPANT</w:t>
      </w:r>
    </w:p>
    <w:p w:rsidR="00D36132" w:rsidRPr="006A60E1" w:rsidRDefault="00D36132"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Speaking on behalf of the Credit Reserve Association, the local ratepa</w:t>
      </w:r>
      <w:r w:rsidR="00740D40" w:rsidRPr="006A60E1">
        <w:rPr>
          <w:rFonts w:cs="Arial"/>
        </w:rPr>
        <w:t>y</w:t>
      </w:r>
      <w:r w:rsidRPr="006A60E1">
        <w:rPr>
          <w:rFonts w:cs="Arial"/>
        </w:rPr>
        <w:t xml:space="preserve">er </w:t>
      </w:r>
      <w:r w:rsidR="00740D40" w:rsidRPr="006A60E1">
        <w:rPr>
          <w:rFonts w:cs="Arial"/>
        </w:rPr>
        <w:t xml:space="preserve">organization, Maria </w:t>
      </w:r>
      <w:proofErr w:type="spellStart"/>
      <w:r w:rsidR="00740D40" w:rsidRPr="006A60E1">
        <w:rPr>
          <w:rFonts w:cs="Arial"/>
        </w:rPr>
        <w:t>Furlin</w:t>
      </w:r>
      <w:proofErr w:type="spellEnd"/>
      <w:r w:rsidR="0029045A">
        <w:rPr>
          <w:rFonts w:cs="Arial"/>
        </w:rPr>
        <w:t>,</w:t>
      </w:r>
      <w:r w:rsidRPr="006A60E1">
        <w:rPr>
          <w:rFonts w:cs="Arial"/>
        </w:rPr>
        <w:t xml:space="preserve"> President, stated that the </w:t>
      </w:r>
      <w:r w:rsidR="00740D40" w:rsidRPr="006A60E1">
        <w:rPr>
          <w:rFonts w:cs="Arial"/>
        </w:rPr>
        <w:t>variances</w:t>
      </w:r>
      <w:r w:rsidRPr="006A60E1">
        <w:rPr>
          <w:rFonts w:cs="Arial"/>
        </w:rPr>
        <w:t xml:space="preserve"> promote the over development </w:t>
      </w:r>
      <w:r w:rsidR="00740D40" w:rsidRPr="006A60E1">
        <w:rPr>
          <w:rFonts w:cs="Arial"/>
        </w:rPr>
        <w:t>of the subject property to an unprecedented</w:t>
      </w:r>
      <w:r w:rsidRPr="006A60E1">
        <w:rPr>
          <w:rFonts w:cs="Arial"/>
        </w:rPr>
        <w:t xml:space="preserve"> </w:t>
      </w:r>
      <w:r w:rsidR="00740D40" w:rsidRPr="006A60E1">
        <w:rPr>
          <w:rFonts w:cs="Arial"/>
        </w:rPr>
        <w:t>degree within</w:t>
      </w:r>
      <w:r w:rsidRPr="006A60E1">
        <w:rPr>
          <w:rFonts w:cs="Arial"/>
        </w:rPr>
        <w:t xml:space="preserve"> the </w:t>
      </w:r>
      <w:r w:rsidRPr="0072569C">
        <w:rPr>
          <w:rFonts w:cs="Arial"/>
          <w:lang w:val="en-CA"/>
        </w:rPr>
        <w:t>neighbourhood f</w:t>
      </w:r>
      <w:r w:rsidRPr="006A60E1">
        <w:rPr>
          <w:rFonts w:cs="Arial"/>
        </w:rPr>
        <w:t xml:space="preserve">or a property of its </w:t>
      </w:r>
      <w:r w:rsidR="008B7401" w:rsidRPr="006A60E1">
        <w:rPr>
          <w:rFonts w:cs="Arial"/>
        </w:rPr>
        <w:t xml:space="preserve">more limited </w:t>
      </w:r>
      <w:r w:rsidR="00740D40" w:rsidRPr="006A60E1">
        <w:rPr>
          <w:rFonts w:cs="Arial"/>
        </w:rPr>
        <w:t>dimensions</w:t>
      </w:r>
      <w:r w:rsidR="008B7401" w:rsidRPr="006A60E1">
        <w:rPr>
          <w:rFonts w:cs="Arial"/>
        </w:rPr>
        <w:t xml:space="preserve"> </w:t>
      </w:r>
      <w:r w:rsidR="00740D40" w:rsidRPr="006A60E1">
        <w:rPr>
          <w:rFonts w:cs="Arial"/>
        </w:rPr>
        <w:t>i</w:t>
      </w:r>
      <w:r w:rsidR="008B7401" w:rsidRPr="006A60E1">
        <w:rPr>
          <w:rFonts w:cs="Arial"/>
        </w:rPr>
        <w:t xml:space="preserve">n comparison with the majority of </w:t>
      </w:r>
      <w:r w:rsidR="00740D40" w:rsidRPr="0029045A">
        <w:rPr>
          <w:rFonts w:cs="Arial"/>
          <w:lang w:val="en-CA"/>
        </w:rPr>
        <w:t>neighbourhood</w:t>
      </w:r>
      <w:r w:rsidR="00740D40" w:rsidRPr="006A60E1">
        <w:rPr>
          <w:rFonts w:cs="Arial"/>
        </w:rPr>
        <w:t xml:space="preserve"> </w:t>
      </w:r>
      <w:r w:rsidR="008B7401" w:rsidRPr="006A60E1">
        <w:rPr>
          <w:rFonts w:cs="Arial"/>
        </w:rPr>
        <w:t>lots</w:t>
      </w:r>
      <w:r w:rsidR="00862E1E">
        <w:rPr>
          <w:rFonts w:cs="Arial"/>
        </w:rPr>
        <w:t xml:space="preserve"> which are larger.</w:t>
      </w:r>
      <w:r w:rsidR="0029045A">
        <w:rPr>
          <w:rFonts w:cs="Arial"/>
        </w:rPr>
        <w:t xml:space="preserve"> </w:t>
      </w:r>
      <w:r w:rsidR="008B7401" w:rsidRPr="006A60E1">
        <w:rPr>
          <w:rFonts w:cs="Arial"/>
        </w:rPr>
        <w:t xml:space="preserve"> </w:t>
      </w:r>
      <w:r w:rsidRPr="006A60E1">
        <w:rPr>
          <w:rFonts w:cs="Arial"/>
        </w:rPr>
        <w:t xml:space="preserve">Unlike nearby homes which are well setback from the front lot line on lots which are </w:t>
      </w:r>
      <w:r w:rsidR="00FF470E" w:rsidRPr="006A60E1">
        <w:rPr>
          <w:rFonts w:cs="Arial"/>
        </w:rPr>
        <w:t xml:space="preserve">generally </w:t>
      </w:r>
      <w:r w:rsidRPr="006A60E1">
        <w:rPr>
          <w:rFonts w:cs="Arial"/>
        </w:rPr>
        <w:t>deeper than the sub</w:t>
      </w:r>
      <w:r w:rsidR="00740D40" w:rsidRPr="006A60E1">
        <w:rPr>
          <w:rFonts w:cs="Arial"/>
        </w:rPr>
        <w:t>ject property, the proposed res</w:t>
      </w:r>
      <w:r w:rsidRPr="006A60E1">
        <w:rPr>
          <w:rFonts w:cs="Arial"/>
        </w:rPr>
        <w:t>idence will be set</w:t>
      </w:r>
      <w:r w:rsidR="00AD601A">
        <w:rPr>
          <w:rFonts w:cs="Arial"/>
        </w:rPr>
        <w:t xml:space="preserve"> </w:t>
      </w:r>
      <w:r w:rsidRPr="006A60E1">
        <w:rPr>
          <w:rFonts w:cs="Arial"/>
        </w:rPr>
        <w:t xml:space="preserve">back in a manner </w:t>
      </w:r>
      <w:r w:rsidR="00740D40" w:rsidRPr="006A60E1">
        <w:rPr>
          <w:rFonts w:cs="Arial"/>
        </w:rPr>
        <w:t xml:space="preserve">quite </w:t>
      </w:r>
      <w:r w:rsidRPr="006A60E1">
        <w:rPr>
          <w:rFonts w:cs="Arial"/>
        </w:rPr>
        <w:t xml:space="preserve">out of character </w:t>
      </w:r>
      <w:r w:rsidRPr="006A60E1">
        <w:rPr>
          <w:rFonts w:cs="Arial"/>
        </w:rPr>
        <w:lastRenderedPageBreak/>
        <w:t xml:space="preserve">with the neighbourhood. Additionally, the new building will </w:t>
      </w:r>
      <w:r w:rsidR="00740D40" w:rsidRPr="006A60E1">
        <w:rPr>
          <w:rFonts w:cs="Arial"/>
        </w:rPr>
        <w:t xml:space="preserve">unnecessarily </w:t>
      </w:r>
      <w:r w:rsidRPr="006A60E1">
        <w:rPr>
          <w:rFonts w:cs="Arial"/>
        </w:rPr>
        <w:t>damage and remove mature trees within reduced side</w:t>
      </w:r>
      <w:r w:rsidR="00111826" w:rsidRPr="006A60E1">
        <w:rPr>
          <w:rFonts w:cs="Arial"/>
        </w:rPr>
        <w:t xml:space="preserve"> </w:t>
      </w:r>
      <w:r w:rsidR="00740D40" w:rsidRPr="006A60E1">
        <w:rPr>
          <w:rFonts w:cs="Arial"/>
        </w:rPr>
        <w:t>yard corridors</w:t>
      </w:r>
      <w:r w:rsidRPr="006A60E1">
        <w:rPr>
          <w:rFonts w:cs="Arial"/>
        </w:rPr>
        <w:t xml:space="preserve">. </w:t>
      </w:r>
    </w:p>
    <w:p w:rsidR="00457D08" w:rsidRPr="0029045A" w:rsidRDefault="008B7401" w:rsidP="0029045A">
      <w:pPr>
        <w:pStyle w:val="ListParagraph"/>
        <w:spacing w:beforeLines="150" w:before="360" w:afterLines="150" w:after="360" w:line="360" w:lineRule="auto"/>
        <w:jc w:val="left"/>
        <w:rPr>
          <w:rFonts w:cs="Arial"/>
          <w:b/>
        </w:rPr>
      </w:pPr>
      <w:r w:rsidRPr="0029045A">
        <w:rPr>
          <w:rFonts w:cs="Arial"/>
          <w:b/>
        </w:rPr>
        <w:t>FINDINGS</w:t>
      </w:r>
    </w:p>
    <w:p w:rsidR="007B28F7" w:rsidRPr="006A60E1" w:rsidRDefault="00015C47"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As noted,</w:t>
      </w:r>
      <w:r w:rsidR="008B7401" w:rsidRPr="006A60E1">
        <w:rPr>
          <w:rFonts w:cs="Arial"/>
        </w:rPr>
        <w:t xml:space="preserve"> the oral decision </w:t>
      </w:r>
      <w:r w:rsidRPr="006A60E1">
        <w:rPr>
          <w:rFonts w:cs="Arial"/>
        </w:rPr>
        <w:t xml:space="preserve">made </w:t>
      </w:r>
      <w:r w:rsidR="008B7401" w:rsidRPr="006A60E1">
        <w:rPr>
          <w:rFonts w:cs="Arial"/>
        </w:rPr>
        <w:t xml:space="preserve">in </w:t>
      </w:r>
      <w:r w:rsidR="008B7401" w:rsidRPr="0029045A">
        <w:rPr>
          <w:rFonts w:cs="Arial"/>
          <w:lang w:val="en-CA"/>
        </w:rPr>
        <w:t>favour</w:t>
      </w:r>
      <w:r w:rsidR="008B7401" w:rsidRPr="006A60E1">
        <w:rPr>
          <w:rFonts w:cs="Arial"/>
        </w:rPr>
        <w:t xml:space="preserve"> of the Applicant </w:t>
      </w:r>
      <w:r w:rsidR="001F672D" w:rsidRPr="006A60E1">
        <w:rPr>
          <w:rFonts w:cs="Arial"/>
        </w:rPr>
        <w:t xml:space="preserve">was delivered </w:t>
      </w:r>
      <w:r w:rsidR="008B7401" w:rsidRPr="006A60E1">
        <w:rPr>
          <w:rFonts w:cs="Arial"/>
        </w:rPr>
        <w:t>in consideration that the below grade gar</w:t>
      </w:r>
      <w:r w:rsidR="00740D40" w:rsidRPr="006A60E1">
        <w:rPr>
          <w:rFonts w:cs="Arial"/>
        </w:rPr>
        <w:t>age space, invisible as it will</w:t>
      </w:r>
      <w:r w:rsidR="009662AD" w:rsidRPr="006A60E1">
        <w:rPr>
          <w:rFonts w:cs="Arial"/>
        </w:rPr>
        <w:t xml:space="preserve"> be, has only a</w:t>
      </w:r>
      <w:r w:rsidR="00B205BC" w:rsidRPr="006A60E1">
        <w:rPr>
          <w:rFonts w:cs="Arial"/>
        </w:rPr>
        <w:t xml:space="preserve"> </w:t>
      </w:r>
      <w:r w:rsidR="009662AD" w:rsidRPr="006A60E1">
        <w:rPr>
          <w:rFonts w:cs="Arial"/>
        </w:rPr>
        <w:t>numeric impact</w:t>
      </w:r>
      <w:r w:rsidR="00B205BC" w:rsidRPr="006A60E1">
        <w:rPr>
          <w:rFonts w:cs="Arial"/>
        </w:rPr>
        <w:t xml:space="preserve"> rather than</w:t>
      </w:r>
      <w:r w:rsidR="0029045A">
        <w:rPr>
          <w:rFonts w:cs="Arial"/>
        </w:rPr>
        <w:t xml:space="preserve"> a </w:t>
      </w:r>
      <w:r w:rsidR="00B205BC" w:rsidRPr="006A60E1">
        <w:rPr>
          <w:rFonts w:cs="Arial"/>
        </w:rPr>
        <w:t xml:space="preserve">material </w:t>
      </w:r>
      <w:r w:rsidR="009662AD" w:rsidRPr="006A60E1">
        <w:rPr>
          <w:rFonts w:cs="Arial"/>
        </w:rPr>
        <w:t xml:space="preserve">or negative </w:t>
      </w:r>
      <w:r w:rsidR="00B205BC" w:rsidRPr="006A60E1">
        <w:rPr>
          <w:rFonts w:cs="Arial"/>
        </w:rPr>
        <w:t>one</w:t>
      </w:r>
      <w:r w:rsidR="009662AD" w:rsidRPr="006A60E1">
        <w:rPr>
          <w:rFonts w:cs="Arial"/>
        </w:rPr>
        <w:t xml:space="preserve"> on the subject lands and neighbourhood</w:t>
      </w:r>
      <w:r w:rsidR="00B205BC" w:rsidRPr="006A60E1">
        <w:rPr>
          <w:rFonts w:cs="Arial"/>
        </w:rPr>
        <w:t xml:space="preserve">, an opinion </w:t>
      </w:r>
      <w:r w:rsidR="009662AD" w:rsidRPr="006A60E1">
        <w:rPr>
          <w:rFonts w:cs="Arial"/>
        </w:rPr>
        <w:t xml:space="preserve">amply </w:t>
      </w:r>
      <w:r w:rsidR="00B205BC" w:rsidRPr="006A60E1">
        <w:rPr>
          <w:rFonts w:cs="Arial"/>
        </w:rPr>
        <w:t>substantiated</w:t>
      </w:r>
      <w:r w:rsidR="00087E31" w:rsidRPr="006A60E1">
        <w:rPr>
          <w:rFonts w:cs="Arial"/>
        </w:rPr>
        <w:t xml:space="preserve"> by</w:t>
      </w:r>
      <w:r w:rsidR="00F75807" w:rsidRPr="006A60E1">
        <w:rPr>
          <w:rFonts w:cs="Arial"/>
        </w:rPr>
        <w:t xml:space="preserve"> the </w:t>
      </w:r>
      <w:r w:rsidR="001F672D" w:rsidRPr="006A60E1">
        <w:rPr>
          <w:rFonts w:cs="Arial"/>
        </w:rPr>
        <w:t>small difference</w:t>
      </w:r>
      <w:r w:rsidRPr="006A60E1">
        <w:rPr>
          <w:rFonts w:cs="Arial"/>
        </w:rPr>
        <w:t>s</w:t>
      </w:r>
      <w:r w:rsidR="001F672D" w:rsidRPr="006A60E1">
        <w:rPr>
          <w:rFonts w:cs="Arial"/>
        </w:rPr>
        <w:t xml:space="preserve"> </w:t>
      </w:r>
      <w:r w:rsidR="00B205BC" w:rsidRPr="006A60E1">
        <w:rPr>
          <w:rFonts w:cs="Arial"/>
        </w:rPr>
        <w:t xml:space="preserve">evidenced </w:t>
      </w:r>
      <w:r w:rsidR="001F672D" w:rsidRPr="006A60E1">
        <w:rPr>
          <w:rFonts w:cs="Arial"/>
        </w:rPr>
        <w:t xml:space="preserve">between </w:t>
      </w:r>
      <w:r w:rsidR="007402FD" w:rsidRPr="006A60E1">
        <w:rPr>
          <w:rFonts w:cs="Arial"/>
        </w:rPr>
        <w:t xml:space="preserve">the </w:t>
      </w:r>
      <w:r w:rsidR="009662AD" w:rsidRPr="006A60E1">
        <w:rPr>
          <w:rFonts w:cs="Arial"/>
        </w:rPr>
        <w:t>required</w:t>
      </w:r>
      <w:r w:rsidR="001F672D" w:rsidRPr="006A60E1">
        <w:rPr>
          <w:rFonts w:cs="Arial"/>
        </w:rPr>
        <w:t xml:space="preserve"> </w:t>
      </w:r>
      <w:r w:rsidRPr="006A60E1">
        <w:rPr>
          <w:rFonts w:cs="Arial"/>
        </w:rPr>
        <w:t xml:space="preserve">standards of the ZB </w:t>
      </w:r>
      <w:r w:rsidR="001F672D" w:rsidRPr="006A60E1">
        <w:rPr>
          <w:rFonts w:cs="Arial"/>
        </w:rPr>
        <w:t xml:space="preserve">and </w:t>
      </w:r>
      <w:r w:rsidR="009662AD" w:rsidRPr="006A60E1">
        <w:rPr>
          <w:rFonts w:cs="Arial"/>
        </w:rPr>
        <w:t xml:space="preserve">the </w:t>
      </w:r>
      <w:r w:rsidRPr="006A60E1">
        <w:rPr>
          <w:rFonts w:cs="Arial"/>
        </w:rPr>
        <w:t>prop</w:t>
      </w:r>
      <w:r w:rsidR="009662AD" w:rsidRPr="006A60E1">
        <w:rPr>
          <w:rFonts w:cs="Arial"/>
        </w:rPr>
        <w:t>osed</w:t>
      </w:r>
      <w:r w:rsidR="00087E31" w:rsidRPr="006A60E1">
        <w:rPr>
          <w:rFonts w:cs="Arial"/>
        </w:rPr>
        <w:t xml:space="preserve"> values of the application when the underground garage is r</w:t>
      </w:r>
      <w:r w:rsidR="00B205BC" w:rsidRPr="006A60E1">
        <w:rPr>
          <w:rFonts w:cs="Arial"/>
        </w:rPr>
        <w:t xml:space="preserve">emoved from the calculations as per Attachment 1. </w:t>
      </w:r>
      <w:r w:rsidRPr="006A60E1">
        <w:rPr>
          <w:rFonts w:cs="Arial"/>
        </w:rPr>
        <w:t xml:space="preserve"> </w:t>
      </w:r>
      <w:r w:rsidR="009662AD" w:rsidRPr="006A60E1">
        <w:rPr>
          <w:rFonts w:cs="Arial"/>
        </w:rPr>
        <w:t>As</w:t>
      </w:r>
      <w:r w:rsidR="001F672D" w:rsidRPr="006A60E1">
        <w:rPr>
          <w:rFonts w:cs="Arial"/>
        </w:rPr>
        <w:t xml:space="preserve"> significantly, the gross floor area of the new home will be less than t</w:t>
      </w:r>
      <w:r w:rsidR="008C6107" w:rsidRPr="006A60E1">
        <w:rPr>
          <w:rFonts w:cs="Arial"/>
        </w:rPr>
        <w:t>hat allowed by the ZB-minus the</w:t>
      </w:r>
      <w:r w:rsidR="001F672D" w:rsidRPr="006A60E1">
        <w:rPr>
          <w:rFonts w:cs="Arial"/>
        </w:rPr>
        <w:t xml:space="preserve"> subterranean ga</w:t>
      </w:r>
      <w:r w:rsidR="00111826" w:rsidRPr="006A60E1">
        <w:rPr>
          <w:rFonts w:cs="Arial"/>
        </w:rPr>
        <w:t>rage</w:t>
      </w:r>
      <w:r w:rsidR="0029045A">
        <w:rPr>
          <w:rFonts w:cs="Arial"/>
        </w:rPr>
        <w:t xml:space="preserve"> </w:t>
      </w:r>
      <w:r w:rsidR="00111826" w:rsidRPr="006A60E1">
        <w:rPr>
          <w:rFonts w:cs="Arial"/>
        </w:rPr>
        <w:t>- a factor which is often</w:t>
      </w:r>
      <w:r w:rsidR="001F672D" w:rsidRPr="006A60E1">
        <w:rPr>
          <w:rFonts w:cs="Arial"/>
        </w:rPr>
        <w:t xml:space="preserve"> impactful of lot and neighbourhood character when variations in gross floor area exceed </w:t>
      </w:r>
      <w:r w:rsidR="00480FE4" w:rsidRPr="006A60E1">
        <w:rPr>
          <w:rFonts w:cs="Arial"/>
        </w:rPr>
        <w:t>the prevailing, neighbourhood norm and the required gross floor area standard of a municipal zoning by-law.</w:t>
      </w:r>
      <w:r w:rsidR="00111826" w:rsidRPr="006A60E1">
        <w:rPr>
          <w:rFonts w:cs="Arial"/>
        </w:rPr>
        <w:t xml:space="preserve"> </w:t>
      </w:r>
      <w:r w:rsidR="001F672D" w:rsidRPr="006A60E1">
        <w:rPr>
          <w:rFonts w:cs="Arial"/>
        </w:rPr>
        <w:t xml:space="preserve"> </w:t>
      </w:r>
    </w:p>
    <w:p w:rsidR="007D16F5" w:rsidRPr="006A60E1" w:rsidRDefault="00740D40"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I</w:t>
      </w:r>
      <w:r w:rsidR="007B28F7" w:rsidRPr="006A60E1">
        <w:rPr>
          <w:rFonts w:cs="Arial"/>
        </w:rPr>
        <w:t>n the Tribunal’s view as</w:t>
      </w:r>
      <w:r w:rsidR="008C6107" w:rsidRPr="006A60E1">
        <w:rPr>
          <w:rFonts w:cs="Arial"/>
        </w:rPr>
        <w:t xml:space="preserve"> well and as previously noted</w:t>
      </w:r>
      <w:r w:rsidR="007B28F7" w:rsidRPr="006A60E1">
        <w:rPr>
          <w:rFonts w:cs="Arial"/>
        </w:rPr>
        <w:t xml:space="preserve">, the new </w:t>
      </w:r>
      <w:r w:rsidRPr="006A60E1">
        <w:rPr>
          <w:rFonts w:cs="Arial"/>
        </w:rPr>
        <w:t>residence’s</w:t>
      </w:r>
      <w:r w:rsidR="008C6107" w:rsidRPr="006A60E1">
        <w:rPr>
          <w:rFonts w:cs="Arial"/>
        </w:rPr>
        <w:t xml:space="preserve"> </w:t>
      </w:r>
      <w:r w:rsidRPr="006A60E1">
        <w:rPr>
          <w:rFonts w:cs="Arial"/>
        </w:rPr>
        <w:t xml:space="preserve">impact </w:t>
      </w:r>
      <w:r w:rsidR="008C6107" w:rsidRPr="006A60E1">
        <w:rPr>
          <w:rFonts w:cs="Arial"/>
        </w:rPr>
        <w:t xml:space="preserve">on adjacent lots </w:t>
      </w:r>
      <w:r w:rsidR="00E64D1F" w:rsidRPr="006A60E1">
        <w:rPr>
          <w:rFonts w:cs="Arial"/>
        </w:rPr>
        <w:t>arising from</w:t>
      </w:r>
      <w:r w:rsidR="008C6107" w:rsidRPr="006A60E1">
        <w:rPr>
          <w:rFonts w:cs="Arial"/>
        </w:rPr>
        <w:t xml:space="preserve"> the</w:t>
      </w:r>
      <w:r w:rsidR="00E64D1F" w:rsidRPr="006A60E1">
        <w:rPr>
          <w:rFonts w:cs="Arial"/>
        </w:rPr>
        <w:t xml:space="preserve"> reduced side yards will be </w:t>
      </w:r>
      <w:r w:rsidRPr="006A60E1">
        <w:rPr>
          <w:rFonts w:cs="Arial"/>
        </w:rPr>
        <w:t>mitigated</w:t>
      </w:r>
      <w:r w:rsidR="007D16F5" w:rsidRPr="006A60E1">
        <w:rPr>
          <w:rFonts w:cs="Arial"/>
        </w:rPr>
        <w:t xml:space="preserve"> </w:t>
      </w:r>
      <w:r w:rsidRPr="006A60E1">
        <w:rPr>
          <w:rFonts w:cs="Arial"/>
        </w:rPr>
        <w:t>architecturally</w:t>
      </w:r>
      <w:r w:rsidR="00FF470E" w:rsidRPr="006A60E1">
        <w:rPr>
          <w:rFonts w:cs="Arial"/>
        </w:rPr>
        <w:t>,</w:t>
      </w:r>
      <w:r w:rsidRPr="006A60E1">
        <w:rPr>
          <w:rFonts w:cs="Arial"/>
        </w:rPr>
        <w:t xml:space="preserve"> and </w:t>
      </w:r>
      <w:r w:rsidR="00862E1E">
        <w:rPr>
          <w:rFonts w:cs="Arial"/>
        </w:rPr>
        <w:t xml:space="preserve">by </w:t>
      </w:r>
      <w:r w:rsidRPr="006A60E1">
        <w:rPr>
          <w:rFonts w:cs="Arial"/>
        </w:rPr>
        <w:t>th</w:t>
      </w:r>
      <w:r w:rsidR="007D16F5" w:rsidRPr="006A60E1">
        <w:rPr>
          <w:rFonts w:cs="Arial"/>
        </w:rPr>
        <w:t>e proposed</w:t>
      </w:r>
      <w:r w:rsidR="00E64D1F" w:rsidRPr="006A60E1">
        <w:rPr>
          <w:rFonts w:cs="Arial"/>
        </w:rPr>
        <w:t xml:space="preserve"> </w:t>
      </w:r>
      <w:r w:rsidR="007D16F5" w:rsidRPr="006A60E1">
        <w:rPr>
          <w:rFonts w:cs="Arial"/>
        </w:rPr>
        <w:t>replanting program</w:t>
      </w:r>
      <w:r w:rsidR="00862E1E">
        <w:rPr>
          <w:rFonts w:cs="Arial"/>
        </w:rPr>
        <w:t>,</w:t>
      </w:r>
      <w:r w:rsidR="008C6107" w:rsidRPr="006A60E1">
        <w:rPr>
          <w:rFonts w:cs="Arial"/>
        </w:rPr>
        <w:t xml:space="preserve"> </w:t>
      </w:r>
      <w:r w:rsidR="00E64D1F" w:rsidRPr="006A60E1">
        <w:rPr>
          <w:rFonts w:cs="Arial"/>
        </w:rPr>
        <w:t xml:space="preserve">which will afford additional buffer protection </w:t>
      </w:r>
      <w:r w:rsidR="00480FE4" w:rsidRPr="006A60E1">
        <w:rPr>
          <w:rFonts w:cs="Arial"/>
        </w:rPr>
        <w:t xml:space="preserve">for those </w:t>
      </w:r>
      <w:r w:rsidR="00053144" w:rsidRPr="006A60E1">
        <w:rPr>
          <w:rFonts w:cs="Arial"/>
        </w:rPr>
        <w:t xml:space="preserve">adjacent </w:t>
      </w:r>
      <w:r w:rsidR="00480FE4" w:rsidRPr="006A60E1">
        <w:rPr>
          <w:rFonts w:cs="Arial"/>
        </w:rPr>
        <w:t xml:space="preserve">lots </w:t>
      </w:r>
      <w:r w:rsidR="008C6107" w:rsidRPr="006A60E1">
        <w:rPr>
          <w:rFonts w:cs="Arial"/>
        </w:rPr>
        <w:t>according to planning evidence</w:t>
      </w:r>
      <w:r w:rsidR="0029045A">
        <w:rPr>
          <w:rFonts w:cs="Arial"/>
        </w:rPr>
        <w:t>.</w:t>
      </w:r>
      <w:r w:rsidR="008C6107" w:rsidRPr="006A60E1">
        <w:rPr>
          <w:rFonts w:cs="Arial"/>
        </w:rPr>
        <w:t xml:space="preserve"> </w:t>
      </w:r>
      <w:r w:rsidR="007D16F5" w:rsidRPr="006A60E1">
        <w:rPr>
          <w:rFonts w:cs="Arial"/>
        </w:rPr>
        <w:t xml:space="preserve"> </w:t>
      </w:r>
    </w:p>
    <w:p w:rsidR="007D16F5" w:rsidRPr="006A60E1" w:rsidRDefault="007D16F5"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 xml:space="preserve">In this regard, </w:t>
      </w:r>
      <w:r w:rsidR="00FF470E" w:rsidRPr="006A60E1">
        <w:rPr>
          <w:rFonts w:cs="Arial"/>
        </w:rPr>
        <w:t xml:space="preserve">the Tribunal found that the application accorded </w:t>
      </w:r>
      <w:r w:rsidRPr="006A60E1">
        <w:rPr>
          <w:rFonts w:cs="Arial"/>
        </w:rPr>
        <w:t>with the principles of good planning p</w:t>
      </w:r>
      <w:r w:rsidR="00FF470E" w:rsidRPr="006A60E1">
        <w:rPr>
          <w:rFonts w:cs="Arial"/>
        </w:rPr>
        <w:t xml:space="preserve">ractice and </w:t>
      </w:r>
      <w:r w:rsidR="00AD601A">
        <w:rPr>
          <w:rFonts w:cs="Arial"/>
        </w:rPr>
        <w:t>meets</w:t>
      </w:r>
      <w:r w:rsidRPr="006A60E1">
        <w:rPr>
          <w:rFonts w:cs="Arial"/>
        </w:rPr>
        <w:t xml:space="preserve"> the four tests for </w:t>
      </w:r>
      <w:r w:rsidR="008C6107" w:rsidRPr="006A60E1">
        <w:rPr>
          <w:rFonts w:cs="Arial"/>
        </w:rPr>
        <w:t>variances</w:t>
      </w:r>
      <w:r w:rsidRPr="006A60E1">
        <w:rPr>
          <w:rFonts w:cs="Arial"/>
        </w:rPr>
        <w:t xml:space="preserve"> pursuant to section 45(1) of the </w:t>
      </w:r>
      <w:r w:rsidRPr="00862E1E">
        <w:rPr>
          <w:rFonts w:cs="Arial"/>
          <w:i/>
        </w:rPr>
        <w:t>Planning Act</w:t>
      </w:r>
      <w:r w:rsidRPr="006A60E1">
        <w:rPr>
          <w:rFonts w:cs="Arial"/>
        </w:rPr>
        <w:t xml:space="preserve">. </w:t>
      </w:r>
      <w:r w:rsidR="001F672D" w:rsidRPr="006A60E1">
        <w:rPr>
          <w:rFonts w:cs="Arial"/>
        </w:rPr>
        <w:t xml:space="preserve"> </w:t>
      </w:r>
    </w:p>
    <w:p w:rsidR="007D16F5" w:rsidRPr="0072569C" w:rsidRDefault="007D16F5" w:rsidP="0072569C">
      <w:pPr>
        <w:pStyle w:val="ListParagraph"/>
        <w:spacing w:beforeLines="150" w:before="360" w:afterLines="150" w:after="360" w:line="360" w:lineRule="auto"/>
        <w:jc w:val="left"/>
        <w:rPr>
          <w:rFonts w:cs="Arial"/>
          <w:b/>
        </w:rPr>
      </w:pPr>
      <w:r w:rsidRPr="0072569C">
        <w:rPr>
          <w:rFonts w:cs="Arial"/>
          <w:b/>
        </w:rPr>
        <w:t>ORDER</w:t>
      </w:r>
    </w:p>
    <w:p w:rsidR="00305691" w:rsidRPr="006A60E1" w:rsidRDefault="007D4726" w:rsidP="006A60E1">
      <w:pPr>
        <w:pStyle w:val="ListParagraph"/>
        <w:numPr>
          <w:ilvl w:val="0"/>
          <w:numId w:val="34"/>
        </w:numPr>
        <w:spacing w:beforeLines="150" w:before="360" w:afterLines="150" w:after="360" w:line="360" w:lineRule="auto"/>
        <w:ind w:left="0" w:firstLine="0"/>
        <w:jc w:val="left"/>
        <w:rPr>
          <w:rFonts w:cs="Arial"/>
        </w:rPr>
      </w:pPr>
      <w:r w:rsidRPr="006A60E1">
        <w:rPr>
          <w:rFonts w:cs="Arial"/>
        </w:rPr>
        <w:t xml:space="preserve">The Tribunal orders that the appeal is allowed and the variances to Zoning By-law </w:t>
      </w:r>
      <w:r w:rsidR="0072569C">
        <w:rPr>
          <w:rFonts w:cs="Arial"/>
        </w:rPr>
        <w:t xml:space="preserve">No. </w:t>
      </w:r>
      <w:r w:rsidRPr="006A60E1">
        <w:rPr>
          <w:rFonts w:cs="Arial"/>
        </w:rPr>
        <w:t xml:space="preserve">0225-2007 are </w:t>
      </w:r>
      <w:r w:rsidR="00E247EE" w:rsidRPr="006A60E1">
        <w:rPr>
          <w:rFonts w:cs="Arial"/>
        </w:rPr>
        <w:t>authorized</w:t>
      </w:r>
      <w:r w:rsidRPr="006A60E1">
        <w:rPr>
          <w:rFonts w:cs="Arial"/>
        </w:rPr>
        <w:t xml:space="preserve"> with regard to the property known </w:t>
      </w:r>
      <w:r w:rsidR="00E247EE" w:rsidRPr="006A60E1">
        <w:rPr>
          <w:rFonts w:cs="Arial"/>
        </w:rPr>
        <w:t>municipally</w:t>
      </w:r>
      <w:r w:rsidRPr="006A60E1">
        <w:rPr>
          <w:rFonts w:cs="Arial"/>
        </w:rPr>
        <w:t xml:space="preserve"> as 170 Pinewood Trail, City of Mississauga, subject to </w:t>
      </w:r>
      <w:r w:rsidR="00E247EE" w:rsidRPr="006A60E1">
        <w:rPr>
          <w:rFonts w:cs="Arial"/>
        </w:rPr>
        <w:t>the condition</w:t>
      </w:r>
      <w:r w:rsidRPr="006A60E1">
        <w:rPr>
          <w:rFonts w:cs="Arial"/>
        </w:rPr>
        <w:t xml:space="preserve"> that the future residence </w:t>
      </w:r>
      <w:r w:rsidR="00FF470E" w:rsidRPr="006A60E1">
        <w:rPr>
          <w:rFonts w:cs="Arial"/>
        </w:rPr>
        <w:lastRenderedPageBreak/>
        <w:t xml:space="preserve">will </w:t>
      </w:r>
      <w:r w:rsidRPr="006A60E1">
        <w:rPr>
          <w:rFonts w:cs="Arial"/>
        </w:rPr>
        <w:t xml:space="preserve">be built in </w:t>
      </w:r>
      <w:r w:rsidR="008C6107" w:rsidRPr="006A60E1">
        <w:rPr>
          <w:rFonts w:cs="Arial"/>
        </w:rPr>
        <w:t>substantial</w:t>
      </w:r>
      <w:r w:rsidRPr="006A60E1">
        <w:rPr>
          <w:rFonts w:cs="Arial"/>
        </w:rPr>
        <w:t xml:space="preserve"> accordance with drawing number</w:t>
      </w:r>
      <w:r w:rsidR="00E247EE" w:rsidRPr="006A60E1">
        <w:rPr>
          <w:rFonts w:cs="Arial"/>
        </w:rPr>
        <w:t>s</w:t>
      </w:r>
      <w:r w:rsidRPr="006A60E1">
        <w:rPr>
          <w:rFonts w:cs="Arial"/>
        </w:rPr>
        <w:t xml:space="preserve"> </w:t>
      </w:r>
      <w:r w:rsidR="008C6107" w:rsidRPr="006A60E1">
        <w:rPr>
          <w:rFonts w:cs="Arial"/>
        </w:rPr>
        <w:t>A200</w:t>
      </w:r>
      <w:r w:rsidR="00E247EE" w:rsidRPr="006A60E1">
        <w:rPr>
          <w:rFonts w:cs="Arial"/>
        </w:rPr>
        <w:t xml:space="preserve"> and A201 by </w:t>
      </w:r>
      <w:proofErr w:type="spellStart"/>
      <w:r w:rsidR="00E247EE" w:rsidRPr="006A60E1">
        <w:rPr>
          <w:rFonts w:cs="Arial"/>
        </w:rPr>
        <w:t>Nutima</w:t>
      </w:r>
      <w:proofErr w:type="spellEnd"/>
      <w:r w:rsidR="00E247EE" w:rsidRPr="006A60E1">
        <w:rPr>
          <w:rFonts w:cs="Arial"/>
        </w:rPr>
        <w:t xml:space="preserve"> Architecture Ltd.</w:t>
      </w:r>
      <w:r w:rsidR="008C6107" w:rsidRPr="006A60E1">
        <w:rPr>
          <w:rFonts w:cs="Arial"/>
        </w:rPr>
        <w:t xml:space="preserve">, </w:t>
      </w:r>
      <w:r w:rsidR="00E247EE" w:rsidRPr="006A60E1">
        <w:rPr>
          <w:rFonts w:cs="Arial"/>
        </w:rPr>
        <w:t xml:space="preserve">as </w:t>
      </w:r>
      <w:r w:rsidR="008C6107" w:rsidRPr="006A60E1">
        <w:rPr>
          <w:rFonts w:cs="Arial"/>
        </w:rPr>
        <w:t>described on p</w:t>
      </w:r>
      <w:r w:rsidR="00667315" w:rsidRPr="006A60E1">
        <w:rPr>
          <w:rFonts w:cs="Arial"/>
        </w:rPr>
        <w:t>age</w:t>
      </w:r>
      <w:r w:rsidR="008C6107" w:rsidRPr="006A60E1">
        <w:rPr>
          <w:rFonts w:cs="Arial"/>
        </w:rPr>
        <w:t>s</w:t>
      </w:r>
      <w:r w:rsidR="00667315" w:rsidRPr="006A60E1">
        <w:rPr>
          <w:rFonts w:cs="Arial"/>
        </w:rPr>
        <w:t xml:space="preserve"> 37 </w:t>
      </w:r>
      <w:r w:rsidR="008C6107" w:rsidRPr="006A60E1">
        <w:rPr>
          <w:rFonts w:cs="Arial"/>
        </w:rPr>
        <w:t xml:space="preserve">and 38 </w:t>
      </w:r>
      <w:r w:rsidR="00667315" w:rsidRPr="006A60E1">
        <w:rPr>
          <w:rFonts w:cs="Arial"/>
        </w:rPr>
        <w:t xml:space="preserve">of Exhibit 1. </w:t>
      </w:r>
    </w:p>
    <w:p w:rsidR="007D16F5" w:rsidRDefault="007D16F5" w:rsidP="006C3E23"/>
    <w:p w:rsidR="004B6547" w:rsidRDefault="001F672D" w:rsidP="0072569C">
      <w:pPr>
        <w:pStyle w:val="Member"/>
        <w:rPr>
          <w:i w:val="0"/>
        </w:rPr>
      </w:pPr>
      <w:r>
        <w:t xml:space="preserve">  </w:t>
      </w:r>
      <w:r w:rsidR="0072569C">
        <w:rPr>
          <w:i w:val="0"/>
        </w:rPr>
        <w:t>“</w:t>
      </w:r>
      <w:r w:rsidR="0072569C">
        <w:t>Richard Jones</w:t>
      </w:r>
      <w:r w:rsidR="0072569C">
        <w:rPr>
          <w:i w:val="0"/>
        </w:rPr>
        <w:t>”</w:t>
      </w:r>
    </w:p>
    <w:p w:rsidR="0072569C" w:rsidRDefault="0072569C" w:rsidP="0072569C">
      <w:pPr>
        <w:pStyle w:val="Member"/>
        <w:rPr>
          <w:i w:val="0"/>
        </w:rPr>
      </w:pPr>
    </w:p>
    <w:p w:rsidR="0072569C" w:rsidRDefault="0072569C" w:rsidP="0072569C">
      <w:pPr>
        <w:pStyle w:val="Member"/>
        <w:rPr>
          <w:i w:val="0"/>
        </w:rPr>
      </w:pPr>
      <w:r>
        <w:rPr>
          <w:i w:val="0"/>
        </w:rPr>
        <w:t>RICHARD JONES</w:t>
      </w:r>
    </w:p>
    <w:p w:rsidR="0072569C" w:rsidRPr="0072569C" w:rsidRDefault="0072569C" w:rsidP="0072569C">
      <w:pPr>
        <w:pStyle w:val="Member"/>
        <w:rPr>
          <w:rFonts w:cs="Arial"/>
          <w:i w:val="0"/>
        </w:rPr>
      </w:pPr>
      <w:r>
        <w:rPr>
          <w:i w:val="0"/>
        </w:rPr>
        <w:t>MEMBER</w:t>
      </w:r>
    </w:p>
    <w:p w:rsidR="00627521" w:rsidRPr="004E31D7" w:rsidRDefault="00627521" w:rsidP="00AC548D">
      <w:pPr>
        <w:rPr>
          <w:rFonts w:ascii="Arial" w:hAnsi="Arial" w:cs="Arial"/>
        </w:rPr>
      </w:pPr>
    </w:p>
    <w:p w:rsidR="00627521" w:rsidRPr="004E31D7" w:rsidRDefault="00627521" w:rsidP="00AC548D">
      <w:pPr>
        <w:rPr>
          <w:rFonts w:ascii="Arial" w:hAnsi="Arial" w:cs="Arial"/>
        </w:rPr>
      </w:pPr>
    </w:p>
    <w:p w:rsidR="00627521" w:rsidRDefault="00627521" w:rsidP="00AC548D">
      <w:pPr>
        <w:rPr>
          <w:rFonts w:ascii="Arial" w:hAnsi="Arial" w:cs="Arial"/>
        </w:rPr>
      </w:pPr>
    </w:p>
    <w:p w:rsidR="002D23D0" w:rsidRPr="004E31D7" w:rsidRDefault="002D23D0" w:rsidP="00AC548D">
      <w:pPr>
        <w:rPr>
          <w:rFonts w:ascii="Arial" w:hAnsi="Arial" w:cs="Arial"/>
        </w:rPr>
      </w:pPr>
    </w:p>
    <w:p w:rsidR="00627521" w:rsidRDefault="00627521" w:rsidP="00AC548D">
      <w:pPr>
        <w:rPr>
          <w:rFonts w:ascii="Arial" w:hAnsi="Arial" w:cs="Arial"/>
        </w:rPr>
      </w:pPr>
    </w:p>
    <w:p w:rsidR="004E31D7" w:rsidRPr="004E31D7" w:rsidRDefault="004E31D7" w:rsidP="00AC548D">
      <w:pPr>
        <w:rPr>
          <w:rFonts w:ascii="Arial" w:hAnsi="Arial" w:cs="Arial"/>
        </w:rPr>
      </w:pPr>
    </w:p>
    <w:p w:rsidR="00D265BD" w:rsidRDefault="00D265BD"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Default="0072569C" w:rsidP="00AC548D">
      <w:pPr>
        <w:rPr>
          <w:rFonts w:ascii="Arial" w:hAnsi="Arial" w:cs="Arial"/>
        </w:rPr>
      </w:pPr>
    </w:p>
    <w:p w:rsidR="0072569C" w:rsidRPr="004E31D7" w:rsidRDefault="0072569C" w:rsidP="00AC548D">
      <w:pPr>
        <w:rPr>
          <w:rFonts w:ascii="Arial" w:hAnsi="Arial" w:cs="Arial"/>
        </w:rPr>
      </w:pPr>
    </w:p>
    <w:p w:rsidR="00BA79F7" w:rsidRPr="004E31D7" w:rsidRDefault="00BA79F7" w:rsidP="00AC548D">
      <w:pPr>
        <w:rPr>
          <w:rFonts w:ascii="Arial" w:hAnsi="Arial" w:cs="Arial"/>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 xml:space="preserve">A constituent tribunal of </w:t>
      </w:r>
      <w:r w:rsidR="0072569C" w:rsidRPr="00AC548D">
        <w:t xml:space="preserve">Tribunals Ontario </w:t>
      </w:r>
      <w:r w:rsidR="0072569C">
        <w:t xml:space="preserve">- </w:t>
      </w:r>
      <w:r w:rsidRPr="00AC548D">
        <w:t>Environment and Land</w:t>
      </w:r>
      <w:r w:rsidR="0072569C">
        <w:t xml:space="preserve"> Division</w:t>
      </w:r>
      <w:r w:rsidRPr="00AC548D">
        <w:t xml:space="preserve"> </w:t>
      </w:r>
    </w:p>
    <w:p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8E" w:rsidRDefault="0024348E">
      <w:r>
        <w:separator/>
      </w:r>
    </w:p>
  </w:endnote>
  <w:endnote w:type="continuationSeparator" w:id="0">
    <w:p w:rsidR="0024348E" w:rsidRDefault="0024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8E" w:rsidRDefault="0024348E">
      <w:r>
        <w:separator/>
      </w:r>
    </w:p>
  </w:footnote>
  <w:footnote w:type="continuationSeparator" w:id="0">
    <w:p w:rsidR="0024348E" w:rsidRDefault="0024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44" w:rsidRDefault="00053144" w:rsidP="00285AD7">
    <w:pPr>
      <w:pStyle w:val="Header"/>
      <w:tabs>
        <w:tab w:val="clear" w:pos="8640"/>
        <w:tab w:val="center" w:pos="4680"/>
        <w:tab w:val="left" w:pos="6804"/>
        <w:tab w:val="right" w:pos="9360"/>
      </w:tabs>
      <w:jc w:val="right"/>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DE73D1">
      <w:rPr>
        <w:rFonts w:ascii="Arial" w:hAnsi="Arial" w:cs="Arial"/>
        <w:noProof/>
      </w:rPr>
      <w:t>7</w:t>
    </w:r>
    <w:r w:rsidRPr="005E51AF">
      <w:rPr>
        <w:rFonts w:ascii="Arial" w:hAnsi="Arial" w:cs="Arial"/>
        <w:noProof/>
      </w:rPr>
      <w:fldChar w:fldCharType="end"/>
    </w:r>
    <w:r>
      <w:rPr>
        <w:rFonts w:ascii="Arial" w:hAnsi="Arial" w:cs="Arial"/>
        <w:noProof/>
      </w:rPr>
      <w:tab/>
    </w:r>
    <w:r w:rsidR="00803125">
      <w:rPr>
        <w:rFonts w:ascii="Arial" w:hAnsi="Arial" w:cs="Arial"/>
        <w:noProof/>
      </w:rPr>
      <w:tab/>
    </w:r>
    <w:r w:rsidR="006A60E1">
      <w:rPr>
        <w:rFonts w:ascii="Arial" w:hAnsi="Arial" w:cs="Arial"/>
        <w:noProof/>
      </w:rPr>
      <w:t>PL180766</w:t>
    </w:r>
    <w:r w:rsidRPr="00285AD7">
      <w:rPr>
        <w:rFonts w:ascii="Arial" w:hAnsi="Arial" w:cs="Arial"/>
      </w:rPr>
      <w:t xml:space="preserve"> </w:t>
    </w:r>
  </w:p>
  <w:p w:rsidR="00053144" w:rsidRDefault="00053144" w:rsidP="002D2254">
    <w:pPr>
      <w:pStyle w:val="Header"/>
      <w:tabs>
        <w:tab w:val="clear" w:pos="8640"/>
        <w:tab w:val="center" w:pos="4680"/>
        <w:tab w:val="left" w:pos="6804"/>
        <w:tab w:val="right" w:pos="9360"/>
      </w:tabs>
      <w:rPr>
        <w:rFonts w:ascii="Arial" w:hAnsi="Arial" w:cs="Arial"/>
        <w:noProof/>
      </w:rPr>
    </w:pPr>
  </w:p>
  <w:p w:rsidR="00053144" w:rsidRPr="005E51AF" w:rsidRDefault="00053144"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2AE510B"/>
    <w:multiLevelType w:val="hybridMultilevel"/>
    <w:tmpl w:val="BF246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197827"/>
    <w:multiLevelType w:val="hybridMultilevel"/>
    <w:tmpl w:val="897E1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E694ABB"/>
    <w:multiLevelType w:val="hybridMultilevel"/>
    <w:tmpl w:val="34E821E0"/>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9"/>
  </w:num>
  <w:num w:numId="4">
    <w:abstractNumId w:val="9"/>
  </w:num>
  <w:num w:numId="5">
    <w:abstractNumId w:val="33"/>
  </w:num>
  <w:num w:numId="6">
    <w:abstractNumId w:val="5"/>
  </w:num>
  <w:num w:numId="7">
    <w:abstractNumId w:val="1"/>
  </w:num>
  <w:num w:numId="8">
    <w:abstractNumId w:val="25"/>
  </w:num>
  <w:num w:numId="9">
    <w:abstractNumId w:val="16"/>
  </w:num>
  <w:num w:numId="10">
    <w:abstractNumId w:val="14"/>
  </w:num>
  <w:num w:numId="11">
    <w:abstractNumId w:val="20"/>
  </w:num>
  <w:num w:numId="12">
    <w:abstractNumId w:val="30"/>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31"/>
  </w:num>
  <w:num w:numId="32">
    <w:abstractNumId w:val="28"/>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5C47"/>
    <w:rsid w:val="000170F3"/>
    <w:rsid w:val="00017DFC"/>
    <w:rsid w:val="00022EAD"/>
    <w:rsid w:val="00031C6E"/>
    <w:rsid w:val="00032E48"/>
    <w:rsid w:val="00034710"/>
    <w:rsid w:val="0003783B"/>
    <w:rsid w:val="000424A6"/>
    <w:rsid w:val="00053144"/>
    <w:rsid w:val="00054A9F"/>
    <w:rsid w:val="000563EA"/>
    <w:rsid w:val="00056F73"/>
    <w:rsid w:val="0006526A"/>
    <w:rsid w:val="00075342"/>
    <w:rsid w:val="00076196"/>
    <w:rsid w:val="0008105B"/>
    <w:rsid w:val="00081B93"/>
    <w:rsid w:val="00087E31"/>
    <w:rsid w:val="00094E62"/>
    <w:rsid w:val="000A5BAE"/>
    <w:rsid w:val="000B2A24"/>
    <w:rsid w:val="000B4BFB"/>
    <w:rsid w:val="000C21BB"/>
    <w:rsid w:val="000C25F1"/>
    <w:rsid w:val="000C480C"/>
    <w:rsid w:val="000C7608"/>
    <w:rsid w:val="000C768E"/>
    <w:rsid w:val="000D09B3"/>
    <w:rsid w:val="000D5534"/>
    <w:rsid w:val="000D6F9D"/>
    <w:rsid w:val="000D7BBD"/>
    <w:rsid w:val="000F3C3C"/>
    <w:rsid w:val="000F6357"/>
    <w:rsid w:val="00100AF6"/>
    <w:rsid w:val="0010191A"/>
    <w:rsid w:val="00104001"/>
    <w:rsid w:val="00111826"/>
    <w:rsid w:val="001220E4"/>
    <w:rsid w:val="0013161B"/>
    <w:rsid w:val="00137797"/>
    <w:rsid w:val="001551CC"/>
    <w:rsid w:val="001562BE"/>
    <w:rsid w:val="001634FB"/>
    <w:rsid w:val="001656BC"/>
    <w:rsid w:val="001702F3"/>
    <w:rsid w:val="00172CE7"/>
    <w:rsid w:val="001765FB"/>
    <w:rsid w:val="001808B6"/>
    <w:rsid w:val="00182765"/>
    <w:rsid w:val="00182B0E"/>
    <w:rsid w:val="00185E46"/>
    <w:rsid w:val="001862A1"/>
    <w:rsid w:val="00190DF3"/>
    <w:rsid w:val="001A3C06"/>
    <w:rsid w:val="001A3D92"/>
    <w:rsid w:val="001B5CE4"/>
    <w:rsid w:val="001C6B11"/>
    <w:rsid w:val="001D67CE"/>
    <w:rsid w:val="001D6DA4"/>
    <w:rsid w:val="001D6F93"/>
    <w:rsid w:val="001E764F"/>
    <w:rsid w:val="001F179F"/>
    <w:rsid w:val="001F672D"/>
    <w:rsid w:val="0020298E"/>
    <w:rsid w:val="00205167"/>
    <w:rsid w:val="002159B4"/>
    <w:rsid w:val="0021608D"/>
    <w:rsid w:val="00220639"/>
    <w:rsid w:val="0022133C"/>
    <w:rsid w:val="00225203"/>
    <w:rsid w:val="0022579A"/>
    <w:rsid w:val="00226115"/>
    <w:rsid w:val="00230E1B"/>
    <w:rsid w:val="002315A3"/>
    <w:rsid w:val="002346B3"/>
    <w:rsid w:val="00235236"/>
    <w:rsid w:val="002419BB"/>
    <w:rsid w:val="002433A2"/>
    <w:rsid w:val="0024348E"/>
    <w:rsid w:val="002446DE"/>
    <w:rsid w:val="00246A65"/>
    <w:rsid w:val="00250221"/>
    <w:rsid w:val="00257414"/>
    <w:rsid w:val="00260BD4"/>
    <w:rsid w:val="0026320F"/>
    <w:rsid w:val="00270AAE"/>
    <w:rsid w:val="00277F40"/>
    <w:rsid w:val="00280925"/>
    <w:rsid w:val="00283370"/>
    <w:rsid w:val="00285AD7"/>
    <w:rsid w:val="002872E0"/>
    <w:rsid w:val="0029045A"/>
    <w:rsid w:val="00290FEC"/>
    <w:rsid w:val="00293E85"/>
    <w:rsid w:val="002959D2"/>
    <w:rsid w:val="002A393B"/>
    <w:rsid w:val="002B47E9"/>
    <w:rsid w:val="002C00E1"/>
    <w:rsid w:val="002C7CBA"/>
    <w:rsid w:val="002D2254"/>
    <w:rsid w:val="002D23D0"/>
    <w:rsid w:val="002D38E7"/>
    <w:rsid w:val="002E7C9F"/>
    <w:rsid w:val="002F37EF"/>
    <w:rsid w:val="002F4E11"/>
    <w:rsid w:val="002F73E5"/>
    <w:rsid w:val="003051EA"/>
    <w:rsid w:val="00305691"/>
    <w:rsid w:val="00307DEE"/>
    <w:rsid w:val="00316394"/>
    <w:rsid w:val="00323369"/>
    <w:rsid w:val="003243F4"/>
    <w:rsid w:val="00324440"/>
    <w:rsid w:val="00340879"/>
    <w:rsid w:val="00345480"/>
    <w:rsid w:val="003506EA"/>
    <w:rsid w:val="00350E1B"/>
    <w:rsid w:val="00354C2E"/>
    <w:rsid w:val="003620BF"/>
    <w:rsid w:val="00367CB0"/>
    <w:rsid w:val="00375F31"/>
    <w:rsid w:val="0038484F"/>
    <w:rsid w:val="00385FC9"/>
    <w:rsid w:val="003861C6"/>
    <w:rsid w:val="00391DD7"/>
    <w:rsid w:val="003B236D"/>
    <w:rsid w:val="003B298B"/>
    <w:rsid w:val="003B7CE2"/>
    <w:rsid w:val="003D1234"/>
    <w:rsid w:val="003E3633"/>
    <w:rsid w:val="003F266C"/>
    <w:rsid w:val="00400A7D"/>
    <w:rsid w:val="00401F7B"/>
    <w:rsid w:val="00403715"/>
    <w:rsid w:val="00414B5D"/>
    <w:rsid w:val="00420FFD"/>
    <w:rsid w:val="004233D2"/>
    <w:rsid w:val="00441A9B"/>
    <w:rsid w:val="00443F35"/>
    <w:rsid w:val="004507E6"/>
    <w:rsid w:val="00452228"/>
    <w:rsid w:val="004539BB"/>
    <w:rsid w:val="004568CC"/>
    <w:rsid w:val="00457D08"/>
    <w:rsid w:val="00460B87"/>
    <w:rsid w:val="004662FE"/>
    <w:rsid w:val="00480FE4"/>
    <w:rsid w:val="004850D0"/>
    <w:rsid w:val="00496AC5"/>
    <w:rsid w:val="004A4461"/>
    <w:rsid w:val="004A587D"/>
    <w:rsid w:val="004B12D9"/>
    <w:rsid w:val="004B3247"/>
    <w:rsid w:val="004B6547"/>
    <w:rsid w:val="004B7E92"/>
    <w:rsid w:val="004C06AB"/>
    <w:rsid w:val="004C3B19"/>
    <w:rsid w:val="004C5ADC"/>
    <w:rsid w:val="004E03A4"/>
    <w:rsid w:val="004E31D7"/>
    <w:rsid w:val="004E4C91"/>
    <w:rsid w:val="004E4CD6"/>
    <w:rsid w:val="004F13B0"/>
    <w:rsid w:val="004F1B46"/>
    <w:rsid w:val="00505DF1"/>
    <w:rsid w:val="005064E9"/>
    <w:rsid w:val="00513CCD"/>
    <w:rsid w:val="005176E6"/>
    <w:rsid w:val="00530917"/>
    <w:rsid w:val="0053773B"/>
    <w:rsid w:val="0054304B"/>
    <w:rsid w:val="0055024F"/>
    <w:rsid w:val="005554F9"/>
    <w:rsid w:val="00560091"/>
    <w:rsid w:val="00575802"/>
    <w:rsid w:val="00581834"/>
    <w:rsid w:val="00581FFB"/>
    <w:rsid w:val="005826C8"/>
    <w:rsid w:val="005832B8"/>
    <w:rsid w:val="00585632"/>
    <w:rsid w:val="0058684A"/>
    <w:rsid w:val="005A1CE3"/>
    <w:rsid w:val="005A6B29"/>
    <w:rsid w:val="005A767F"/>
    <w:rsid w:val="005B0EFC"/>
    <w:rsid w:val="005B2223"/>
    <w:rsid w:val="005C46AA"/>
    <w:rsid w:val="005C7251"/>
    <w:rsid w:val="005C7AA9"/>
    <w:rsid w:val="005D1ED7"/>
    <w:rsid w:val="005E51AF"/>
    <w:rsid w:val="005F182A"/>
    <w:rsid w:val="005F7A16"/>
    <w:rsid w:val="006002DC"/>
    <w:rsid w:val="0060505C"/>
    <w:rsid w:val="00611B55"/>
    <w:rsid w:val="00614648"/>
    <w:rsid w:val="00616822"/>
    <w:rsid w:val="00627521"/>
    <w:rsid w:val="006306A8"/>
    <w:rsid w:val="0063575A"/>
    <w:rsid w:val="00640174"/>
    <w:rsid w:val="006419E7"/>
    <w:rsid w:val="00641AD3"/>
    <w:rsid w:val="00646BFB"/>
    <w:rsid w:val="00647B4B"/>
    <w:rsid w:val="00647ECC"/>
    <w:rsid w:val="006510E9"/>
    <w:rsid w:val="00653B50"/>
    <w:rsid w:val="00655F95"/>
    <w:rsid w:val="00656CC7"/>
    <w:rsid w:val="00657E0B"/>
    <w:rsid w:val="00663C56"/>
    <w:rsid w:val="00665DAE"/>
    <w:rsid w:val="006664C3"/>
    <w:rsid w:val="00667315"/>
    <w:rsid w:val="00671649"/>
    <w:rsid w:val="00673FDB"/>
    <w:rsid w:val="00677294"/>
    <w:rsid w:val="00693FD8"/>
    <w:rsid w:val="006A119C"/>
    <w:rsid w:val="006A19B7"/>
    <w:rsid w:val="006A2B5B"/>
    <w:rsid w:val="006A60E1"/>
    <w:rsid w:val="006C2618"/>
    <w:rsid w:val="006C3E23"/>
    <w:rsid w:val="006C6D4C"/>
    <w:rsid w:val="006D09B4"/>
    <w:rsid w:val="006D1DFD"/>
    <w:rsid w:val="006E6454"/>
    <w:rsid w:val="006F214C"/>
    <w:rsid w:val="006F2DF2"/>
    <w:rsid w:val="006F3415"/>
    <w:rsid w:val="006F6F82"/>
    <w:rsid w:val="007057F0"/>
    <w:rsid w:val="00706196"/>
    <w:rsid w:val="00707B3B"/>
    <w:rsid w:val="00715DD1"/>
    <w:rsid w:val="00716030"/>
    <w:rsid w:val="00720DC5"/>
    <w:rsid w:val="0072569C"/>
    <w:rsid w:val="007342E5"/>
    <w:rsid w:val="007353C0"/>
    <w:rsid w:val="00735538"/>
    <w:rsid w:val="007402FD"/>
    <w:rsid w:val="00740D40"/>
    <w:rsid w:val="00742B12"/>
    <w:rsid w:val="0076119A"/>
    <w:rsid w:val="00765C2D"/>
    <w:rsid w:val="007A1709"/>
    <w:rsid w:val="007A2C3D"/>
    <w:rsid w:val="007B28F7"/>
    <w:rsid w:val="007C08BD"/>
    <w:rsid w:val="007C4F6A"/>
    <w:rsid w:val="007D16F5"/>
    <w:rsid w:val="007D4726"/>
    <w:rsid w:val="007E0C30"/>
    <w:rsid w:val="007E7F84"/>
    <w:rsid w:val="007F7583"/>
    <w:rsid w:val="00802055"/>
    <w:rsid w:val="00803125"/>
    <w:rsid w:val="008046EB"/>
    <w:rsid w:val="0080724D"/>
    <w:rsid w:val="008173CF"/>
    <w:rsid w:val="00822757"/>
    <w:rsid w:val="00823753"/>
    <w:rsid w:val="008316DB"/>
    <w:rsid w:val="0083211C"/>
    <w:rsid w:val="00835A80"/>
    <w:rsid w:val="00837AE6"/>
    <w:rsid w:val="00850FF2"/>
    <w:rsid w:val="00862E1E"/>
    <w:rsid w:val="00865727"/>
    <w:rsid w:val="00866681"/>
    <w:rsid w:val="00874CD9"/>
    <w:rsid w:val="00880BBD"/>
    <w:rsid w:val="00890E5D"/>
    <w:rsid w:val="0089782A"/>
    <w:rsid w:val="008A1A0C"/>
    <w:rsid w:val="008A3586"/>
    <w:rsid w:val="008B3EB4"/>
    <w:rsid w:val="008B667D"/>
    <w:rsid w:val="008B7401"/>
    <w:rsid w:val="008C09C4"/>
    <w:rsid w:val="008C180D"/>
    <w:rsid w:val="008C6107"/>
    <w:rsid w:val="008C7470"/>
    <w:rsid w:val="008D3B01"/>
    <w:rsid w:val="008E147D"/>
    <w:rsid w:val="008E5B11"/>
    <w:rsid w:val="00900C5B"/>
    <w:rsid w:val="00902134"/>
    <w:rsid w:val="00907DA4"/>
    <w:rsid w:val="009148E3"/>
    <w:rsid w:val="0092760B"/>
    <w:rsid w:val="00930FD3"/>
    <w:rsid w:val="009333AA"/>
    <w:rsid w:val="00935095"/>
    <w:rsid w:val="00935ABA"/>
    <w:rsid w:val="009360FC"/>
    <w:rsid w:val="00936A9C"/>
    <w:rsid w:val="00951EE2"/>
    <w:rsid w:val="0095571C"/>
    <w:rsid w:val="0096422B"/>
    <w:rsid w:val="009650D8"/>
    <w:rsid w:val="009662AD"/>
    <w:rsid w:val="009748FB"/>
    <w:rsid w:val="00976AA8"/>
    <w:rsid w:val="009773EC"/>
    <w:rsid w:val="00981E7A"/>
    <w:rsid w:val="00990F55"/>
    <w:rsid w:val="009A1884"/>
    <w:rsid w:val="009A31C9"/>
    <w:rsid w:val="009A34A1"/>
    <w:rsid w:val="009A6D63"/>
    <w:rsid w:val="009A73F6"/>
    <w:rsid w:val="009B16FC"/>
    <w:rsid w:val="009B4A17"/>
    <w:rsid w:val="009C20B2"/>
    <w:rsid w:val="009C3389"/>
    <w:rsid w:val="009C4D62"/>
    <w:rsid w:val="009D0B82"/>
    <w:rsid w:val="009D5078"/>
    <w:rsid w:val="009E0DF7"/>
    <w:rsid w:val="009E1C08"/>
    <w:rsid w:val="009E202F"/>
    <w:rsid w:val="009E40F3"/>
    <w:rsid w:val="009E6983"/>
    <w:rsid w:val="009F040C"/>
    <w:rsid w:val="009F3047"/>
    <w:rsid w:val="00A07D8A"/>
    <w:rsid w:val="00A11CE2"/>
    <w:rsid w:val="00A20E8C"/>
    <w:rsid w:val="00A45D63"/>
    <w:rsid w:val="00A47406"/>
    <w:rsid w:val="00A539E5"/>
    <w:rsid w:val="00A550FC"/>
    <w:rsid w:val="00A7018C"/>
    <w:rsid w:val="00A70B89"/>
    <w:rsid w:val="00A70E2F"/>
    <w:rsid w:val="00A7364F"/>
    <w:rsid w:val="00A76E5B"/>
    <w:rsid w:val="00A81716"/>
    <w:rsid w:val="00A81DB3"/>
    <w:rsid w:val="00A84EF0"/>
    <w:rsid w:val="00A86E97"/>
    <w:rsid w:val="00A95175"/>
    <w:rsid w:val="00A955CF"/>
    <w:rsid w:val="00AA1090"/>
    <w:rsid w:val="00AA1241"/>
    <w:rsid w:val="00AA432A"/>
    <w:rsid w:val="00AA607D"/>
    <w:rsid w:val="00AA6E2C"/>
    <w:rsid w:val="00AB07FC"/>
    <w:rsid w:val="00AB519E"/>
    <w:rsid w:val="00AB7E2E"/>
    <w:rsid w:val="00AC3BD2"/>
    <w:rsid w:val="00AC517A"/>
    <w:rsid w:val="00AC548D"/>
    <w:rsid w:val="00AC630B"/>
    <w:rsid w:val="00AD29BF"/>
    <w:rsid w:val="00AD601A"/>
    <w:rsid w:val="00AE075F"/>
    <w:rsid w:val="00AE1098"/>
    <w:rsid w:val="00AE1446"/>
    <w:rsid w:val="00AE2A68"/>
    <w:rsid w:val="00B12A97"/>
    <w:rsid w:val="00B13C3D"/>
    <w:rsid w:val="00B157E1"/>
    <w:rsid w:val="00B16A05"/>
    <w:rsid w:val="00B17BED"/>
    <w:rsid w:val="00B205BC"/>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5E9"/>
    <w:rsid w:val="00BC66D9"/>
    <w:rsid w:val="00BE0FA0"/>
    <w:rsid w:val="00BF23CB"/>
    <w:rsid w:val="00BF3612"/>
    <w:rsid w:val="00BF497A"/>
    <w:rsid w:val="00BF7426"/>
    <w:rsid w:val="00C02B28"/>
    <w:rsid w:val="00C1171C"/>
    <w:rsid w:val="00C1239D"/>
    <w:rsid w:val="00C300F2"/>
    <w:rsid w:val="00C508D1"/>
    <w:rsid w:val="00C5671C"/>
    <w:rsid w:val="00C801A0"/>
    <w:rsid w:val="00C838B9"/>
    <w:rsid w:val="00C92977"/>
    <w:rsid w:val="00C940BC"/>
    <w:rsid w:val="00CC269B"/>
    <w:rsid w:val="00CC29F3"/>
    <w:rsid w:val="00CC5C59"/>
    <w:rsid w:val="00CD235D"/>
    <w:rsid w:val="00CD5591"/>
    <w:rsid w:val="00CE10CC"/>
    <w:rsid w:val="00CF2AB8"/>
    <w:rsid w:val="00CF3F96"/>
    <w:rsid w:val="00CF4C37"/>
    <w:rsid w:val="00CF55CF"/>
    <w:rsid w:val="00D008AB"/>
    <w:rsid w:val="00D01696"/>
    <w:rsid w:val="00D0687A"/>
    <w:rsid w:val="00D265BD"/>
    <w:rsid w:val="00D30F49"/>
    <w:rsid w:val="00D32294"/>
    <w:rsid w:val="00D35322"/>
    <w:rsid w:val="00D35B18"/>
    <w:rsid w:val="00D36132"/>
    <w:rsid w:val="00D36525"/>
    <w:rsid w:val="00D42D9F"/>
    <w:rsid w:val="00D50C1C"/>
    <w:rsid w:val="00D53BDA"/>
    <w:rsid w:val="00D63660"/>
    <w:rsid w:val="00D66856"/>
    <w:rsid w:val="00D76186"/>
    <w:rsid w:val="00D76968"/>
    <w:rsid w:val="00D83C03"/>
    <w:rsid w:val="00D84899"/>
    <w:rsid w:val="00D8571F"/>
    <w:rsid w:val="00D91064"/>
    <w:rsid w:val="00D9357D"/>
    <w:rsid w:val="00D978CA"/>
    <w:rsid w:val="00DA3393"/>
    <w:rsid w:val="00DB023D"/>
    <w:rsid w:val="00DB0380"/>
    <w:rsid w:val="00DB16DE"/>
    <w:rsid w:val="00DB45DF"/>
    <w:rsid w:val="00DB49FE"/>
    <w:rsid w:val="00DC1C2C"/>
    <w:rsid w:val="00DC5D47"/>
    <w:rsid w:val="00DD35F5"/>
    <w:rsid w:val="00DD6665"/>
    <w:rsid w:val="00DE1BD9"/>
    <w:rsid w:val="00DE62BC"/>
    <w:rsid w:val="00DE73D1"/>
    <w:rsid w:val="00DF75FB"/>
    <w:rsid w:val="00E11D71"/>
    <w:rsid w:val="00E12DE7"/>
    <w:rsid w:val="00E15446"/>
    <w:rsid w:val="00E247EE"/>
    <w:rsid w:val="00E3044B"/>
    <w:rsid w:val="00E40778"/>
    <w:rsid w:val="00E4342D"/>
    <w:rsid w:val="00E45C87"/>
    <w:rsid w:val="00E4758A"/>
    <w:rsid w:val="00E5336E"/>
    <w:rsid w:val="00E64D1F"/>
    <w:rsid w:val="00E65759"/>
    <w:rsid w:val="00E73226"/>
    <w:rsid w:val="00E743D2"/>
    <w:rsid w:val="00E77E48"/>
    <w:rsid w:val="00E8779D"/>
    <w:rsid w:val="00E87A9B"/>
    <w:rsid w:val="00E97D24"/>
    <w:rsid w:val="00E97F04"/>
    <w:rsid w:val="00EA73B7"/>
    <w:rsid w:val="00EB3E73"/>
    <w:rsid w:val="00EC181A"/>
    <w:rsid w:val="00EC2949"/>
    <w:rsid w:val="00EC45C6"/>
    <w:rsid w:val="00EE4BA3"/>
    <w:rsid w:val="00EE62E6"/>
    <w:rsid w:val="00EF4462"/>
    <w:rsid w:val="00EF4FA7"/>
    <w:rsid w:val="00EF6354"/>
    <w:rsid w:val="00F13970"/>
    <w:rsid w:val="00F206C1"/>
    <w:rsid w:val="00F20B8D"/>
    <w:rsid w:val="00F376E5"/>
    <w:rsid w:val="00F404B1"/>
    <w:rsid w:val="00F408C2"/>
    <w:rsid w:val="00F46275"/>
    <w:rsid w:val="00F548C9"/>
    <w:rsid w:val="00F62C56"/>
    <w:rsid w:val="00F70594"/>
    <w:rsid w:val="00F71AB8"/>
    <w:rsid w:val="00F75807"/>
    <w:rsid w:val="00F76E36"/>
    <w:rsid w:val="00F801FB"/>
    <w:rsid w:val="00F82F6D"/>
    <w:rsid w:val="00F90029"/>
    <w:rsid w:val="00F9597B"/>
    <w:rsid w:val="00FA016B"/>
    <w:rsid w:val="00FA6295"/>
    <w:rsid w:val="00FD10D9"/>
    <w:rsid w:val="00FD395A"/>
    <w:rsid w:val="00FD4182"/>
    <w:rsid w:val="00FE1AB5"/>
    <w:rsid w:val="00FE3524"/>
    <w:rsid w:val="00FE478E"/>
    <w:rsid w:val="00FE4D6A"/>
    <w:rsid w:val="00FF47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72569C"/>
    <w:pPr>
      <w:keepLines/>
      <w:ind w:left="5040"/>
      <w:jc w:val="right"/>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pPr>
  </w:style>
  <w:style w:type="paragraph" w:customStyle="1" w:styleId="MemberSignatureNameandTitle">
    <w:name w:val="Member Signature Name and Title"/>
    <w:basedOn w:val="Member"/>
    <w:qFormat/>
    <w:rsid w:val="00022EAD"/>
    <w:pPr>
      <w:ind w:left="5041"/>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72569C"/>
    <w:pPr>
      <w:keepLines/>
      <w:ind w:left="5040"/>
      <w:jc w:val="right"/>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pPr>
  </w:style>
  <w:style w:type="paragraph" w:customStyle="1" w:styleId="MemberSignatureNameandTitle">
    <w:name w:val="Member Signature Name and Title"/>
    <w:basedOn w:val="Member"/>
    <w:qFormat/>
    <w:rsid w:val="00022EAD"/>
    <w:pPr>
      <w:ind w:left="5041"/>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85548564">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00ED-E1EB-4806-8C50-97A2DBDD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1641</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2019-03-15T18:16:00Z</cp:lastPrinted>
  <dcterms:created xsi:type="dcterms:W3CDTF">2019-03-15T18:15:00Z</dcterms:created>
  <dcterms:modified xsi:type="dcterms:W3CDTF">2019-03-15T18:20:00Z</dcterms:modified>
</cp:coreProperties>
</file>