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41924425" w14:textId="77777777" w:rsidTr="00E0462D">
        <w:trPr>
          <w:trHeight w:val="281"/>
        </w:trPr>
        <w:tc>
          <w:tcPr>
            <w:tcW w:w="5778" w:type="dxa"/>
          </w:tcPr>
          <w:p w14:paraId="1A59237E" w14:textId="77777777" w:rsidR="006D09B4" w:rsidRPr="001E764F" w:rsidRDefault="006D09B4" w:rsidP="006D09B4">
            <w:pPr>
              <w:rPr>
                <w:rFonts w:ascii="Arial" w:hAnsi="Arial" w:cs="Arial"/>
                <w:b/>
                <w:sz w:val="16"/>
                <w:szCs w:val="16"/>
              </w:rPr>
            </w:pPr>
          </w:p>
        </w:tc>
        <w:tc>
          <w:tcPr>
            <w:tcW w:w="3828" w:type="dxa"/>
            <w:vMerge w:val="restart"/>
          </w:tcPr>
          <w:p w14:paraId="68B34CB2" w14:textId="77777777"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45571BEA" wp14:editId="39D6BF51">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0E285B2A" w14:textId="77777777" w:rsidTr="00E0462D">
        <w:tc>
          <w:tcPr>
            <w:tcW w:w="5778" w:type="dxa"/>
          </w:tcPr>
          <w:p w14:paraId="234D2678"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61C99A11" w14:textId="77777777" w:rsidR="006D09B4" w:rsidRPr="001E764F" w:rsidRDefault="006D09B4" w:rsidP="006D09B4">
            <w:pPr>
              <w:rPr>
                <w:rFonts w:ascii="Arial" w:hAnsi="Arial" w:cs="Arial"/>
                <w:b/>
                <w:sz w:val="32"/>
                <w:szCs w:val="32"/>
              </w:rPr>
            </w:pPr>
          </w:p>
        </w:tc>
      </w:tr>
      <w:tr w:rsidR="006D09B4" w:rsidRPr="001E764F" w14:paraId="50D75AC7" w14:textId="77777777" w:rsidTr="00E0462D">
        <w:tc>
          <w:tcPr>
            <w:tcW w:w="5778" w:type="dxa"/>
          </w:tcPr>
          <w:p w14:paraId="3D3E1DB2"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1305FB6D" w14:textId="77777777" w:rsidR="006D09B4" w:rsidRPr="001E764F" w:rsidRDefault="006D09B4" w:rsidP="006D09B4">
            <w:pPr>
              <w:rPr>
                <w:rFonts w:ascii="Arial" w:hAnsi="Arial" w:cs="Arial"/>
                <w:sz w:val="32"/>
                <w:szCs w:val="32"/>
                <w:lang w:val="fr-CA"/>
              </w:rPr>
            </w:pPr>
          </w:p>
          <w:p w14:paraId="678B3C31" w14:textId="77777777" w:rsidR="006D09B4" w:rsidRPr="001E764F" w:rsidRDefault="006D09B4" w:rsidP="006D09B4">
            <w:pPr>
              <w:rPr>
                <w:rFonts w:ascii="Arial" w:hAnsi="Arial" w:cs="Arial"/>
                <w:sz w:val="32"/>
                <w:szCs w:val="32"/>
                <w:lang w:val="fr-CA"/>
              </w:rPr>
            </w:pPr>
          </w:p>
        </w:tc>
        <w:tc>
          <w:tcPr>
            <w:tcW w:w="3828" w:type="dxa"/>
            <w:vMerge/>
          </w:tcPr>
          <w:p w14:paraId="63911B76" w14:textId="77777777" w:rsidR="006D09B4" w:rsidRPr="001E764F" w:rsidRDefault="006D09B4" w:rsidP="006D09B4">
            <w:pPr>
              <w:rPr>
                <w:rFonts w:ascii="Arial" w:hAnsi="Arial" w:cs="Arial"/>
                <w:sz w:val="32"/>
                <w:szCs w:val="32"/>
                <w:lang w:val="fr-CA"/>
              </w:rPr>
            </w:pPr>
          </w:p>
        </w:tc>
      </w:tr>
    </w:tbl>
    <w:p w14:paraId="70C2671F"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005B596D" w14:textId="77777777" w:rsidTr="00E0462D">
        <w:tc>
          <w:tcPr>
            <w:tcW w:w="1818" w:type="dxa"/>
            <w:shd w:val="clear" w:color="auto" w:fill="auto"/>
            <w:vAlign w:val="center"/>
          </w:tcPr>
          <w:p w14:paraId="6CFB0080"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744F3299" w14:textId="30FB564D" w:rsidR="00EA73B7" w:rsidRPr="001D67CE" w:rsidRDefault="006E071A" w:rsidP="002159B4">
            <w:pPr>
              <w:rPr>
                <w:rFonts w:ascii="Arial" w:hAnsi="Arial" w:cs="Arial"/>
              </w:rPr>
            </w:pPr>
            <w:r>
              <w:rPr>
                <w:rFonts w:ascii="Arial" w:hAnsi="Arial" w:cs="Arial"/>
              </w:rPr>
              <w:t>July 11, 2019</w:t>
            </w:r>
          </w:p>
        </w:tc>
        <w:tc>
          <w:tcPr>
            <w:tcW w:w="1890" w:type="dxa"/>
            <w:shd w:val="clear" w:color="auto" w:fill="auto"/>
            <w:vAlign w:val="center"/>
          </w:tcPr>
          <w:p w14:paraId="1D54FA6A" w14:textId="77777777"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14:paraId="60177E76" w14:textId="77777777" w:rsidR="008954A0" w:rsidRPr="001E764F" w:rsidRDefault="0001777D" w:rsidP="00371D83">
            <w:pPr>
              <w:jc w:val="right"/>
              <w:rPr>
                <w:rFonts w:ascii="Arial" w:hAnsi="Arial" w:cs="Arial"/>
              </w:rPr>
            </w:pPr>
            <w:r>
              <w:rPr>
                <w:rFonts w:ascii="Arial" w:hAnsi="Arial" w:cs="Arial"/>
              </w:rPr>
              <w:t>PL18083</w:t>
            </w:r>
            <w:r w:rsidR="00894C59">
              <w:rPr>
                <w:rFonts w:ascii="Arial" w:hAnsi="Arial" w:cs="Arial"/>
              </w:rPr>
              <w:t>0</w:t>
            </w:r>
            <w:r w:rsidR="00DE04A8">
              <w:rPr>
                <w:rFonts w:ascii="Arial" w:hAnsi="Arial" w:cs="Arial"/>
              </w:rPr>
              <w:t xml:space="preserve"> </w:t>
            </w:r>
            <w:r w:rsidR="00371D83">
              <w:rPr>
                <w:rFonts w:ascii="Arial" w:hAnsi="Arial" w:cs="Arial"/>
              </w:rPr>
              <w:t xml:space="preserve"> </w:t>
            </w:r>
          </w:p>
        </w:tc>
      </w:tr>
    </w:tbl>
    <w:p w14:paraId="4B8254EF" w14:textId="77777777"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14:paraId="60430884" w14:textId="77777777" w:rsidTr="00E0462D">
        <w:tc>
          <w:tcPr>
            <w:tcW w:w="9606" w:type="dxa"/>
          </w:tcPr>
          <w:p w14:paraId="6201205A"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06AA9868" w14:textId="77777777" w:rsidR="001D67CE" w:rsidRDefault="001D67CE" w:rsidP="00270AAE">
      <w:pPr>
        <w:rPr>
          <w:rFonts w:ascii="Arial" w:hAnsi="Arial" w:cs="Arial"/>
          <w:highlight w:val="yellow"/>
        </w:rPr>
      </w:pPr>
    </w:p>
    <w:tbl>
      <w:tblPr>
        <w:tblW w:w="9464" w:type="dxa"/>
        <w:tblLook w:val="04A0" w:firstRow="1" w:lastRow="0" w:firstColumn="1" w:lastColumn="0" w:noHBand="0" w:noVBand="1"/>
      </w:tblPr>
      <w:tblGrid>
        <w:gridCol w:w="3468"/>
        <w:gridCol w:w="5996"/>
      </w:tblGrid>
      <w:tr w:rsidR="00E0462D" w14:paraId="3E8D44F1" w14:textId="77777777" w:rsidTr="00E27649">
        <w:trPr>
          <w:cantSplit/>
          <w:trHeight w:val="732"/>
        </w:trPr>
        <w:tc>
          <w:tcPr>
            <w:tcW w:w="9464" w:type="dxa"/>
            <w:gridSpan w:val="2"/>
            <w:hideMark/>
          </w:tcPr>
          <w:p w14:paraId="59A58933" w14:textId="77777777" w:rsidR="00E0462D" w:rsidRPr="00E0462D" w:rsidRDefault="00E0462D">
            <w:pPr>
              <w:rPr>
                <w:rFonts w:ascii="Arial" w:hAnsi="Arial" w:cs="Arial"/>
              </w:rPr>
            </w:pPr>
            <w:r w:rsidRPr="00E0462D">
              <w:rPr>
                <w:rFonts w:ascii="Arial" w:hAnsi="Arial" w:cs="Arial"/>
                <w:b/>
              </w:rPr>
              <w:t xml:space="preserve">PROCEEDING COMMENCED UNDER </w:t>
            </w:r>
            <w:r w:rsidRPr="00E0462D">
              <w:rPr>
                <w:rFonts w:ascii="Arial" w:hAnsi="Arial" w:cs="Arial"/>
              </w:rPr>
              <w:t xml:space="preserve">subsection 45(12) of the </w:t>
            </w:r>
            <w:r w:rsidRPr="00E0462D">
              <w:rPr>
                <w:rFonts w:ascii="Arial" w:hAnsi="Arial" w:cs="Arial"/>
                <w:i/>
              </w:rPr>
              <w:t>Planning Act</w:t>
            </w:r>
            <w:r w:rsidRPr="00E0462D">
              <w:rPr>
                <w:rFonts w:ascii="Arial" w:hAnsi="Arial" w:cs="Arial"/>
              </w:rPr>
              <w:t>, R.S.O. 1990, c. P.13, as amended</w:t>
            </w:r>
          </w:p>
        </w:tc>
      </w:tr>
      <w:tr w:rsidR="00E0462D" w14:paraId="1F4D90B2" w14:textId="77777777" w:rsidTr="00E27649">
        <w:tc>
          <w:tcPr>
            <w:tcW w:w="3468" w:type="dxa"/>
            <w:hideMark/>
          </w:tcPr>
          <w:p w14:paraId="4C9A9C1B" w14:textId="77777777" w:rsidR="00E0462D" w:rsidRPr="00E0462D" w:rsidRDefault="00E0462D">
            <w:pPr>
              <w:rPr>
                <w:rFonts w:ascii="Arial" w:hAnsi="Arial" w:cs="Arial"/>
              </w:rPr>
            </w:pPr>
            <w:r w:rsidRPr="00E0462D">
              <w:rPr>
                <w:rFonts w:ascii="Arial" w:hAnsi="Arial" w:cs="Arial"/>
              </w:rPr>
              <w:t>Appellant:</w:t>
            </w:r>
          </w:p>
        </w:tc>
        <w:tc>
          <w:tcPr>
            <w:tcW w:w="5996" w:type="dxa"/>
            <w:hideMark/>
          </w:tcPr>
          <w:p w14:paraId="62638761" w14:textId="77777777" w:rsidR="00E0462D" w:rsidRPr="00E0462D" w:rsidRDefault="00E0462D" w:rsidP="00E0462D">
            <w:pPr>
              <w:ind w:left="927"/>
              <w:rPr>
                <w:rFonts w:ascii="Arial" w:hAnsi="Arial" w:cs="Arial"/>
              </w:rPr>
            </w:pPr>
            <w:proofErr w:type="spellStart"/>
            <w:r w:rsidRPr="00E0462D">
              <w:rPr>
                <w:rFonts w:ascii="Arial" w:hAnsi="Arial" w:cs="Arial"/>
              </w:rPr>
              <w:t>Satnam</w:t>
            </w:r>
            <w:proofErr w:type="spellEnd"/>
            <w:r w:rsidRPr="00E0462D">
              <w:rPr>
                <w:rFonts w:ascii="Arial" w:hAnsi="Arial" w:cs="Arial"/>
              </w:rPr>
              <w:t xml:space="preserve"> </w:t>
            </w:r>
            <w:proofErr w:type="spellStart"/>
            <w:r w:rsidRPr="00E0462D">
              <w:rPr>
                <w:rFonts w:ascii="Arial" w:hAnsi="Arial" w:cs="Arial"/>
              </w:rPr>
              <w:t>Bhamra</w:t>
            </w:r>
            <w:proofErr w:type="spellEnd"/>
          </w:p>
        </w:tc>
      </w:tr>
      <w:tr w:rsidR="00E0462D" w14:paraId="0EE4BFBF" w14:textId="77777777" w:rsidTr="00E27649">
        <w:tc>
          <w:tcPr>
            <w:tcW w:w="3468" w:type="dxa"/>
            <w:hideMark/>
          </w:tcPr>
          <w:p w14:paraId="7DB4CB2F" w14:textId="77777777" w:rsidR="00E0462D" w:rsidRPr="00E0462D" w:rsidRDefault="00E0462D">
            <w:pPr>
              <w:rPr>
                <w:rFonts w:ascii="Arial" w:hAnsi="Arial" w:cs="Arial"/>
              </w:rPr>
            </w:pPr>
            <w:r w:rsidRPr="00E0462D">
              <w:rPr>
                <w:rFonts w:ascii="Arial" w:hAnsi="Arial" w:cs="Arial"/>
              </w:rPr>
              <w:t>Applicant:</w:t>
            </w:r>
          </w:p>
        </w:tc>
        <w:tc>
          <w:tcPr>
            <w:tcW w:w="5996" w:type="dxa"/>
            <w:hideMark/>
          </w:tcPr>
          <w:p w14:paraId="1BE3D811" w14:textId="77777777" w:rsidR="00E0462D" w:rsidRPr="00E0462D" w:rsidRDefault="00E0462D" w:rsidP="00E27649">
            <w:pPr>
              <w:ind w:left="927"/>
              <w:rPr>
                <w:rFonts w:ascii="Arial" w:hAnsi="Arial" w:cs="Arial"/>
              </w:rPr>
            </w:pPr>
            <w:r w:rsidRPr="00E0462D">
              <w:rPr>
                <w:rFonts w:ascii="Arial" w:hAnsi="Arial" w:cs="Arial"/>
              </w:rPr>
              <w:t xml:space="preserve">Fernando </w:t>
            </w:r>
            <w:proofErr w:type="spellStart"/>
            <w:r w:rsidRPr="00E0462D">
              <w:rPr>
                <w:rFonts w:ascii="Arial" w:hAnsi="Arial" w:cs="Arial"/>
              </w:rPr>
              <w:t>Caiella</w:t>
            </w:r>
            <w:proofErr w:type="spellEnd"/>
          </w:p>
        </w:tc>
      </w:tr>
      <w:tr w:rsidR="00E0462D" w14:paraId="66F61FD5" w14:textId="77777777" w:rsidTr="00E27649">
        <w:tc>
          <w:tcPr>
            <w:tcW w:w="3468" w:type="dxa"/>
            <w:hideMark/>
          </w:tcPr>
          <w:p w14:paraId="789CC55F" w14:textId="77777777" w:rsidR="00E0462D" w:rsidRPr="00E0462D" w:rsidRDefault="00E0462D">
            <w:pPr>
              <w:rPr>
                <w:rFonts w:ascii="Arial" w:hAnsi="Arial" w:cs="Arial"/>
              </w:rPr>
            </w:pPr>
            <w:r w:rsidRPr="00E0462D">
              <w:rPr>
                <w:rFonts w:ascii="Arial" w:hAnsi="Arial" w:cs="Arial"/>
              </w:rPr>
              <w:t xml:space="preserve">Subject: </w:t>
            </w:r>
          </w:p>
        </w:tc>
        <w:tc>
          <w:tcPr>
            <w:tcW w:w="5996" w:type="dxa"/>
            <w:hideMark/>
          </w:tcPr>
          <w:p w14:paraId="314CB630" w14:textId="77777777" w:rsidR="00E0462D" w:rsidRPr="00E0462D" w:rsidRDefault="00E0462D" w:rsidP="00E0462D">
            <w:pPr>
              <w:ind w:left="927"/>
              <w:rPr>
                <w:rFonts w:ascii="Arial" w:hAnsi="Arial" w:cs="Arial"/>
              </w:rPr>
            </w:pPr>
            <w:r w:rsidRPr="00E0462D">
              <w:rPr>
                <w:rFonts w:ascii="Arial" w:hAnsi="Arial" w:cs="Arial"/>
              </w:rPr>
              <w:t>Minor Variance</w:t>
            </w:r>
          </w:p>
        </w:tc>
      </w:tr>
      <w:tr w:rsidR="00E0462D" w14:paraId="63310870" w14:textId="77777777" w:rsidTr="00E27649">
        <w:tc>
          <w:tcPr>
            <w:tcW w:w="3468" w:type="dxa"/>
            <w:hideMark/>
          </w:tcPr>
          <w:p w14:paraId="0B302AC3" w14:textId="77777777" w:rsidR="00E0462D" w:rsidRPr="00E0462D" w:rsidRDefault="00E0462D">
            <w:pPr>
              <w:rPr>
                <w:rFonts w:ascii="Arial" w:hAnsi="Arial" w:cs="Arial"/>
              </w:rPr>
            </w:pPr>
            <w:r w:rsidRPr="00E0462D">
              <w:rPr>
                <w:rFonts w:ascii="Arial" w:hAnsi="Arial" w:cs="Arial"/>
              </w:rPr>
              <w:t xml:space="preserve">Variance from By-law No.: </w:t>
            </w:r>
          </w:p>
        </w:tc>
        <w:tc>
          <w:tcPr>
            <w:tcW w:w="5996" w:type="dxa"/>
            <w:hideMark/>
          </w:tcPr>
          <w:p w14:paraId="51E54265" w14:textId="77777777" w:rsidR="00E0462D" w:rsidRPr="00E0462D" w:rsidRDefault="00E0462D" w:rsidP="00E0462D">
            <w:pPr>
              <w:ind w:left="927"/>
              <w:rPr>
                <w:rFonts w:ascii="Arial" w:hAnsi="Arial" w:cs="Arial"/>
              </w:rPr>
            </w:pPr>
            <w:r w:rsidRPr="00E0462D">
              <w:rPr>
                <w:rFonts w:ascii="Arial" w:hAnsi="Arial" w:cs="Arial"/>
              </w:rPr>
              <w:t>2012</w:t>
            </w:r>
            <w:r>
              <w:rPr>
                <w:rFonts w:ascii="Arial" w:hAnsi="Arial" w:cs="Arial"/>
              </w:rPr>
              <w:t>-1</w:t>
            </w:r>
            <w:r w:rsidRPr="00E0462D">
              <w:rPr>
                <w:rFonts w:ascii="Arial" w:hAnsi="Arial" w:cs="Arial"/>
              </w:rPr>
              <w:t>19</w:t>
            </w:r>
          </w:p>
        </w:tc>
      </w:tr>
      <w:tr w:rsidR="00E0462D" w14:paraId="2D132CB8" w14:textId="77777777" w:rsidTr="00E27649">
        <w:tc>
          <w:tcPr>
            <w:tcW w:w="3468" w:type="dxa"/>
            <w:hideMark/>
          </w:tcPr>
          <w:p w14:paraId="6B1D922B" w14:textId="77777777" w:rsidR="00E0462D" w:rsidRPr="00E0462D" w:rsidRDefault="00E0462D">
            <w:pPr>
              <w:rPr>
                <w:rFonts w:ascii="Arial" w:hAnsi="Arial" w:cs="Arial"/>
              </w:rPr>
            </w:pPr>
            <w:r w:rsidRPr="00E0462D">
              <w:rPr>
                <w:rFonts w:ascii="Arial" w:hAnsi="Arial" w:cs="Arial"/>
              </w:rPr>
              <w:t>Property Address/Description:</w:t>
            </w:r>
          </w:p>
        </w:tc>
        <w:tc>
          <w:tcPr>
            <w:tcW w:w="5996" w:type="dxa"/>
            <w:hideMark/>
          </w:tcPr>
          <w:p w14:paraId="687D6185" w14:textId="77777777" w:rsidR="00E0462D" w:rsidRPr="00E0462D" w:rsidRDefault="00E0462D" w:rsidP="00E0462D">
            <w:pPr>
              <w:ind w:left="927"/>
              <w:rPr>
                <w:rFonts w:ascii="Arial" w:hAnsi="Arial" w:cs="Arial"/>
              </w:rPr>
            </w:pPr>
            <w:bookmarkStart w:id="1" w:name="_GoBack"/>
            <w:r w:rsidRPr="00E0462D">
              <w:rPr>
                <w:rFonts w:ascii="Arial" w:hAnsi="Arial" w:cs="Arial"/>
              </w:rPr>
              <w:t xml:space="preserve">7549 </w:t>
            </w:r>
            <w:proofErr w:type="spellStart"/>
            <w:r w:rsidRPr="00E0462D">
              <w:rPr>
                <w:rFonts w:ascii="Arial" w:hAnsi="Arial" w:cs="Arial"/>
              </w:rPr>
              <w:t>Kalar</w:t>
            </w:r>
            <w:proofErr w:type="spellEnd"/>
            <w:r w:rsidRPr="00E0462D">
              <w:rPr>
                <w:rFonts w:ascii="Arial" w:hAnsi="Arial" w:cs="Arial"/>
              </w:rPr>
              <w:t xml:space="preserve"> Road</w:t>
            </w:r>
            <w:bookmarkEnd w:id="1"/>
          </w:p>
        </w:tc>
      </w:tr>
      <w:tr w:rsidR="00E0462D" w14:paraId="00F10072" w14:textId="77777777" w:rsidTr="00E27649">
        <w:tc>
          <w:tcPr>
            <w:tcW w:w="3468" w:type="dxa"/>
            <w:hideMark/>
          </w:tcPr>
          <w:p w14:paraId="53A75CEB" w14:textId="77777777" w:rsidR="00E0462D" w:rsidRPr="00E0462D" w:rsidRDefault="00E0462D">
            <w:pPr>
              <w:rPr>
                <w:rFonts w:ascii="Arial" w:hAnsi="Arial" w:cs="Arial"/>
              </w:rPr>
            </w:pPr>
            <w:r w:rsidRPr="00E0462D">
              <w:rPr>
                <w:rFonts w:ascii="Arial" w:hAnsi="Arial" w:cs="Arial"/>
              </w:rPr>
              <w:t xml:space="preserve">Municipality: </w:t>
            </w:r>
          </w:p>
        </w:tc>
        <w:tc>
          <w:tcPr>
            <w:tcW w:w="5996" w:type="dxa"/>
            <w:hideMark/>
          </w:tcPr>
          <w:p w14:paraId="56A4878D" w14:textId="77777777" w:rsidR="00E0462D" w:rsidRPr="00E0462D" w:rsidRDefault="00E0462D" w:rsidP="00E0462D">
            <w:pPr>
              <w:ind w:left="927"/>
              <w:rPr>
                <w:rFonts w:ascii="Arial" w:hAnsi="Arial" w:cs="Arial"/>
              </w:rPr>
            </w:pPr>
            <w:r w:rsidRPr="00E0462D">
              <w:rPr>
                <w:rFonts w:ascii="Arial" w:hAnsi="Arial" w:cs="Arial"/>
              </w:rPr>
              <w:t>City of Niagara Falls</w:t>
            </w:r>
          </w:p>
        </w:tc>
      </w:tr>
      <w:tr w:rsidR="00E0462D" w14:paraId="6F73662B" w14:textId="77777777" w:rsidTr="00E27649">
        <w:tc>
          <w:tcPr>
            <w:tcW w:w="3468" w:type="dxa"/>
            <w:hideMark/>
          </w:tcPr>
          <w:p w14:paraId="38AACF2F" w14:textId="77777777" w:rsidR="00E0462D" w:rsidRPr="00E0462D" w:rsidRDefault="00E0462D">
            <w:pPr>
              <w:rPr>
                <w:rFonts w:ascii="Arial" w:hAnsi="Arial" w:cs="Arial"/>
              </w:rPr>
            </w:pPr>
            <w:r w:rsidRPr="00E0462D">
              <w:rPr>
                <w:rFonts w:ascii="Arial" w:hAnsi="Arial" w:cs="Arial"/>
              </w:rPr>
              <w:t xml:space="preserve">Municipal File No.: </w:t>
            </w:r>
          </w:p>
        </w:tc>
        <w:tc>
          <w:tcPr>
            <w:tcW w:w="5996" w:type="dxa"/>
            <w:hideMark/>
          </w:tcPr>
          <w:p w14:paraId="0BDB19A4" w14:textId="77777777" w:rsidR="00E0462D" w:rsidRPr="00E0462D" w:rsidRDefault="00E0462D" w:rsidP="00E0462D">
            <w:pPr>
              <w:ind w:left="927"/>
              <w:rPr>
                <w:rFonts w:ascii="Arial" w:hAnsi="Arial" w:cs="Arial"/>
              </w:rPr>
            </w:pPr>
            <w:r w:rsidRPr="00E0462D">
              <w:rPr>
                <w:rFonts w:ascii="Arial" w:hAnsi="Arial" w:cs="Arial"/>
              </w:rPr>
              <w:t>A-2018-027</w:t>
            </w:r>
          </w:p>
        </w:tc>
      </w:tr>
      <w:tr w:rsidR="00E0462D" w14:paraId="6824231E" w14:textId="77777777" w:rsidTr="00E27649">
        <w:tc>
          <w:tcPr>
            <w:tcW w:w="3468" w:type="dxa"/>
            <w:hideMark/>
          </w:tcPr>
          <w:p w14:paraId="3923654D" w14:textId="77777777" w:rsidR="00E0462D" w:rsidRPr="00E0462D" w:rsidRDefault="00E0462D">
            <w:pPr>
              <w:rPr>
                <w:rFonts w:ascii="Arial" w:hAnsi="Arial" w:cs="Arial"/>
              </w:rPr>
            </w:pPr>
            <w:r w:rsidRPr="00E0462D">
              <w:rPr>
                <w:rFonts w:ascii="Arial" w:hAnsi="Arial" w:cs="Arial"/>
              </w:rPr>
              <w:t xml:space="preserve">LPAT Case No.: </w:t>
            </w:r>
          </w:p>
        </w:tc>
        <w:tc>
          <w:tcPr>
            <w:tcW w:w="5996" w:type="dxa"/>
            <w:hideMark/>
          </w:tcPr>
          <w:p w14:paraId="1DF2012F" w14:textId="77777777" w:rsidR="00E0462D" w:rsidRPr="00E0462D" w:rsidRDefault="00E0462D" w:rsidP="00E0462D">
            <w:pPr>
              <w:ind w:left="927"/>
              <w:rPr>
                <w:rFonts w:ascii="Arial" w:hAnsi="Arial" w:cs="Arial"/>
              </w:rPr>
            </w:pPr>
            <w:r w:rsidRPr="00E0462D">
              <w:rPr>
                <w:rFonts w:ascii="Arial" w:hAnsi="Arial" w:cs="Arial"/>
              </w:rPr>
              <w:t>PL180830</w:t>
            </w:r>
          </w:p>
        </w:tc>
      </w:tr>
      <w:tr w:rsidR="00E0462D" w14:paraId="32BA91D6" w14:textId="77777777" w:rsidTr="00E27649">
        <w:tc>
          <w:tcPr>
            <w:tcW w:w="3468" w:type="dxa"/>
            <w:hideMark/>
          </w:tcPr>
          <w:p w14:paraId="4D6414D5" w14:textId="77777777" w:rsidR="00E0462D" w:rsidRPr="00E0462D" w:rsidRDefault="00E0462D">
            <w:pPr>
              <w:rPr>
                <w:rFonts w:ascii="Arial" w:hAnsi="Arial" w:cs="Arial"/>
              </w:rPr>
            </w:pPr>
            <w:r w:rsidRPr="00E0462D">
              <w:rPr>
                <w:rFonts w:ascii="Arial" w:hAnsi="Arial" w:cs="Arial"/>
              </w:rPr>
              <w:t xml:space="preserve">LPAT File No.: </w:t>
            </w:r>
          </w:p>
        </w:tc>
        <w:tc>
          <w:tcPr>
            <w:tcW w:w="5996" w:type="dxa"/>
            <w:hideMark/>
          </w:tcPr>
          <w:p w14:paraId="13800E8A" w14:textId="77777777" w:rsidR="00E0462D" w:rsidRPr="00E0462D" w:rsidRDefault="00E0462D" w:rsidP="00E0462D">
            <w:pPr>
              <w:ind w:left="927"/>
              <w:rPr>
                <w:rFonts w:ascii="Arial" w:hAnsi="Arial" w:cs="Arial"/>
              </w:rPr>
            </w:pPr>
            <w:r w:rsidRPr="00E0462D">
              <w:rPr>
                <w:rFonts w:ascii="Arial" w:hAnsi="Arial" w:cs="Arial"/>
              </w:rPr>
              <w:t>PL180830</w:t>
            </w:r>
          </w:p>
        </w:tc>
      </w:tr>
      <w:tr w:rsidR="00E0462D" w14:paraId="692D189D" w14:textId="77777777" w:rsidTr="00E27649">
        <w:tc>
          <w:tcPr>
            <w:tcW w:w="3468" w:type="dxa"/>
            <w:hideMark/>
          </w:tcPr>
          <w:p w14:paraId="3A798015" w14:textId="77777777" w:rsidR="00E0462D" w:rsidRPr="00E0462D" w:rsidRDefault="00E0462D">
            <w:pPr>
              <w:rPr>
                <w:rFonts w:ascii="Arial" w:hAnsi="Arial" w:cs="Arial"/>
              </w:rPr>
            </w:pPr>
            <w:r w:rsidRPr="00E0462D">
              <w:rPr>
                <w:rFonts w:ascii="Arial" w:hAnsi="Arial" w:cs="Arial"/>
              </w:rPr>
              <w:t xml:space="preserve">LPAT Case Name: </w:t>
            </w:r>
          </w:p>
        </w:tc>
        <w:tc>
          <w:tcPr>
            <w:tcW w:w="5996" w:type="dxa"/>
            <w:hideMark/>
          </w:tcPr>
          <w:p w14:paraId="62336817" w14:textId="77777777" w:rsidR="00E0462D" w:rsidRPr="00E0462D" w:rsidRDefault="00E0462D" w:rsidP="00E0462D">
            <w:pPr>
              <w:ind w:left="927"/>
              <w:rPr>
                <w:rFonts w:ascii="Arial" w:hAnsi="Arial" w:cs="Arial"/>
              </w:rPr>
            </w:pPr>
            <w:proofErr w:type="spellStart"/>
            <w:r w:rsidRPr="00E0462D">
              <w:rPr>
                <w:rFonts w:ascii="Arial" w:hAnsi="Arial" w:cs="Arial"/>
              </w:rPr>
              <w:t>Bhamra</w:t>
            </w:r>
            <w:proofErr w:type="spellEnd"/>
            <w:r w:rsidRPr="00E0462D">
              <w:rPr>
                <w:rFonts w:ascii="Arial" w:hAnsi="Arial" w:cs="Arial"/>
              </w:rPr>
              <w:t xml:space="preserve"> v. Niagara Falls (City)</w:t>
            </w:r>
          </w:p>
        </w:tc>
      </w:tr>
    </w:tbl>
    <w:p w14:paraId="02162C36" w14:textId="77777777" w:rsidR="00B268A7" w:rsidRPr="001D67CE" w:rsidRDefault="00B268A7" w:rsidP="00270AAE">
      <w:pPr>
        <w:rPr>
          <w:rFonts w:ascii="Arial" w:hAnsi="Arial" w:cs="Arial"/>
        </w:rPr>
      </w:pPr>
    </w:p>
    <w:p w14:paraId="27AAB9AF" w14:textId="77777777" w:rsidR="006F6F82" w:rsidRPr="001D67CE" w:rsidRDefault="006F6F82" w:rsidP="00270AAE">
      <w:pPr>
        <w:rPr>
          <w:rFonts w:ascii="Arial" w:hAnsi="Arial" w:cs="Arial"/>
        </w:rPr>
      </w:pPr>
    </w:p>
    <w:p w14:paraId="5BA22C8A"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14:paraId="03D5E6AE" w14:textId="77777777" w:rsidTr="00E0462D">
        <w:tc>
          <w:tcPr>
            <w:tcW w:w="4338" w:type="dxa"/>
          </w:tcPr>
          <w:p w14:paraId="7793A34A" w14:textId="77777777" w:rsidR="00B268A7" w:rsidRPr="00C940BC" w:rsidRDefault="00B268A7" w:rsidP="00270AAE">
            <w:pPr>
              <w:rPr>
                <w:rFonts w:ascii="Arial" w:hAnsi="Arial" w:cs="Arial"/>
              </w:rPr>
            </w:pPr>
            <w:r w:rsidRPr="001E764F">
              <w:rPr>
                <w:rFonts w:ascii="Arial" w:hAnsi="Arial" w:cs="Arial"/>
                <w:b/>
              </w:rPr>
              <w:t>Heard:</w:t>
            </w:r>
          </w:p>
        </w:tc>
        <w:tc>
          <w:tcPr>
            <w:tcW w:w="5238" w:type="dxa"/>
          </w:tcPr>
          <w:p w14:paraId="75EC4311" w14:textId="77777777" w:rsidR="00B268A7" w:rsidRPr="001E764F" w:rsidRDefault="0001777D" w:rsidP="00270AAE">
            <w:pPr>
              <w:rPr>
                <w:rFonts w:ascii="Arial" w:hAnsi="Arial" w:cs="Arial"/>
              </w:rPr>
            </w:pPr>
            <w:r>
              <w:rPr>
                <w:rFonts w:ascii="Arial" w:hAnsi="Arial" w:cs="Arial"/>
              </w:rPr>
              <w:t>March 20, 2019 in Niagara Falls, Ontario</w:t>
            </w:r>
            <w:r w:rsidR="00371D83">
              <w:rPr>
                <w:rFonts w:ascii="Arial" w:hAnsi="Arial" w:cs="Arial"/>
              </w:rPr>
              <w:t xml:space="preserve"> </w:t>
            </w:r>
          </w:p>
        </w:tc>
      </w:tr>
    </w:tbl>
    <w:p w14:paraId="3FFF4C4C"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14:paraId="2C004C54" w14:textId="77777777" w:rsidTr="00E0462D">
        <w:tc>
          <w:tcPr>
            <w:tcW w:w="4361" w:type="dxa"/>
          </w:tcPr>
          <w:bookmarkEnd w:id="0"/>
          <w:p w14:paraId="401EC418" w14:textId="77777777" w:rsidR="0089782A" w:rsidRPr="00C940BC" w:rsidRDefault="0089782A" w:rsidP="00270AAE">
            <w:pPr>
              <w:rPr>
                <w:rFonts w:ascii="Arial" w:hAnsi="Arial" w:cs="Arial"/>
              </w:rPr>
            </w:pPr>
            <w:r w:rsidRPr="001E764F">
              <w:rPr>
                <w:rFonts w:ascii="Arial" w:hAnsi="Arial" w:cs="Arial"/>
                <w:b/>
              </w:rPr>
              <w:t>APPEARANCES:</w:t>
            </w:r>
          </w:p>
        </w:tc>
        <w:tc>
          <w:tcPr>
            <w:tcW w:w="5245" w:type="dxa"/>
          </w:tcPr>
          <w:p w14:paraId="7755A74E" w14:textId="77777777" w:rsidR="0089782A" w:rsidRPr="001E764F" w:rsidRDefault="0089782A" w:rsidP="00270AAE">
            <w:pPr>
              <w:rPr>
                <w:rFonts w:ascii="Arial" w:hAnsi="Arial" w:cs="Arial"/>
              </w:rPr>
            </w:pPr>
          </w:p>
        </w:tc>
      </w:tr>
      <w:tr w:rsidR="0089782A" w:rsidRPr="001E764F" w14:paraId="46ED3C22" w14:textId="77777777" w:rsidTr="00E0462D">
        <w:tc>
          <w:tcPr>
            <w:tcW w:w="4361" w:type="dxa"/>
          </w:tcPr>
          <w:p w14:paraId="227D090F" w14:textId="77777777" w:rsidR="0089782A" w:rsidRPr="001E764F" w:rsidRDefault="0089782A" w:rsidP="00270AAE">
            <w:pPr>
              <w:rPr>
                <w:rFonts w:ascii="Arial" w:hAnsi="Arial" w:cs="Arial"/>
              </w:rPr>
            </w:pPr>
          </w:p>
        </w:tc>
        <w:tc>
          <w:tcPr>
            <w:tcW w:w="5245" w:type="dxa"/>
          </w:tcPr>
          <w:p w14:paraId="31D1566C" w14:textId="77777777" w:rsidR="0089782A" w:rsidRPr="001E764F" w:rsidRDefault="0089782A" w:rsidP="00270AAE">
            <w:pPr>
              <w:rPr>
                <w:rFonts w:ascii="Arial" w:hAnsi="Arial" w:cs="Arial"/>
              </w:rPr>
            </w:pPr>
          </w:p>
        </w:tc>
      </w:tr>
      <w:tr w:rsidR="008046EB" w:rsidRPr="001E764F" w14:paraId="2F79B95E" w14:textId="77777777" w:rsidTr="00E0462D">
        <w:tc>
          <w:tcPr>
            <w:tcW w:w="4361" w:type="dxa"/>
          </w:tcPr>
          <w:p w14:paraId="1628C875"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14:paraId="359EFDC2" w14:textId="77777777" w:rsidR="008046EB" w:rsidRPr="00C940BC" w:rsidRDefault="008046EB" w:rsidP="00DE04A8">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14:paraId="41C7D28D" w14:textId="77777777" w:rsidTr="00E0462D">
        <w:tc>
          <w:tcPr>
            <w:tcW w:w="4361" w:type="dxa"/>
          </w:tcPr>
          <w:p w14:paraId="6BC92655" w14:textId="77777777" w:rsidR="00CF3F96" w:rsidRPr="001E764F" w:rsidRDefault="00CF3F96" w:rsidP="00270AAE">
            <w:pPr>
              <w:rPr>
                <w:rFonts w:ascii="Arial" w:hAnsi="Arial" w:cs="Arial"/>
              </w:rPr>
            </w:pPr>
          </w:p>
        </w:tc>
        <w:tc>
          <w:tcPr>
            <w:tcW w:w="5245" w:type="dxa"/>
          </w:tcPr>
          <w:p w14:paraId="1ED08D42" w14:textId="77777777" w:rsidR="00CF3F96" w:rsidRPr="001D67CE" w:rsidRDefault="00CF3F96" w:rsidP="00270AAE">
            <w:pPr>
              <w:rPr>
                <w:rFonts w:ascii="Arial" w:hAnsi="Arial" w:cs="Arial"/>
              </w:rPr>
            </w:pPr>
          </w:p>
        </w:tc>
      </w:tr>
      <w:tr w:rsidR="001D67CE" w:rsidRPr="001E764F" w14:paraId="55E3B38B" w14:textId="77777777" w:rsidTr="00E0462D">
        <w:tc>
          <w:tcPr>
            <w:tcW w:w="4361" w:type="dxa"/>
          </w:tcPr>
          <w:p w14:paraId="29E54031" w14:textId="77777777" w:rsidR="001D67CE" w:rsidRPr="001E764F" w:rsidRDefault="000F44CD" w:rsidP="00282A34">
            <w:pPr>
              <w:rPr>
                <w:rFonts w:ascii="Arial" w:hAnsi="Arial" w:cs="Arial"/>
              </w:rPr>
            </w:pPr>
            <w:proofErr w:type="spellStart"/>
            <w:r>
              <w:rPr>
                <w:rFonts w:ascii="Arial" w:hAnsi="Arial" w:cs="Arial"/>
              </w:rPr>
              <w:t>Satnam</w:t>
            </w:r>
            <w:proofErr w:type="spellEnd"/>
            <w:r>
              <w:rPr>
                <w:rFonts w:ascii="Arial" w:hAnsi="Arial" w:cs="Arial"/>
              </w:rPr>
              <w:t xml:space="preserve"> </w:t>
            </w:r>
            <w:proofErr w:type="spellStart"/>
            <w:r>
              <w:rPr>
                <w:rFonts w:ascii="Arial" w:hAnsi="Arial" w:cs="Arial"/>
              </w:rPr>
              <w:t>Bhamra</w:t>
            </w:r>
            <w:proofErr w:type="spellEnd"/>
            <w:r w:rsidR="0001777D">
              <w:rPr>
                <w:rFonts w:ascii="Arial" w:hAnsi="Arial" w:cs="Arial"/>
              </w:rPr>
              <w:t xml:space="preserve"> (“Appellant”)</w:t>
            </w:r>
            <w:r w:rsidR="00371D83">
              <w:rPr>
                <w:rFonts w:ascii="Arial" w:hAnsi="Arial" w:cs="Arial"/>
              </w:rPr>
              <w:t xml:space="preserve"> </w:t>
            </w:r>
          </w:p>
        </w:tc>
        <w:tc>
          <w:tcPr>
            <w:tcW w:w="5245" w:type="dxa"/>
          </w:tcPr>
          <w:p w14:paraId="5ADC70E4" w14:textId="77777777" w:rsidR="001D67CE" w:rsidRPr="001D67CE" w:rsidRDefault="0001777D" w:rsidP="00E0462D">
            <w:pPr>
              <w:rPr>
                <w:rFonts w:ascii="Arial" w:hAnsi="Arial" w:cs="Arial"/>
              </w:rPr>
            </w:pPr>
            <w:r>
              <w:rPr>
                <w:rFonts w:ascii="Arial" w:hAnsi="Arial" w:cs="Arial"/>
              </w:rPr>
              <w:t xml:space="preserve">No one </w:t>
            </w:r>
            <w:r w:rsidR="00310067">
              <w:rPr>
                <w:rFonts w:ascii="Arial" w:hAnsi="Arial" w:cs="Arial"/>
              </w:rPr>
              <w:t>appearing</w:t>
            </w:r>
            <w:r w:rsidR="00371D83">
              <w:rPr>
                <w:rFonts w:ascii="Arial" w:hAnsi="Arial" w:cs="Arial"/>
              </w:rPr>
              <w:t xml:space="preserve"> </w:t>
            </w:r>
            <w:r w:rsidR="00DE04A8">
              <w:rPr>
                <w:rFonts w:ascii="Arial" w:hAnsi="Arial" w:cs="Arial"/>
              </w:rPr>
              <w:t xml:space="preserve"> </w:t>
            </w:r>
            <w:r w:rsidR="00A842EC">
              <w:rPr>
                <w:rFonts w:ascii="Arial" w:hAnsi="Arial" w:cs="Arial"/>
              </w:rPr>
              <w:t xml:space="preserve"> </w:t>
            </w:r>
          </w:p>
        </w:tc>
      </w:tr>
      <w:tr w:rsidR="001D67CE" w:rsidRPr="001E764F" w14:paraId="243DA7E7" w14:textId="77777777" w:rsidTr="00E0462D">
        <w:tc>
          <w:tcPr>
            <w:tcW w:w="4361" w:type="dxa"/>
          </w:tcPr>
          <w:p w14:paraId="1B6BB7BC" w14:textId="77777777" w:rsidR="001D67CE" w:rsidRPr="001E764F" w:rsidRDefault="001D67CE" w:rsidP="00270AAE">
            <w:pPr>
              <w:rPr>
                <w:rFonts w:ascii="Arial" w:hAnsi="Arial" w:cs="Arial"/>
              </w:rPr>
            </w:pPr>
          </w:p>
        </w:tc>
        <w:tc>
          <w:tcPr>
            <w:tcW w:w="5245" w:type="dxa"/>
          </w:tcPr>
          <w:p w14:paraId="0E7471C7" w14:textId="77777777" w:rsidR="001D67CE" w:rsidRPr="001D67CE" w:rsidRDefault="001D67CE" w:rsidP="00270AAE">
            <w:pPr>
              <w:rPr>
                <w:rFonts w:ascii="Arial" w:hAnsi="Arial" w:cs="Arial"/>
              </w:rPr>
            </w:pPr>
          </w:p>
        </w:tc>
      </w:tr>
      <w:tr w:rsidR="001D67CE" w:rsidRPr="001E764F" w14:paraId="7C7A5AB3" w14:textId="77777777" w:rsidTr="00E0462D">
        <w:tc>
          <w:tcPr>
            <w:tcW w:w="4361" w:type="dxa"/>
          </w:tcPr>
          <w:p w14:paraId="6C5EFCC4" w14:textId="77777777" w:rsidR="001D67CE" w:rsidRPr="001E764F" w:rsidRDefault="008C2941" w:rsidP="00270AAE">
            <w:pPr>
              <w:rPr>
                <w:rFonts w:ascii="Arial" w:hAnsi="Arial" w:cs="Arial"/>
              </w:rPr>
            </w:pPr>
            <w:r>
              <w:rPr>
                <w:rFonts w:ascii="Arial" w:hAnsi="Arial" w:cs="Arial"/>
              </w:rPr>
              <w:t>2607305 Ontario Inc.</w:t>
            </w:r>
            <w:r w:rsidR="0001777D">
              <w:rPr>
                <w:rFonts w:ascii="Arial" w:hAnsi="Arial" w:cs="Arial"/>
              </w:rPr>
              <w:t xml:space="preserve"> (“Applicant”)</w:t>
            </w:r>
            <w:r w:rsidR="00686901">
              <w:rPr>
                <w:rFonts w:ascii="Arial" w:hAnsi="Arial" w:cs="Arial"/>
              </w:rPr>
              <w:t xml:space="preserve"> </w:t>
            </w:r>
          </w:p>
        </w:tc>
        <w:tc>
          <w:tcPr>
            <w:tcW w:w="5245" w:type="dxa"/>
          </w:tcPr>
          <w:p w14:paraId="1313DFB8" w14:textId="77777777" w:rsidR="001D67CE" w:rsidRPr="001D67CE" w:rsidRDefault="0001777D" w:rsidP="00270AAE">
            <w:pPr>
              <w:rPr>
                <w:rFonts w:ascii="Arial" w:hAnsi="Arial" w:cs="Arial"/>
              </w:rPr>
            </w:pPr>
            <w:r>
              <w:rPr>
                <w:rFonts w:ascii="Arial" w:hAnsi="Arial" w:cs="Arial"/>
              </w:rPr>
              <w:t>Jennifer Meader</w:t>
            </w:r>
            <w:r w:rsidR="00A842EC">
              <w:rPr>
                <w:rFonts w:ascii="Arial" w:hAnsi="Arial" w:cs="Arial"/>
              </w:rPr>
              <w:t xml:space="preserve"> </w:t>
            </w:r>
          </w:p>
        </w:tc>
      </w:tr>
      <w:tr w:rsidR="001D67CE" w:rsidRPr="001E764F" w14:paraId="119D2910" w14:textId="77777777" w:rsidTr="00E0462D">
        <w:tc>
          <w:tcPr>
            <w:tcW w:w="4361" w:type="dxa"/>
          </w:tcPr>
          <w:p w14:paraId="7CF68274" w14:textId="77777777" w:rsidR="001D67CE" w:rsidRPr="001E764F" w:rsidRDefault="001D67CE" w:rsidP="00270AAE">
            <w:pPr>
              <w:rPr>
                <w:rFonts w:ascii="Arial" w:hAnsi="Arial" w:cs="Arial"/>
              </w:rPr>
            </w:pPr>
          </w:p>
        </w:tc>
        <w:tc>
          <w:tcPr>
            <w:tcW w:w="5245" w:type="dxa"/>
          </w:tcPr>
          <w:p w14:paraId="17F79F0B" w14:textId="77777777" w:rsidR="001D67CE" w:rsidRPr="001D67CE" w:rsidRDefault="001D67CE" w:rsidP="00270AAE">
            <w:pPr>
              <w:rPr>
                <w:rFonts w:ascii="Arial" w:hAnsi="Arial" w:cs="Arial"/>
              </w:rPr>
            </w:pPr>
          </w:p>
        </w:tc>
      </w:tr>
      <w:tr w:rsidR="00282A34" w:rsidRPr="001E764F" w14:paraId="3A4CF407" w14:textId="77777777" w:rsidTr="00E0462D">
        <w:tc>
          <w:tcPr>
            <w:tcW w:w="4361" w:type="dxa"/>
          </w:tcPr>
          <w:p w14:paraId="553D09E7" w14:textId="77777777" w:rsidR="00282A34" w:rsidRPr="001E764F" w:rsidRDefault="0001777D" w:rsidP="00270AAE">
            <w:pPr>
              <w:rPr>
                <w:rFonts w:ascii="Arial" w:hAnsi="Arial" w:cs="Arial"/>
              </w:rPr>
            </w:pPr>
            <w:r>
              <w:rPr>
                <w:rFonts w:ascii="Arial" w:hAnsi="Arial" w:cs="Arial"/>
              </w:rPr>
              <w:t>City of Niagara Falls (“City”)</w:t>
            </w:r>
            <w:r w:rsidR="00686901">
              <w:rPr>
                <w:rFonts w:ascii="Arial" w:hAnsi="Arial" w:cs="Arial"/>
              </w:rPr>
              <w:t xml:space="preserve"> </w:t>
            </w:r>
          </w:p>
        </w:tc>
        <w:tc>
          <w:tcPr>
            <w:tcW w:w="5245" w:type="dxa"/>
          </w:tcPr>
          <w:p w14:paraId="21B1BA83" w14:textId="77777777" w:rsidR="00282A34" w:rsidRPr="001D67CE" w:rsidRDefault="0001777D" w:rsidP="00270AAE">
            <w:pPr>
              <w:rPr>
                <w:rFonts w:ascii="Arial" w:hAnsi="Arial" w:cs="Arial"/>
              </w:rPr>
            </w:pPr>
            <w:r>
              <w:rPr>
                <w:rFonts w:ascii="Arial" w:hAnsi="Arial" w:cs="Arial"/>
              </w:rPr>
              <w:t>Tom Halinski</w:t>
            </w:r>
            <w:r w:rsidR="00A842EC">
              <w:rPr>
                <w:rFonts w:ascii="Arial" w:hAnsi="Arial" w:cs="Arial"/>
              </w:rPr>
              <w:t xml:space="preserve"> </w:t>
            </w:r>
          </w:p>
        </w:tc>
      </w:tr>
      <w:tr w:rsidR="00282A34" w:rsidRPr="001E764F" w14:paraId="07C83A04" w14:textId="77777777" w:rsidTr="00E0462D">
        <w:tc>
          <w:tcPr>
            <w:tcW w:w="4361" w:type="dxa"/>
          </w:tcPr>
          <w:p w14:paraId="353A927A" w14:textId="77777777" w:rsidR="00282A34" w:rsidRPr="001E764F" w:rsidRDefault="00686901" w:rsidP="00270AAE">
            <w:pPr>
              <w:rPr>
                <w:rFonts w:ascii="Arial" w:hAnsi="Arial" w:cs="Arial"/>
              </w:rPr>
            </w:pPr>
            <w:r>
              <w:rPr>
                <w:rFonts w:ascii="Arial" w:hAnsi="Arial" w:cs="Arial"/>
              </w:rPr>
              <w:t xml:space="preserve"> </w:t>
            </w:r>
          </w:p>
        </w:tc>
        <w:tc>
          <w:tcPr>
            <w:tcW w:w="5245" w:type="dxa"/>
          </w:tcPr>
          <w:p w14:paraId="2312154F" w14:textId="77777777" w:rsidR="00282A34" w:rsidRPr="001D67CE" w:rsidRDefault="00282A34" w:rsidP="00270AAE">
            <w:pPr>
              <w:rPr>
                <w:rFonts w:ascii="Arial" w:hAnsi="Arial" w:cs="Arial"/>
              </w:rPr>
            </w:pPr>
          </w:p>
        </w:tc>
      </w:tr>
    </w:tbl>
    <w:p w14:paraId="2766556A" w14:textId="77777777" w:rsidR="0026320F" w:rsidRDefault="0026320F" w:rsidP="00270AAE">
      <w:pPr>
        <w:rPr>
          <w:rFonts w:ascii="Arial" w:hAnsi="Arial" w:cs="Arial"/>
        </w:rPr>
      </w:pPr>
    </w:p>
    <w:p w14:paraId="1BE7928F" w14:textId="77777777" w:rsidR="00935095" w:rsidRPr="00C940BC" w:rsidRDefault="0001777D" w:rsidP="00935095">
      <w:pPr>
        <w:pStyle w:val="DecisionDeliveredby"/>
        <w:pBdr>
          <w:bottom w:val="single" w:sz="4" w:space="1" w:color="auto"/>
        </w:pBdr>
        <w:rPr>
          <w:rFonts w:cs="Arial"/>
          <w:b w:val="0"/>
        </w:rPr>
      </w:pPr>
      <w:r>
        <w:rPr>
          <w:rFonts w:cs="Arial"/>
        </w:rPr>
        <w:t xml:space="preserve">MEMORANDUM OF ORAL </w:t>
      </w:r>
      <w:r w:rsidR="00935095" w:rsidRPr="005A767F">
        <w:rPr>
          <w:rFonts w:cs="Arial"/>
        </w:rPr>
        <w:t>DECISION DELIVERED BY</w:t>
      </w:r>
      <w:r w:rsidR="009F1D55">
        <w:rPr>
          <w:rFonts w:cs="Arial"/>
        </w:rPr>
        <w:t xml:space="preserve"> PAULA BOUTIS</w:t>
      </w:r>
      <w:r>
        <w:rPr>
          <w:rFonts w:cs="Arial"/>
        </w:rPr>
        <w:t xml:space="preserve"> ON MARCH 20, 2019</w:t>
      </w:r>
      <w:r w:rsidR="009F1D55">
        <w:rPr>
          <w:rFonts w:cs="Arial"/>
        </w:rPr>
        <w:t xml:space="preserve"> AND ORDER OF THE TRIBUNAL</w:t>
      </w:r>
      <w:r w:rsidR="00935095" w:rsidRPr="005A767F">
        <w:rPr>
          <w:rFonts w:cs="Arial"/>
        </w:rPr>
        <w:t xml:space="preserve"> </w:t>
      </w:r>
    </w:p>
    <w:p w14:paraId="1DEE43A1" w14:textId="77777777" w:rsidR="00935095" w:rsidRPr="00AC548D" w:rsidRDefault="00935095" w:rsidP="00E0462D">
      <w:pPr>
        <w:pStyle w:val="Heading1"/>
        <w:spacing w:beforeLines="150" w:before="360" w:afterLines="150" w:after="360"/>
      </w:pPr>
      <w:r w:rsidRPr="003148C9">
        <w:lastRenderedPageBreak/>
        <w:t>INTRODUCTION</w:t>
      </w:r>
    </w:p>
    <w:p w14:paraId="58A53C7F" w14:textId="5FF615DD" w:rsidR="00E13F77" w:rsidRDefault="00BD0257" w:rsidP="00E0462D">
      <w:pPr>
        <w:pStyle w:val="DecisionBody"/>
        <w:numPr>
          <w:ilvl w:val="0"/>
          <w:numId w:val="32"/>
        </w:numPr>
        <w:spacing w:beforeLines="150" w:before="360" w:afterLines="150" w:after="360"/>
        <w:ind w:left="0" w:firstLine="0"/>
      </w:pPr>
      <w:proofErr w:type="spellStart"/>
      <w:r>
        <w:t>Satnam</w:t>
      </w:r>
      <w:proofErr w:type="spellEnd"/>
      <w:r>
        <w:t xml:space="preserve"> </w:t>
      </w:r>
      <w:proofErr w:type="spellStart"/>
      <w:r>
        <w:t>Bhamra</w:t>
      </w:r>
      <w:proofErr w:type="spellEnd"/>
      <w:r>
        <w:t xml:space="preserve"> appealed a decision of the Committee of Adjustment (“Committee”) authorizing </w:t>
      </w:r>
      <w:r w:rsidR="008C2941">
        <w:t>minor variance</w:t>
      </w:r>
      <w:r>
        <w:t>s</w:t>
      </w:r>
      <w:r w:rsidR="008C2941">
        <w:t xml:space="preserve"> </w:t>
      </w:r>
      <w:r w:rsidR="009E5BA0">
        <w:t xml:space="preserve">to </w:t>
      </w:r>
      <w:r w:rsidR="008C2941">
        <w:t>facilitate the construction of two apartment buildings</w:t>
      </w:r>
      <w:r w:rsidR="0067049C">
        <w:t xml:space="preserve"> (condominium development)</w:t>
      </w:r>
      <w:r w:rsidR="008C2941">
        <w:t xml:space="preserve"> at 7549 </w:t>
      </w:r>
      <w:proofErr w:type="spellStart"/>
      <w:r w:rsidR="008C2941">
        <w:t>Kalar</w:t>
      </w:r>
      <w:proofErr w:type="spellEnd"/>
      <w:r w:rsidR="008C2941">
        <w:t xml:space="preserve"> Road (“Subject Property”</w:t>
      </w:r>
      <w:r w:rsidR="00050D12">
        <w:t>)</w:t>
      </w:r>
      <w:r w:rsidR="008C2941">
        <w:t>.</w:t>
      </w:r>
    </w:p>
    <w:p w14:paraId="560EB924" w14:textId="77777777" w:rsidR="00115BFF" w:rsidRDefault="00586F97" w:rsidP="00E0462D">
      <w:pPr>
        <w:pStyle w:val="DecisionBody"/>
        <w:numPr>
          <w:ilvl w:val="0"/>
          <w:numId w:val="32"/>
        </w:numPr>
        <w:spacing w:beforeLines="150" w:before="360" w:afterLines="150" w:after="360"/>
        <w:ind w:left="0" w:firstLine="0"/>
      </w:pPr>
      <w:r>
        <w:t xml:space="preserve">While Fernando </w:t>
      </w:r>
      <w:proofErr w:type="spellStart"/>
      <w:r>
        <w:t>Caiella</w:t>
      </w:r>
      <w:proofErr w:type="spellEnd"/>
      <w:r w:rsidR="00B830F6">
        <w:t xml:space="preserve"> is noted</w:t>
      </w:r>
      <w:r>
        <w:t xml:space="preserve"> as the Applicant</w:t>
      </w:r>
      <w:r w:rsidR="00B830F6">
        <w:t xml:space="preserve"> in the Tribunal file</w:t>
      </w:r>
      <w:r>
        <w:t xml:space="preserve">, </w:t>
      </w:r>
      <w:r w:rsidRPr="00115BFF">
        <w:t>2607305 Ontario Inc. is the Applicant</w:t>
      </w:r>
      <w:r w:rsidR="009E5BA0">
        <w:t xml:space="preserve"> and is so reflected in the appearances.</w:t>
      </w:r>
    </w:p>
    <w:p w14:paraId="0DE16E3A" w14:textId="77777777" w:rsidR="006D6E12" w:rsidRDefault="008C2941" w:rsidP="00E0462D">
      <w:pPr>
        <w:pStyle w:val="DecisionBody"/>
        <w:numPr>
          <w:ilvl w:val="0"/>
          <w:numId w:val="32"/>
        </w:numPr>
        <w:spacing w:beforeLines="150" w:before="360" w:afterLines="150" w:after="360"/>
        <w:ind w:left="0" w:firstLine="0"/>
      </w:pPr>
      <w:r>
        <w:t>The Appellant did not appear. The Tribunal stood the matter down</w:t>
      </w:r>
      <w:r w:rsidR="00BE6E8E">
        <w:t xml:space="preserve"> for 30 minutes</w:t>
      </w:r>
      <w:r>
        <w:t xml:space="preserve">, as required by the </w:t>
      </w:r>
      <w:r w:rsidR="00485FD3" w:rsidRPr="00050D12">
        <w:rPr>
          <w:i/>
        </w:rPr>
        <w:t>R</w:t>
      </w:r>
      <w:r w:rsidRPr="00050D12">
        <w:rPr>
          <w:i/>
        </w:rPr>
        <w:t>ules</w:t>
      </w:r>
      <w:r w:rsidR="00485FD3" w:rsidRPr="00050D12">
        <w:rPr>
          <w:i/>
        </w:rPr>
        <w:t xml:space="preserve"> of Practice and Procedure</w:t>
      </w:r>
      <w:r w:rsidR="00050D12">
        <w:rPr>
          <w:i/>
        </w:rPr>
        <w:t xml:space="preserve"> </w:t>
      </w:r>
      <w:r w:rsidR="00050D12" w:rsidRPr="00050D12">
        <w:t>(“Rules”)</w:t>
      </w:r>
      <w:r>
        <w:t xml:space="preserve">, prior to proceeding. </w:t>
      </w:r>
      <w:r w:rsidR="00BE6E8E">
        <w:t>Upon resumption, t</w:t>
      </w:r>
      <w:r>
        <w:t>he Tribunal discussed with the City and Applicant whether a hearing was required in the circumstances</w:t>
      </w:r>
      <w:r w:rsidR="00101E35">
        <w:t>.</w:t>
      </w:r>
      <w:r>
        <w:t xml:space="preserve"> </w:t>
      </w:r>
      <w:r w:rsidR="00101E35">
        <w:t>U</w:t>
      </w:r>
      <w:r>
        <w:t xml:space="preserve">ltimately, it was the preference of the </w:t>
      </w:r>
      <w:r w:rsidR="00D02287">
        <w:t>A</w:t>
      </w:r>
      <w:r>
        <w:t>pplicant that the Tribunal hear evidence on the</w:t>
      </w:r>
      <w:r w:rsidR="00101E35">
        <w:t xml:space="preserve"> appeal</w:t>
      </w:r>
      <w:r>
        <w:t>. The Tribunal therefore proceeded t</w:t>
      </w:r>
      <w:r w:rsidR="00101E35">
        <w:t>o hear evidence on the variances</w:t>
      </w:r>
      <w:r>
        <w:t>.</w:t>
      </w:r>
      <w:r w:rsidR="00D02287">
        <w:t xml:space="preserve"> </w:t>
      </w:r>
    </w:p>
    <w:p w14:paraId="1C4E59E0" w14:textId="77777777" w:rsidR="008C2941" w:rsidRDefault="00D02287" w:rsidP="00E0462D">
      <w:pPr>
        <w:pStyle w:val="DecisionBody"/>
        <w:numPr>
          <w:ilvl w:val="0"/>
          <w:numId w:val="32"/>
        </w:numPr>
        <w:spacing w:beforeLines="150" w:before="360" w:afterLines="150" w:after="360"/>
        <w:ind w:left="0" w:firstLine="0"/>
      </w:pPr>
      <w:r>
        <w:t xml:space="preserve">The Tribunal heard evidence from Jennifer Vida, whom it qualified to provide opinion evidence in the area of land use planning. </w:t>
      </w:r>
      <w:r w:rsidR="006D6E12">
        <w:t xml:space="preserve"> </w:t>
      </w:r>
    </w:p>
    <w:p w14:paraId="04DA9FB3" w14:textId="77777777" w:rsidR="00586F97" w:rsidRDefault="00586F97" w:rsidP="00E0462D">
      <w:pPr>
        <w:pStyle w:val="DecisionBody"/>
        <w:numPr>
          <w:ilvl w:val="0"/>
          <w:numId w:val="32"/>
        </w:numPr>
        <w:spacing w:beforeLines="150" w:before="360" w:afterLines="150" w:after="360"/>
        <w:ind w:left="0" w:firstLine="0"/>
      </w:pPr>
      <w:r>
        <w:t xml:space="preserve">At the conclusion of the hearing, the Tribunal dismissed the appeal and authorized the variances as provided for in the Committee’s decision (Exhibit 1, Tab </w:t>
      </w:r>
      <w:r w:rsidR="009E5BA0">
        <w:t>15</w:t>
      </w:r>
      <w:r>
        <w:t>).</w:t>
      </w:r>
      <w:r w:rsidR="00A045D3">
        <w:t xml:space="preserve"> </w:t>
      </w:r>
    </w:p>
    <w:p w14:paraId="522D47C7" w14:textId="77777777" w:rsidR="004F56F7" w:rsidRDefault="00050D12" w:rsidP="00E0462D">
      <w:pPr>
        <w:pStyle w:val="DecisionBody"/>
        <w:numPr>
          <w:ilvl w:val="0"/>
          <w:numId w:val="32"/>
        </w:numPr>
        <w:spacing w:beforeLines="150" w:before="360" w:afterLines="150" w:after="360"/>
        <w:ind w:left="0" w:firstLine="0"/>
      </w:pPr>
      <w:r>
        <w:t xml:space="preserve">Counsel for the Applicant indicated that </w:t>
      </w:r>
      <w:r w:rsidR="00EA0F32">
        <w:t xml:space="preserve">it </w:t>
      </w:r>
      <w:r>
        <w:t>wishes to</w:t>
      </w:r>
      <w:r w:rsidR="00EA0F32">
        <w:t xml:space="preserve"> seek</w:t>
      </w:r>
      <w:r>
        <w:t xml:space="preserve"> costs against the Appellant. The Tribunal directs the Applicant to the Rules, particularly Rul</w:t>
      </w:r>
      <w:r w:rsidR="00194A84">
        <w:t>e 23 for the applicable process</w:t>
      </w:r>
      <w:r w:rsidR="004F56F7">
        <w:t>.</w:t>
      </w:r>
    </w:p>
    <w:p w14:paraId="27F43E75" w14:textId="77777777" w:rsidR="00EB372E" w:rsidRPr="004F56F7" w:rsidRDefault="004F56F7" w:rsidP="004F56F7">
      <w:pPr>
        <w:pStyle w:val="DecisionBody"/>
        <w:numPr>
          <w:ilvl w:val="0"/>
          <w:numId w:val="0"/>
        </w:numPr>
        <w:spacing w:beforeLines="150" w:before="360" w:afterLines="150" w:after="360"/>
        <w:rPr>
          <w:b/>
        </w:rPr>
      </w:pPr>
      <w:r w:rsidRPr="004F56F7">
        <w:rPr>
          <w:b/>
        </w:rPr>
        <w:t>EVIDENCE AND ANALYSIS</w:t>
      </w:r>
    </w:p>
    <w:p w14:paraId="600CDE87" w14:textId="77777777" w:rsidR="007710D5" w:rsidRDefault="007710D5" w:rsidP="00E0462D">
      <w:pPr>
        <w:pStyle w:val="Heading2"/>
        <w:spacing w:beforeLines="150" w:before="360" w:afterLines="150" w:after="360"/>
      </w:pPr>
      <w:r>
        <w:t>Proposal and Site and Planning Context</w:t>
      </w:r>
    </w:p>
    <w:p w14:paraId="68C1BA95" w14:textId="7EB1B24C" w:rsidR="007710D5" w:rsidRDefault="007710D5" w:rsidP="00E0462D">
      <w:pPr>
        <w:pStyle w:val="DecisionBody"/>
        <w:numPr>
          <w:ilvl w:val="0"/>
          <w:numId w:val="32"/>
        </w:numPr>
        <w:spacing w:beforeLines="150" w:before="360" w:afterLines="150" w:after="360"/>
        <w:ind w:left="0" w:firstLine="0"/>
      </w:pPr>
      <w:r>
        <w:t xml:space="preserve">The proposal contemplates two three-storey apartment buildings (Building A and </w:t>
      </w:r>
      <w:r>
        <w:lastRenderedPageBreak/>
        <w:t>Building B, per Exhibit 1, Tab 19). Each of the buildings is roughly in an L</w:t>
      </w:r>
      <w:r w:rsidR="00E0462D">
        <w:t>-</w:t>
      </w:r>
      <w:r>
        <w:t>shape with an interior area to be developed with pavers and soft landscaping. The pavers will allow for permeable storm water management</w:t>
      </w:r>
      <w:r w:rsidR="008D4C9A">
        <w:t>.</w:t>
      </w:r>
      <w:r>
        <w:t xml:space="preserve"> Soft landscaping is also </w:t>
      </w:r>
      <w:r w:rsidR="00EA0F32">
        <w:t>proposed</w:t>
      </w:r>
      <w:r>
        <w:t xml:space="preserve"> </w:t>
      </w:r>
      <w:r w:rsidR="00EA0F32">
        <w:t>around</w:t>
      </w:r>
      <w:r>
        <w:t xml:space="preserve"> the perimeter of the Subject Property. </w:t>
      </w:r>
    </w:p>
    <w:p w14:paraId="6B1FC24A" w14:textId="225CEDB5" w:rsidR="007710D5" w:rsidRDefault="007710D5" w:rsidP="00E0462D">
      <w:pPr>
        <w:pStyle w:val="DecisionBody"/>
        <w:numPr>
          <w:ilvl w:val="0"/>
          <w:numId w:val="32"/>
        </w:numPr>
        <w:spacing w:beforeLines="150" w:before="360" w:afterLines="150" w:after="360"/>
        <w:ind w:left="0" w:firstLine="0"/>
      </w:pPr>
      <w:r>
        <w:t>To the south of the Subject Property is existing low</w:t>
      </w:r>
      <w:r w:rsidR="00EA0F32">
        <w:t>-</w:t>
      </w:r>
      <w:r>
        <w:t xml:space="preserve">rise residential. </w:t>
      </w:r>
      <w:r w:rsidR="00BD0257">
        <w:t>F</w:t>
      </w:r>
      <w:r>
        <w:t xml:space="preserve">uture </w:t>
      </w:r>
      <w:r w:rsidR="005A7E7F">
        <w:t>low-density</w:t>
      </w:r>
      <w:r>
        <w:t xml:space="preserve"> residential development is anticipated to the north</w:t>
      </w:r>
      <w:r w:rsidR="00BD0257">
        <w:t xml:space="preserve">. There is nearby </w:t>
      </w:r>
      <w:r>
        <w:t>existing commercial and industrial land. High</w:t>
      </w:r>
      <w:r w:rsidR="005A7E7F">
        <w:t>-</w:t>
      </w:r>
      <w:r>
        <w:t xml:space="preserve">density development is </w:t>
      </w:r>
      <w:r w:rsidR="00BD0257">
        <w:t>anticipated for</w:t>
      </w:r>
      <w:r>
        <w:t xml:space="preserve"> the southwest corner of </w:t>
      </w:r>
      <w:proofErr w:type="spellStart"/>
      <w:r>
        <w:t>Kalar</w:t>
      </w:r>
      <w:proofErr w:type="spellEnd"/>
      <w:r>
        <w:t xml:space="preserve"> Road and McLeod Road.</w:t>
      </w:r>
    </w:p>
    <w:p w14:paraId="3C6D7AC2" w14:textId="7C59F671" w:rsidR="00CF17AA" w:rsidRDefault="007710D5" w:rsidP="00E0462D">
      <w:pPr>
        <w:pStyle w:val="DecisionBody"/>
        <w:numPr>
          <w:ilvl w:val="0"/>
          <w:numId w:val="32"/>
        </w:numPr>
        <w:spacing w:beforeLines="150" w:before="360" w:afterLines="150" w:after="360"/>
        <w:ind w:left="0" w:firstLine="0"/>
      </w:pPr>
      <w:r>
        <w:t xml:space="preserve">To the west is a storm water management channel and </w:t>
      </w:r>
      <w:r w:rsidR="00EA0F32">
        <w:t xml:space="preserve">additional </w:t>
      </w:r>
      <w:r>
        <w:t>medium density designated lands. Ms. Vida indicated that these</w:t>
      </w:r>
      <w:r w:rsidR="00C22F35">
        <w:t xml:space="preserve"> lands are now</w:t>
      </w:r>
      <w:r>
        <w:t xml:space="preserve"> at the site plan approval stage for a condominium townhouse development.</w:t>
      </w:r>
    </w:p>
    <w:p w14:paraId="4F0B3147" w14:textId="77777777" w:rsidR="00CF17AA" w:rsidRDefault="00CF17AA" w:rsidP="00E0462D">
      <w:pPr>
        <w:pStyle w:val="DecisionBody"/>
        <w:numPr>
          <w:ilvl w:val="0"/>
          <w:numId w:val="32"/>
        </w:numPr>
        <w:spacing w:beforeLines="150" w:before="360" w:afterLines="150" w:after="360"/>
        <w:ind w:left="0" w:firstLine="0"/>
      </w:pPr>
      <w:proofErr w:type="spellStart"/>
      <w:r>
        <w:t>Kalar</w:t>
      </w:r>
      <w:proofErr w:type="spellEnd"/>
      <w:r>
        <w:t xml:space="preserve"> Road has sidewalks on both sides of the road </w:t>
      </w:r>
      <w:r w:rsidR="00C22F35">
        <w:t>at this juncture.</w:t>
      </w:r>
    </w:p>
    <w:p w14:paraId="7B6E5199" w14:textId="77777777" w:rsidR="00CF17AA" w:rsidRDefault="00C22F35" w:rsidP="00E0462D">
      <w:pPr>
        <w:pStyle w:val="DecisionBody"/>
        <w:numPr>
          <w:ilvl w:val="0"/>
          <w:numId w:val="32"/>
        </w:numPr>
        <w:spacing w:beforeLines="150" w:before="360" w:afterLines="150" w:after="360"/>
        <w:ind w:left="0" w:firstLine="0"/>
      </w:pPr>
      <w:r>
        <w:t xml:space="preserve">In sum, </w:t>
      </w:r>
      <w:r w:rsidR="00CF17AA">
        <w:t>Ms. Vida testified the area is now in the process of being developed as a complete community.</w:t>
      </w:r>
    </w:p>
    <w:p w14:paraId="523D4E7F" w14:textId="77777777" w:rsidR="008778F4" w:rsidRDefault="008778F4" w:rsidP="00E0462D">
      <w:pPr>
        <w:pStyle w:val="Heading2"/>
        <w:spacing w:beforeLines="150" w:before="360" w:afterLines="150" w:after="360"/>
      </w:pPr>
      <w:r>
        <w:t>The Variances</w:t>
      </w:r>
    </w:p>
    <w:p w14:paraId="14F937FB" w14:textId="7CAB1D9D" w:rsidR="00E2182C" w:rsidRDefault="00586F97" w:rsidP="00E0462D">
      <w:pPr>
        <w:pStyle w:val="DecisionBody"/>
        <w:numPr>
          <w:ilvl w:val="0"/>
          <w:numId w:val="32"/>
        </w:numPr>
        <w:spacing w:beforeLines="150" w:before="360" w:afterLines="150" w:after="360"/>
        <w:ind w:left="0" w:firstLine="0"/>
      </w:pPr>
      <w:r>
        <w:t xml:space="preserve">The Applicant seeks five variances </w:t>
      </w:r>
      <w:r w:rsidR="00A045D3">
        <w:t xml:space="preserve">from Zoning By-law </w:t>
      </w:r>
      <w:r w:rsidR="00E0462D">
        <w:t xml:space="preserve">No. </w:t>
      </w:r>
      <w:r w:rsidR="00A045D3">
        <w:t xml:space="preserve">79-200, as amended by Zoning By-law </w:t>
      </w:r>
      <w:r w:rsidR="00E0462D">
        <w:t xml:space="preserve">No. </w:t>
      </w:r>
      <w:r w:rsidR="00A045D3">
        <w:t>2012-119 (“ZBL”)</w:t>
      </w:r>
      <w:r w:rsidR="00BD0257">
        <w:t xml:space="preserve"> (Exhibit 1, Tab 11)</w:t>
      </w:r>
      <w:r w:rsidR="000B033A">
        <w:t xml:space="preserve">. Zoning By-law </w:t>
      </w:r>
      <w:r w:rsidR="00E0462D">
        <w:t xml:space="preserve">No. </w:t>
      </w:r>
      <w:r w:rsidR="000B033A">
        <w:t>2012-119 was a zoning by-law amendment (“ZBLA”) which authorized R5C zoning for the Subject Property</w:t>
      </w:r>
      <w:r w:rsidR="00BD0257">
        <w:t>. The Subject Property</w:t>
      </w:r>
      <w:r w:rsidR="00171C2B">
        <w:t xml:space="preserve"> was formerly an industrial site</w:t>
      </w:r>
      <w:r w:rsidR="00BD0257">
        <w:t xml:space="preserve"> and has </w:t>
      </w:r>
      <w:r w:rsidR="006D6E12">
        <w:t>since</w:t>
      </w:r>
      <w:r w:rsidR="00BD0257">
        <w:t xml:space="preserve"> been</w:t>
      </w:r>
      <w:r w:rsidR="006D6E12">
        <w:t xml:space="preserve"> remediated</w:t>
      </w:r>
      <w:r w:rsidR="000B033A">
        <w:t xml:space="preserve">. </w:t>
      </w:r>
    </w:p>
    <w:p w14:paraId="37E5437E" w14:textId="797054B2" w:rsidR="00EC34DB" w:rsidRDefault="000B033A" w:rsidP="00E0462D">
      <w:pPr>
        <w:pStyle w:val="DecisionBody"/>
        <w:numPr>
          <w:ilvl w:val="0"/>
          <w:numId w:val="32"/>
        </w:numPr>
        <w:spacing w:beforeLines="150" w:before="360" w:afterLines="150" w:after="360"/>
        <w:ind w:left="0" w:firstLine="0"/>
      </w:pPr>
      <w:r>
        <w:t>Th</w:t>
      </w:r>
      <w:r w:rsidR="00171C2B">
        <w:t>e</w:t>
      </w:r>
      <w:r>
        <w:t xml:space="preserve"> ZBL</w:t>
      </w:r>
      <w:r w:rsidR="00EA0F32">
        <w:t>A</w:t>
      </w:r>
      <w:r>
        <w:t xml:space="preserve"> </w:t>
      </w:r>
      <w:r w:rsidR="00EA0F32">
        <w:t xml:space="preserve">permitted </w:t>
      </w:r>
      <w:r>
        <w:t>apartment dwellings</w:t>
      </w:r>
      <w:r w:rsidR="005B7EEA">
        <w:t xml:space="preserve"> (medium density residential)</w:t>
      </w:r>
      <w:r>
        <w:t xml:space="preserve"> with site specific zoning standards. Variances </w:t>
      </w:r>
      <w:r w:rsidR="00D5774A">
        <w:t>are now</w:t>
      </w:r>
      <w:r>
        <w:t xml:space="preserve"> sought following the submission of revised development plans. The Committee</w:t>
      </w:r>
      <w:r w:rsidR="00586F97">
        <w:t xml:space="preserve"> authorized </w:t>
      </w:r>
      <w:r>
        <w:t xml:space="preserve">these on the strength of a </w:t>
      </w:r>
      <w:r w:rsidR="00D5774A">
        <w:t>positive</w:t>
      </w:r>
      <w:r>
        <w:t xml:space="preserve"> staff report</w:t>
      </w:r>
      <w:r w:rsidR="00586F97">
        <w:t xml:space="preserve">. </w:t>
      </w:r>
    </w:p>
    <w:p w14:paraId="715B1229" w14:textId="77777777" w:rsidR="00EB372E" w:rsidRDefault="00586F97" w:rsidP="00E0462D">
      <w:pPr>
        <w:pStyle w:val="DecisionBody"/>
        <w:numPr>
          <w:ilvl w:val="0"/>
          <w:numId w:val="32"/>
        </w:numPr>
        <w:spacing w:beforeLines="150" w:before="360" w:afterLines="150" w:after="360"/>
        <w:ind w:left="0" w:firstLine="0"/>
      </w:pPr>
      <w:r>
        <w:lastRenderedPageBreak/>
        <w:t xml:space="preserve">The </w:t>
      </w:r>
      <w:r w:rsidR="000B033A">
        <w:t xml:space="preserve">variances </w:t>
      </w:r>
      <w:r w:rsidR="006D6E12">
        <w:t xml:space="preserve">sought </w:t>
      </w:r>
      <w:r w:rsidR="00D5774A">
        <w:t>are</w:t>
      </w:r>
      <w:r>
        <w:t xml:space="preserve"> the following:</w:t>
      </w:r>
    </w:p>
    <w:p w14:paraId="4DD4A37C" w14:textId="77777777" w:rsidR="00586F97" w:rsidRDefault="00C47214" w:rsidP="00EC34DB">
      <w:pPr>
        <w:pStyle w:val="DecisionBody"/>
        <w:numPr>
          <w:ilvl w:val="1"/>
          <w:numId w:val="31"/>
        </w:numPr>
        <w:spacing w:beforeLines="150" w:before="360" w:afterLines="150" w:after="360"/>
        <w:ind w:hanging="731"/>
      </w:pPr>
      <w:r>
        <w:t xml:space="preserve">Lot coverage of 40%, whereas </w:t>
      </w:r>
      <w:r w:rsidR="000D0F5D">
        <w:t xml:space="preserve">the </w:t>
      </w:r>
      <w:r>
        <w:t xml:space="preserve">ZBL </w:t>
      </w:r>
      <w:r w:rsidR="000D0F5D">
        <w:t>permits a</w:t>
      </w:r>
      <w:r>
        <w:t xml:space="preserve"> </w:t>
      </w:r>
      <w:r w:rsidR="000D0F5D">
        <w:t>maximum</w:t>
      </w:r>
      <w:r w:rsidR="00A045D3">
        <w:t xml:space="preserve"> lot coverage </w:t>
      </w:r>
      <w:r w:rsidR="000D0F5D">
        <w:t>of</w:t>
      </w:r>
      <w:r w:rsidR="00A045D3">
        <w:t xml:space="preserve"> </w:t>
      </w:r>
      <w:r>
        <w:t>36</w:t>
      </w:r>
      <w:r w:rsidR="00A045D3">
        <w:t>%.</w:t>
      </w:r>
    </w:p>
    <w:p w14:paraId="719097CC" w14:textId="77777777" w:rsidR="00C47214" w:rsidRDefault="00C47214" w:rsidP="00EC34DB">
      <w:pPr>
        <w:pStyle w:val="DecisionBody"/>
        <w:numPr>
          <w:ilvl w:val="1"/>
          <w:numId w:val="31"/>
        </w:numPr>
        <w:spacing w:beforeLines="150" w:before="360" w:afterLines="150" w:after="360"/>
        <w:ind w:hanging="731"/>
      </w:pPr>
      <w:r>
        <w:t>A front yard depth of 18.3 metres (“m”) to the building front and 16.5 m from the road centreline to enclosed mechanical closets on the open balconies of Building A, whereas</w:t>
      </w:r>
      <w:r w:rsidR="000D0F5D">
        <w:t xml:space="preserve"> the ZBL requires a</w:t>
      </w:r>
      <w:r>
        <w:t xml:space="preserve"> minimum front yard depth </w:t>
      </w:r>
      <w:r w:rsidR="000D0F5D">
        <w:t>of</w:t>
      </w:r>
      <w:r>
        <w:t xml:space="preserve"> 20.5 m.</w:t>
      </w:r>
    </w:p>
    <w:p w14:paraId="531C5F73" w14:textId="77777777" w:rsidR="00A045D3" w:rsidRDefault="00C47214" w:rsidP="00EC34DB">
      <w:pPr>
        <w:pStyle w:val="DecisionBody"/>
        <w:numPr>
          <w:ilvl w:val="1"/>
          <w:numId w:val="31"/>
        </w:numPr>
        <w:spacing w:beforeLines="150" w:before="360" w:afterLines="150" w:after="360"/>
        <w:ind w:hanging="731"/>
      </w:pPr>
      <w:r>
        <w:t>A 1.8 m projection of balconies into the northerly side yard, whereas the ZBL permits 0.45 m into any side yard.</w:t>
      </w:r>
    </w:p>
    <w:p w14:paraId="02869FD0" w14:textId="77777777" w:rsidR="00C47214" w:rsidRDefault="00C47214" w:rsidP="00EC34DB">
      <w:pPr>
        <w:pStyle w:val="DecisionBody"/>
        <w:numPr>
          <w:ilvl w:val="1"/>
          <w:numId w:val="31"/>
        </w:numPr>
        <w:spacing w:beforeLines="150" w:before="360" w:afterLines="150" w:after="360"/>
        <w:ind w:hanging="731"/>
      </w:pPr>
      <w:r>
        <w:t>40% of the lot area for the minimum landscaped open space, whereas the ZBL requires a minimum landscaped open space of 43% of the lot area.</w:t>
      </w:r>
    </w:p>
    <w:p w14:paraId="01ADAAA9" w14:textId="77777777" w:rsidR="00C47214" w:rsidRDefault="00B830F6" w:rsidP="00EC34DB">
      <w:pPr>
        <w:pStyle w:val="DecisionBody"/>
        <w:numPr>
          <w:ilvl w:val="1"/>
          <w:numId w:val="31"/>
        </w:numPr>
        <w:spacing w:beforeLines="150" w:before="360" w:afterLines="150" w:after="360"/>
        <w:ind w:hanging="731"/>
      </w:pPr>
      <w:r>
        <w:t xml:space="preserve">A </w:t>
      </w:r>
      <w:r w:rsidR="00C47214">
        <w:t xml:space="preserve">3.7 m </w:t>
      </w:r>
      <w:r>
        <w:t xml:space="preserve">interior side yard width </w:t>
      </w:r>
      <w:r w:rsidR="00C47214">
        <w:t>to the northerly interior side yard enclosed mechanical closets of Building A</w:t>
      </w:r>
      <w:r w:rsidR="000D0F5D">
        <w:t>, whereas the ZBL requires a minimum interior side yard width of 5.3 m.</w:t>
      </w:r>
    </w:p>
    <w:p w14:paraId="7E78BC6E" w14:textId="49CB8C27" w:rsidR="006D6E12" w:rsidRDefault="00FA5140" w:rsidP="00E0462D">
      <w:pPr>
        <w:pStyle w:val="DecisionBody"/>
        <w:numPr>
          <w:ilvl w:val="0"/>
          <w:numId w:val="32"/>
        </w:numPr>
        <w:spacing w:beforeLines="150" w:before="360" w:afterLines="150" w:after="360"/>
        <w:ind w:left="0" w:firstLine="0"/>
      </w:pPr>
      <w:r>
        <w:t>References</w:t>
      </w:r>
      <w:r w:rsidR="00ED43EB">
        <w:t xml:space="preserve"> in the above description</w:t>
      </w:r>
      <w:r>
        <w:t xml:space="preserve"> to</w:t>
      </w:r>
      <w:r w:rsidR="008D4C9A">
        <w:t xml:space="preserve"> design features such as balconies</w:t>
      </w:r>
      <w:r w:rsidR="00EA0F32">
        <w:t xml:space="preserve"> and </w:t>
      </w:r>
      <w:r>
        <w:t>mechanical closets</w:t>
      </w:r>
      <w:r w:rsidR="008D4C9A">
        <w:t xml:space="preserve"> and to</w:t>
      </w:r>
      <w:r>
        <w:t xml:space="preserve"> Building A reflect</w:t>
      </w:r>
      <w:r w:rsidR="00984E33">
        <w:t xml:space="preserve"> the revised</w:t>
      </w:r>
      <w:r>
        <w:t xml:space="preserve"> drawings submitted in evidence (Exhibit 1, Tab 19).</w:t>
      </w:r>
      <w:r w:rsidR="000B033A">
        <w:t xml:space="preserve"> The development </w:t>
      </w:r>
      <w:r w:rsidR="00A50889">
        <w:t>is</w:t>
      </w:r>
      <w:r w:rsidR="000B033A">
        <w:t xml:space="preserve"> also </w:t>
      </w:r>
      <w:r w:rsidR="00ED43EB">
        <w:t>to</w:t>
      </w:r>
      <w:r w:rsidR="000B033A">
        <w:t xml:space="preserve"> subject site plan approval.</w:t>
      </w:r>
    </w:p>
    <w:p w14:paraId="78E1D126" w14:textId="77777777" w:rsidR="004D0477" w:rsidRDefault="004D0477" w:rsidP="00E0462D">
      <w:pPr>
        <w:pStyle w:val="DecisionBody"/>
        <w:numPr>
          <w:ilvl w:val="0"/>
          <w:numId w:val="32"/>
        </w:numPr>
        <w:spacing w:beforeLines="150" w:before="360" w:afterLines="150" w:after="360"/>
        <w:ind w:left="0" w:firstLine="0"/>
      </w:pPr>
      <w:r>
        <w:t>Regarding the variances, Ms. Vida testified the following:</w:t>
      </w:r>
    </w:p>
    <w:p w14:paraId="43574A15" w14:textId="2925D313" w:rsidR="004D0477" w:rsidRDefault="004D0477" w:rsidP="00EC34DB">
      <w:pPr>
        <w:pStyle w:val="DecisionBody"/>
        <w:numPr>
          <w:ilvl w:val="1"/>
          <w:numId w:val="32"/>
        </w:numPr>
        <w:spacing w:beforeLines="150" w:before="360" w:afterLines="150" w:after="360"/>
        <w:ind w:hanging="731"/>
      </w:pPr>
      <w:r>
        <w:t xml:space="preserve">The </w:t>
      </w:r>
      <w:r w:rsidR="00ED43EB">
        <w:t xml:space="preserve">requested </w:t>
      </w:r>
      <w:r>
        <w:t>increase in lot coverage result</w:t>
      </w:r>
      <w:r w:rsidR="00ED43EB">
        <w:t>s</w:t>
      </w:r>
      <w:r>
        <w:t xml:space="preserve"> from a design change. </w:t>
      </w:r>
      <w:r w:rsidR="00EA0F32">
        <w:t>Ms. Vida noted that p</w:t>
      </w:r>
      <w:r>
        <w:t xml:space="preserve">avers are included in lot coverage. She </w:t>
      </w:r>
      <w:r w:rsidR="00EA0F32">
        <w:t xml:space="preserve">advised </w:t>
      </w:r>
      <w:r>
        <w:t xml:space="preserve">that if the pavers were pavement, they would not be included in lot coverage. </w:t>
      </w:r>
    </w:p>
    <w:p w14:paraId="06C1DDA7" w14:textId="77777777" w:rsidR="004D0477" w:rsidRDefault="004D0477" w:rsidP="00EC34DB">
      <w:pPr>
        <w:pStyle w:val="DecisionBody"/>
        <w:numPr>
          <w:ilvl w:val="1"/>
          <w:numId w:val="32"/>
        </w:numPr>
        <w:spacing w:beforeLines="150" w:before="360" w:afterLines="150" w:after="360"/>
        <w:ind w:hanging="731"/>
      </w:pPr>
      <w:r>
        <w:t>The increased lot coverage also impacts the minimum landscaped area requiring a reduction in minimum landscaped area from 43% to 40%.</w:t>
      </w:r>
    </w:p>
    <w:p w14:paraId="5660F0DC" w14:textId="77777777" w:rsidR="004D0477" w:rsidRDefault="004D0477" w:rsidP="00EC34DB">
      <w:pPr>
        <w:pStyle w:val="DecisionBody"/>
        <w:numPr>
          <w:ilvl w:val="1"/>
          <w:numId w:val="32"/>
        </w:numPr>
        <w:spacing w:beforeLines="150" w:before="360" w:afterLines="150" w:after="360"/>
        <w:ind w:hanging="731"/>
      </w:pPr>
      <w:r>
        <w:lastRenderedPageBreak/>
        <w:t>Regarding the minimum front yard, Ms. Vida indicated the City defines their front yard set</w:t>
      </w:r>
      <w:r w:rsidR="00EC34DB">
        <w:t xml:space="preserve"> </w:t>
      </w:r>
      <w:r>
        <w:t>back to the centre line of the road. A road widening requires dedication of lands to the City to allow for the sidewalk. This resul</w:t>
      </w:r>
      <w:r w:rsidR="00EC34DB">
        <w:t xml:space="preserve">ted in a reduced front yard set </w:t>
      </w:r>
      <w:r>
        <w:t xml:space="preserve">back. She indicated this </w:t>
      </w:r>
      <w:r w:rsidR="00DB0790">
        <w:t xml:space="preserve">reduction will be </w:t>
      </w:r>
      <w:r>
        <w:t xml:space="preserve">consistent with existing buildings along </w:t>
      </w:r>
      <w:proofErr w:type="spellStart"/>
      <w:r>
        <w:t>Kalar</w:t>
      </w:r>
      <w:proofErr w:type="spellEnd"/>
      <w:r>
        <w:t xml:space="preserve"> Road, creating a consistent street wall.</w:t>
      </w:r>
    </w:p>
    <w:p w14:paraId="600513AB" w14:textId="44CABE39" w:rsidR="00584DF5" w:rsidRDefault="004D0477" w:rsidP="00EC34DB">
      <w:pPr>
        <w:pStyle w:val="DecisionBody"/>
        <w:numPr>
          <w:ilvl w:val="1"/>
          <w:numId w:val="32"/>
        </w:numPr>
        <w:spacing w:beforeLines="150" w:before="360" w:afterLines="150" w:after="360"/>
        <w:ind w:hanging="731"/>
      </w:pPr>
      <w:r>
        <w:t xml:space="preserve">Ms. Vida indicated that there are balconies on the north side but no balcony projections on the south façade, where the Appellant’s property is located at 8305 Elderberry Drive. Similarly, the minimum side yard interior variance is also for the north property </w:t>
      </w:r>
      <w:r w:rsidR="006218C6">
        <w:t xml:space="preserve">line </w:t>
      </w:r>
      <w:r>
        <w:t>to allow for enclosed mechanical units</w:t>
      </w:r>
      <w:r w:rsidR="00ED43EB">
        <w:t xml:space="preserve"> and similarly does not affect the Appellant’s property</w:t>
      </w:r>
      <w:r>
        <w:t>.</w:t>
      </w:r>
      <w:r w:rsidR="006218C6">
        <w:t xml:space="preserve"> This</w:t>
      </w:r>
      <w:r w:rsidR="00ED43EB">
        <w:t xml:space="preserve"> variance</w:t>
      </w:r>
      <w:r w:rsidR="006218C6">
        <w:t xml:space="preserve"> allows for more useable space inside the unit.</w:t>
      </w:r>
    </w:p>
    <w:p w14:paraId="3DD0689A" w14:textId="77777777" w:rsidR="008778F4" w:rsidRPr="008778F4" w:rsidRDefault="008778F4" w:rsidP="00EC34DB">
      <w:pPr>
        <w:pStyle w:val="Heading2"/>
        <w:spacing w:beforeLines="150" w:before="360" w:afterLines="150" w:after="360"/>
      </w:pPr>
      <w:r w:rsidRPr="00F718B8">
        <w:rPr>
          <w:i/>
        </w:rPr>
        <w:t>Planning Act</w:t>
      </w:r>
      <w:r>
        <w:t xml:space="preserve"> Obligations</w:t>
      </w:r>
    </w:p>
    <w:p w14:paraId="7F49C1D8" w14:textId="77777777" w:rsidR="00EC34DB" w:rsidRDefault="008778F4" w:rsidP="00E0462D">
      <w:pPr>
        <w:pStyle w:val="DecisionBody"/>
        <w:numPr>
          <w:ilvl w:val="0"/>
          <w:numId w:val="32"/>
        </w:numPr>
        <w:spacing w:beforeLines="150" w:before="360" w:afterLines="150" w:after="360"/>
        <w:ind w:left="0" w:firstLine="0"/>
      </w:pPr>
      <w:r>
        <w:t xml:space="preserve">The </w:t>
      </w:r>
      <w:r w:rsidR="00D5774A" w:rsidRPr="00EC34DB">
        <w:rPr>
          <w:i/>
        </w:rPr>
        <w:t xml:space="preserve">Planning </w:t>
      </w:r>
      <w:r w:rsidRPr="00EC34DB">
        <w:rPr>
          <w:i/>
        </w:rPr>
        <w:t>Act</w:t>
      </w:r>
      <w:r w:rsidR="00D5774A">
        <w:t xml:space="preserve"> (“Act”)</w:t>
      </w:r>
      <w:r>
        <w:t xml:space="preserve"> places several obligations on the Trib</w:t>
      </w:r>
      <w:r w:rsidR="00EC34DB">
        <w:t xml:space="preserve">unal when it makes a decision. </w:t>
      </w:r>
    </w:p>
    <w:p w14:paraId="4B9E7CDF" w14:textId="77777777" w:rsidR="008778F4" w:rsidRDefault="008778F4" w:rsidP="00E0462D">
      <w:pPr>
        <w:pStyle w:val="DecisionBody"/>
        <w:numPr>
          <w:ilvl w:val="0"/>
          <w:numId w:val="32"/>
        </w:numPr>
        <w:spacing w:beforeLines="150" w:before="360" w:afterLines="150" w:after="360"/>
        <w:ind w:left="0" w:firstLine="0"/>
      </w:pPr>
      <w:r>
        <w:t>The Act requires that every decision of the Tribunal be consistent with the Provincial Policy Statement, 2014 (“PPS”) and</w:t>
      </w:r>
      <w:r w:rsidR="005B7EEA">
        <w:t>, in this instance, that it also</w:t>
      </w:r>
      <w:r>
        <w:t xml:space="preserve"> conform to the Growth Plan for the Greater Golden Horsesh</w:t>
      </w:r>
      <w:r w:rsidR="00EC34DB">
        <w:t xml:space="preserve">oe, 2017 (“2017 Growth Plan”). </w:t>
      </w:r>
    </w:p>
    <w:p w14:paraId="1A29452A" w14:textId="0DBCA546" w:rsidR="008778F4" w:rsidRDefault="008778F4" w:rsidP="00E0462D">
      <w:pPr>
        <w:pStyle w:val="DecisionBody"/>
        <w:numPr>
          <w:ilvl w:val="0"/>
          <w:numId w:val="32"/>
        </w:numPr>
        <w:spacing w:beforeLines="150" w:before="360" w:afterLines="150" w:after="360"/>
        <w:ind w:left="0" w:firstLine="0"/>
      </w:pPr>
      <w:r>
        <w:t xml:space="preserve">Under s. 2, the Tribunal must have regard to matters of provincial interest, including the appropriate location of growth and development. </w:t>
      </w:r>
    </w:p>
    <w:p w14:paraId="3C4F210B" w14:textId="77777777" w:rsidR="008778F4" w:rsidRDefault="008778F4" w:rsidP="00E0462D">
      <w:pPr>
        <w:pStyle w:val="DecisionBody"/>
        <w:numPr>
          <w:ilvl w:val="0"/>
          <w:numId w:val="32"/>
        </w:numPr>
        <w:spacing w:beforeLines="150" w:before="360" w:afterLines="150" w:after="360"/>
        <w:ind w:left="0" w:firstLine="0"/>
      </w:pPr>
      <w:r>
        <w:t>Finally, the four-part test for minor variances under the Act is the following. The</w:t>
      </w:r>
      <w:r w:rsidR="004F56F7">
        <w:t xml:space="preserve"> proposed minor variances must:</w:t>
      </w:r>
    </w:p>
    <w:p w14:paraId="42B37318" w14:textId="77777777" w:rsidR="008778F4" w:rsidRDefault="008778F4" w:rsidP="00E0462D">
      <w:pPr>
        <w:pStyle w:val="DecisionBody"/>
        <w:numPr>
          <w:ilvl w:val="0"/>
          <w:numId w:val="33"/>
        </w:numPr>
        <w:spacing w:beforeLines="150" w:before="360" w:afterLines="150" w:after="360"/>
        <w:ind w:left="851" w:hanging="142"/>
      </w:pPr>
      <w:r>
        <w:t>maintain the general intent and</w:t>
      </w:r>
      <w:r w:rsidR="00EC34DB">
        <w:t xml:space="preserve"> purpose of the Official Plan; </w:t>
      </w:r>
    </w:p>
    <w:p w14:paraId="79534039" w14:textId="77777777" w:rsidR="008778F4" w:rsidRDefault="008778F4" w:rsidP="00E0462D">
      <w:pPr>
        <w:pStyle w:val="DecisionBody"/>
        <w:numPr>
          <w:ilvl w:val="0"/>
          <w:numId w:val="33"/>
        </w:numPr>
        <w:spacing w:beforeLines="150" w:before="360" w:afterLines="150" w:after="360"/>
        <w:ind w:left="851" w:hanging="142"/>
      </w:pPr>
      <w:r>
        <w:t>maintain the general intent and purpose of the Zoning By-law;</w:t>
      </w:r>
      <w:r w:rsidR="00EC34DB">
        <w:t xml:space="preserve">  </w:t>
      </w:r>
    </w:p>
    <w:p w14:paraId="09D3C91D" w14:textId="77777777" w:rsidR="008778F4" w:rsidRDefault="008778F4" w:rsidP="00E0462D">
      <w:pPr>
        <w:pStyle w:val="DecisionBody"/>
        <w:numPr>
          <w:ilvl w:val="0"/>
          <w:numId w:val="33"/>
        </w:numPr>
        <w:spacing w:beforeLines="150" w:before="360" w:afterLines="150" w:after="360"/>
        <w:ind w:left="851" w:hanging="142"/>
      </w:pPr>
      <w:r>
        <w:lastRenderedPageBreak/>
        <w:t>be desirable for the appropriate deve</w:t>
      </w:r>
      <w:r w:rsidR="00EC34DB">
        <w:t>lopment or use of the land; and</w:t>
      </w:r>
    </w:p>
    <w:p w14:paraId="1CD7217F" w14:textId="77777777" w:rsidR="008778F4" w:rsidRDefault="00EC34DB" w:rsidP="00E0462D">
      <w:pPr>
        <w:pStyle w:val="DecisionBody"/>
        <w:numPr>
          <w:ilvl w:val="0"/>
          <w:numId w:val="33"/>
        </w:numPr>
        <w:spacing w:beforeLines="150" w:before="360" w:afterLines="150" w:after="360"/>
        <w:ind w:left="851" w:hanging="142"/>
      </w:pPr>
      <w:r>
        <w:t>be minor.</w:t>
      </w:r>
    </w:p>
    <w:p w14:paraId="042CD550" w14:textId="77777777" w:rsidR="00CB2B73" w:rsidRDefault="008778F4" w:rsidP="00E0462D">
      <w:pPr>
        <w:pStyle w:val="DecisionBody"/>
        <w:numPr>
          <w:ilvl w:val="0"/>
          <w:numId w:val="32"/>
        </w:numPr>
        <w:spacing w:beforeLines="150" w:before="360" w:afterLines="150" w:after="360"/>
        <w:ind w:left="0" w:firstLine="0"/>
      </w:pPr>
      <w:r>
        <w:t xml:space="preserve">Regarding the minor variance test, item </w:t>
      </w:r>
      <w:r w:rsidR="005B7EEA">
        <w:t>3</w:t>
      </w:r>
      <w:r>
        <w:t xml:space="preserve">) relates to desirability in the public interest, not that of an applicant. Regarding item </w:t>
      </w:r>
      <w:r w:rsidR="005B7EEA">
        <w:t>4</w:t>
      </w:r>
      <w:r>
        <w:t>), the main concern is unacceptable impacts.</w:t>
      </w:r>
      <w:r w:rsidR="00115BFF">
        <w:t xml:space="preserve"> </w:t>
      </w:r>
    </w:p>
    <w:p w14:paraId="47001F2D" w14:textId="77777777" w:rsidR="00B81431" w:rsidRDefault="00B81431" w:rsidP="00E0462D">
      <w:pPr>
        <w:pStyle w:val="Heading2"/>
        <w:spacing w:beforeLines="150" w:before="360" w:afterLines="150" w:after="360"/>
      </w:pPr>
      <w:r>
        <w:t xml:space="preserve">Opinion Evidence </w:t>
      </w:r>
    </w:p>
    <w:p w14:paraId="6AB8D544" w14:textId="18D53D1A" w:rsidR="00FB6021" w:rsidRDefault="00FB6021" w:rsidP="00E0462D">
      <w:pPr>
        <w:pStyle w:val="DecisionBody"/>
        <w:numPr>
          <w:ilvl w:val="0"/>
          <w:numId w:val="32"/>
        </w:numPr>
        <w:spacing w:beforeLines="150" w:before="360" w:afterLines="150" w:after="360"/>
        <w:ind w:left="0" w:firstLine="0"/>
      </w:pPr>
      <w:r>
        <w:t xml:space="preserve">Ms. Vida </w:t>
      </w:r>
      <w:r w:rsidR="00A50889">
        <w:t>opined on the consistency with the PPS, conformity with the 201</w:t>
      </w:r>
      <w:r w:rsidR="00ED43EB">
        <w:t>7</w:t>
      </w:r>
      <w:r w:rsidR="00A50889">
        <w:t xml:space="preserve"> Growth Plan, and the four-part test for minor variances, with reference to the applicable official plan policies and </w:t>
      </w:r>
      <w:r w:rsidR="00FF0438">
        <w:t>the ZBL</w:t>
      </w:r>
      <w:r w:rsidR="00A50889">
        <w:t>.</w:t>
      </w:r>
      <w:r>
        <w:t xml:space="preserve"> In this case, the Tribunal must have reference to the Niagara Region Official Plan (“NROP”), the City’s Official Plan (“OP”) and the</w:t>
      </w:r>
      <w:r w:rsidR="00ED43EB">
        <w:t xml:space="preserve"> Garner South Secondary Plan</w:t>
      </w:r>
      <w:r>
        <w:t xml:space="preserve"> </w:t>
      </w:r>
      <w:r w:rsidR="00ED43EB">
        <w:t>(“</w:t>
      </w:r>
      <w:r>
        <w:t>GSSP</w:t>
      </w:r>
      <w:r w:rsidR="00ED43EB">
        <w:t>”)</w:t>
      </w:r>
      <w:r>
        <w:t xml:space="preserve">. </w:t>
      </w:r>
    </w:p>
    <w:p w14:paraId="4FDA7C53" w14:textId="4795C895" w:rsidR="00A50889" w:rsidRDefault="008F1CAC" w:rsidP="00E0462D">
      <w:pPr>
        <w:pStyle w:val="DecisionBody"/>
        <w:numPr>
          <w:ilvl w:val="0"/>
          <w:numId w:val="32"/>
        </w:numPr>
        <w:spacing w:beforeLines="150" w:before="360" w:afterLines="150" w:after="360"/>
        <w:ind w:left="0" w:firstLine="0"/>
      </w:pPr>
      <w:r>
        <w:t xml:space="preserve">Ms. Vida indicated the proposal is consistent with the PPS and </w:t>
      </w:r>
      <w:r w:rsidR="00B41CC6">
        <w:t xml:space="preserve">conforms to </w:t>
      </w:r>
      <w:r>
        <w:t>the 201</w:t>
      </w:r>
      <w:r w:rsidR="00ED43EB">
        <w:t>7</w:t>
      </w:r>
      <w:r>
        <w:t xml:space="preserve"> Growth Plan’s targets and goals for intensification in appropriately located areas. Additional density is intended under the GSSP</w:t>
      </w:r>
      <w:r w:rsidR="00DB0790">
        <w:t xml:space="preserve"> for this location given its former status as a brownfield site</w:t>
      </w:r>
      <w:r>
        <w:t xml:space="preserve">. She indicated that it </w:t>
      </w:r>
      <w:r w:rsidR="00DB0790">
        <w:t>also</w:t>
      </w:r>
      <w:r>
        <w:t xml:space="preserve"> improves the range of housing choices and reflects a sustainable use of municipal infrastructure. </w:t>
      </w:r>
    </w:p>
    <w:p w14:paraId="0BE06834" w14:textId="77777777" w:rsidR="00B41CC6" w:rsidRDefault="00B41CC6" w:rsidP="00E0462D">
      <w:pPr>
        <w:pStyle w:val="DecisionBody"/>
        <w:numPr>
          <w:ilvl w:val="0"/>
          <w:numId w:val="32"/>
        </w:numPr>
        <w:spacing w:beforeLines="150" w:before="360" w:afterLines="150" w:after="360"/>
        <w:ind w:left="0" w:firstLine="0"/>
      </w:pPr>
      <w:r>
        <w:t>Ms. Vida noted that under the parent zoning by-law, a maximum height of 19 m is permitted. However, the proposal, originally designed for 15</w:t>
      </w:r>
      <w:r w:rsidR="00DB0790">
        <w:t xml:space="preserve"> m</w:t>
      </w:r>
      <w:r>
        <w:t xml:space="preserve"> to address compatibility and transition, is now intended to proceed at 10 m in height. Roof top amenity space has been removed. In her opinion it is therefore more compatible with surrounding development than what was originally contemplated in 2012.</w:t>
      </w:r>
    </w:p>
    <w:p w14:paraId="3B0A4385" w14:textId="77777777" w:rsidR="004850D9" w:rsidRDefault="00B41CC6" w:rsidP="00E0462D">
      <w:pPr>
        <w:pStyle w:val="DecisionBody"/>
        <w:numPr>
          <w:ilvl w:val="0"/>
          <w:numId w:val="32"/>
        </w:numPr>
        <w:spacing w:beforeLines="150" w:before="360" w:afterLines="150" w:after="360"/>
        <w:ind w:left="0" w:firstLine="0"/>
      </w:pPr>
      <w:r>
        <w:t xml:space="preserve">Ms. Vida opined that the variances are minor with no impact anticipated. The increase in lot coverage is not noticeable and addresses the technical matter of pavers and all of it is internal to the site. The minimum front yard reduction is a reflection of the road widening and will result in a consistent streetscape. The balcony projection </w:t>
      </w:r>
      <w:r>
        <w:lastRenderedPageBreak/>
        <w:t>variances</w:t>
      </w:r>
      <w:r w:rsidR="004850D9">
        <w:t xml:space="preserve"> and reduced side yard</w:t>
      </w:r>
      <w:r>
        <w:t xml:space="preserve"> are all along the north side with the entire development being pushed to the north to avoid any variances along the south property line where there is existing residential development.</w:t>
      </w:r>
      <w:r w:rsidR="004850D9">
        <w:t xml:space="preserve"> </w:t>
      </w:r>
    </w:p>
    <w:p w14:paraId="7D0F94C3" w14:textId="77777777" w:rsidR="00F718B8" w:rsidRDefault="004850D9" w:rsidP="00366030">
      <w:pPr>
        <w:pStyle w:val="DecisionBody"/>
        <w:numPr>
          <w:ilvl w:val="0"/>
          <w:numId w:val="32"/>
        </w:numPr>
        <w:spacing w:beforeLines="150" w:before="360" w:afterLines="150" w:after="360"/>
        <w:ind w:left="0" w:firstLine="0"/>
      </w:pPr>
      <w:r>
        <w:t xml:space="preserve">Ms. Vida indicated the proposal is desirable </w:t>
      </w:r>
      <w:r w:rsidR="00121282">
        <w:t>for the appropriate development of the land. It</w:t>
      </w:r>
      <w:r>
        <w:t xml:space="preserve"> is for two apartment buildings that the GSSP contemplates </w:t>
      </w:r>
      <w:r w:rsidR="00DB0790">
        <w:t xml:space="preserve">and which is supported with a </w:t>
      </w:r>
      <w:r>
        <w:t>site-specific zoning by-law. The variances respond to design and architectural details and ensure no adverse impacts on existing properties.</w:t>
      </w:r>
      <w:r w:rsidR="00121282">
        <w:t xml:space="preserve"> They will facilitate the development of the land for its intended use.</w:t>
      </w:r>
      <w:r w:rsidR="00F718B8">
        <w:t xml:space="preserve"> </w:t>
      </w:r>
    </w:p>
    <w:p w14:paraId="3E877AD5" w14:textId="7C0B7E38" w:rsidR="004850D9" w:rsidRDefault="00121282" w:rsidP="00366030">
      <w:pPr>
        <w:pStyle w:val="DecisionBody"/>
        <w:numPr>
          <w:ilvl w:val="0"/>
          <w:numId w:val="32"/>
        </w:numPr>
        <w:spacing w:beforeLines="150" w:before="360" w:afterLines="150" w:after="360"/>
        <w:ind w:left="0" w:firstLine="0"/>
      </w:pPr>
      <w:r>
        <w:t>Ms. Vida testified that the proposal maintains the general intent and purpose of both the ZBL and the applicable official plans</w:t>
      </w:r>
      <w:r w:rsidR="00DB0790">
        <w:t xml:space="preserve">, </w:t>
      </w:r>
      <w:r w:rsidR="00F718B8">
        <w:t xml:space="preserve">for the reasons </w:t>
      </w:r>
      <w:r w:rsidR="00DB0790">
        <w:t>described</w:t>
      </w:r>
      <w:r>
        <w:t xml:space="preserve">. </w:t>
      </w:r>
    </w:p>
    <w:p w14:paraId="6E8023BA" w14:textId="77777777" w:rsidR="00121282" w:rsidRDefault="00121282" w:rsidP="00E0462D">
      <w:pPr>
        <w:pStyle w:val="DecisionBody"/>
        <w:numPr>
          <w:ilvl w:val="0"/>
          <w:numId w:val="32"/>
        </w:numPr>
        <w:spacing w:beforeLines="150" w:before="360" w:afterLines="150" w:after="360"/>
        <w:ind w:left="0" w:firstLine="0"/>
      </w:pPr>
      <w:r>
        <w:t xml:space="preserve">In sum, Ms. Vida was of the view that the proposed development represented good planning. </w:t>
      </w:r>
    </w:p>
    <w:p w14:paraId="44E79B6B" w14:textId="0F52B35E" w:rsidR="00121282" w:rsidRDefault="00121282" w:rsidP="00E0462D">
      <w:pPr>
        <w:pStyle w:val="DecisionBody"/>
        <w:numPr>
          <w:ilvl w:val="0"/>
          <w:numId w:val="32"/>
        </w:numPr>
        <w:spacing w:beforeLines="150" w:before="360" w:afterLines="150" w:after="360"/>
        <w:ind w:left="0" w:firstLine="0"/>
      </w:pPr>
      <w:r>
        <w:t xml:space="preserve">The Tribunal adopts the uncontested evidence of Ms. Vida and </w:t>
      </w:r>
      <w:r w:rsidR="00D55FA1">
        <w:t>finds</w:t>
      </w:r>
      <w:r>
        <w:t xml:space="preserve"> the proposal is consistent with the PPS, conforms to the 201</w:t>
      </w:r>
      <w:r w:rsidR="00855DF0">
        <w:t>9</w:t>
      </w:r>
      <w:r>
        <w:t xml:space="preserve"> Growth Plan, has regard </w:t>
      </w:r>
      <w:proofErr w:type="gramStart"/>
      <w:r>
        <w:t>to</w:t>
      </w:r>
      <w:r w:rsidR="00194A84">
        <w:t xml:space="preserve"> </w:t>
      </w:r>
      <w:r>
        <w:t xml:space="preserve"> s</w:t>
      </w:r>
      <w:proofErr w:type="gramEnd"/>
      <w:r>
        <w:t>. 2 matters of provincial interest, and meets the test for minor variances under the Act.</w:t>
      </w:r>
    </w:p>
    <w:p w14:paraId="044233AA" w14:textId="77777777" w:rsidR="00121282" w:rsidRDefault="00121282" w:rsidP="00E0462D">
      <w:pPr>
        <w:pStyle w:val="Heading1"/>
        <w:spacing w:beforeLines="150" w:before="360" w:afterLines="150" w:after="360"/>
      </w:pPr>
      <w:r>
        <w:t>ORDER</w:t>
      </w:r>
    </w:p>
    <w:p w14:paraId="6471B3ED" w14:textId="5EFCB6AA" w:rsidR="00121282" w:rsidRDefault="00121282" w:rsidP="00F718B8">
      <w:pPr>
        <w:pStyle w:val="DecisionBody"/>
        <w:numPr>
          <w:ilvl w:val="0"/>
          <w:numId w:val="32"/>
        </w:numPr>
        <w:spacing w:beforeLines="150" w:before="360" w:afterLines="150" w:after="360"/>
        <w:ind w:left="0" w:firstLine="0"/>
      </w:pPr>
      <w:r>
        <w:t>The Tribunal dismisses the appeal and authorizes the variances</w:t>
      </w:r>
      <w:r w:rsidR="00B925F2">
        <w:t xml:space="preserve"> to Zoning By-law </w:t>
      </w:r>
      <w:r w:rsidR="004F56F7">
        <w:t xml:space="preserve">No. </w:t>
      </w:r>
      <w:r w:rsidR="00B925F2">
        <w:t xml:space="preserve">79-200, as amended by Zoning By-law </w:t>
      </w:r>
      <w:r w:rsidR="004F56F7">
        <w:t xml:space="preserve">No. </w:t>
      </w:r>
      <w:r w:rsidR="00B925F2">
        <w:t>2012-119</w:t>
      </w:r>
      <w:r>
        <w:t>,</w:t>
      </w:r>
      <w:r w:rsidR="00C87FB2">
        <w:t xml:space="preserve"> all</w:t>
      </w:r>
      <w:r>
        <w:t xml:space="preserve"> in accordance with the Committee’s decision</w:t>
      </w:r>
      <w:r w:rsidR="00CF2865">
        <w:t xml:space="preserve"> (Exhibit 1, Tab 15)</w:t>
      </w:r>
      <w:r>
        <w:t xml:space="preserve">, appended as Attachment 1 to this </w:t>
      </w:r>
      <w:r w:rsidR="004F56F7">
        <w:t>D</w:t>
      </w:r>
      <w:r>
        <w:t xml:space="preserve">ecision. </w:t>
      </w:r>
    </w:p>
    <w:p w14:paraId="0A77DDC0" w14:textId="0DA79B0D" w:rsidR="00935095" w:rsidRPr="004E31D7" w:rsidRDefault="004850D9" w:rsidP="00465DBE">
      <w:pPr>
        <w:pStyle w:val="DecisionBody"/>
        <w:numPr>
          <w:ilvl w:val="0"/>
          <w:numId w:val="0"/>
        </w:numPr>
        <w:spacing w:after="360"/>
        <w:rPr>
          <w:i/>
        </w:rPr>
      </w:pPr>
      <w:r>
        <w:t xml:space="preserve"> </w:t>
      </w:r>
    </w:p>
    <w:p w14:paraId="3382D81B" w14:textId="77777777" w:rsidR="00935095" w:rsidRPr="00686901" w:rsidRDefault="00935095" w:rsidP="00AC548D">
      <w:pPr>
        <w:pStyle w:val="MemberSignature"/>
      </w:pPr>
      <w:r w:rsidRPr="00686901">
        <w:t>“</w:t>
      </w:r>
      <w:r w:rsidR="003C79BA" w:rsidRPr="00686901">
        <w:t>Paula Boutis</w:t>
      </w:r>
      <w:r w:rsidRPr="00686901">
        <w:t>”</w:t>
      </w:r>
    </w:p>
    <w:p w14:paraId="3DA956FB" w14:textId="77777777" w:rsidR="00935095" w:rsidRPr="00686901" w:rsidRDefault="00935095" w:rsidP="004E31D7">
      <w:pPr>
        <w:pStyle w:val="MemberSignature"/>
        <w:ind w:left="0"/>
        <w:jc w:val="both"/>
        <w:rPr>
          <w:i w:val="0"/>
        </w:rPr>
      </w:pPr>
    </w:p>
    <w:p w14:paraId="247AA67D" w14:textId="77777777" w:rsidR="00935095" w:rsidRPr="00686901" w:rsidRDefault="00935095" w:rsidP="004E31D7">
      <w:pPr>
        <w:pStyle w:val="MemberSignature"/>
        <w:ind w:left="0"/>
        <w:jc w:val="left"/>
        <w:rPr>
          <w:i w:val="0"/>
        </w:rPr>
      </w:pPr>
    </w:p>
    <w:p w14:paraId="1051D1F2" w14:textId="77777777" w:rsidR="00935095" w:rsidRPr="00686901" w:rsidRDefault="003C79BA" w:rsidP="00AC548D">
      <w:pPr>
        <w:pStyle w:val="MemberSignatureNameandTitle"/>
      </w:pPr>
      <w:r w:rsidRPr="00686901">
        <w:t>paula boutis</w:t>
      </w:r>
    </w:p>
    <w:p w14:paraId="2DEFDDCC" w14:textId="77777777" w:rsidR="00935095" w:rsidRPr="00686901" w:rsidRDefault="003C79BA" w:rsidP="00AC548D">
      <w:pPr>
        <w:pStyle w:val="MemberSignatureNameandTitle"/>
      </w:pPr>
      <w:r w:rsidRPr="00686901">
        <w:t>MEMBER</w:t>
      </w:r>
    </w:p>
    <w:p w14:paraId="661CAD61" w14:textId="77777777" w:rsidR="00935095" w:rsidRPr="00686901" w:rsidRDefault="00935095" w:rsidP="00AC548D">
      <w:pPr>
        <w:rPr>
          <w:rFonts w:ascii="Arial" w:hAnsi="Arial" w:cs="Arial"/>
          <w:lang w:val="en-CA"/>
        </w:rPr>
      </w:pPr>
    </w:p>
    <w:p w14:paraId="75344D02" w14:textId="77777777" w:rsidR="00935095" w:rsidRPr="00686901" w:rsidRDefault="00935095" w:rsidP="00AC548D">
      <w:pPr>
        <w:rPr>
          <w:rFonts w:ascii="Arial" w:hAnsi="Arial" w:cs="Arial"/>
          <w:lang w:val="en-CA"/>
        </w:rPr>
      </w:pPr>
    </w:p>
    <w:p w14:paraId="727B3FB5" w14:textId="77777777" w:rsidR="00D265BD" w:rsidRPr="00686901" w:rsidRDefault="00D265BD" w:rsidP="00AC548D">
      <w:pPr>
        <w:rPr>
          <w:rFonts w:ascii="Arial" w:hAnsi="Arial" w:cs="Arial"/>
          <w:lang w:val="en-CA"/>
        </w:rPr>
      </w:pPr>
    </w:p>
    <w:p w14:paraId="7D47F7DD" w14:textId="77777777" w:rsidR="00D265BD" w:rsidRPr="00686901" w:rsidRDefault="00D265BD" w:rsidP="00AC548D">
      <w:pPr>
        <w:rPr>
          <w:rFonts w:ascii="Arial" w:hAnsi="Arial" w:cs="Arial"/>
          <w:lang w:val="en-CA"/>
        </w:rPr>
      </w:pPr>
    </w:p>
    <w:p w14:paraId="4CFCD5E4" w14:textId="77777777" w:rsidR="00D265BD" w:rsidRPr="00686901" w:rsidRDefault="00D265BD" w:rsidP="00AC548D">
      <w:pPr>
        <w:rPr>
          <w:rFonts w:ascii="Arial" w:hAnsi="Arial" w:cs="Arial"/>
          <w:lang w:val="en-CA"/>
        </w:rPr>
      </w:pPr>
    </w:p>
    <w:p w14:paraId="1AA6685E" w14:textId="77777777" w:rsidR="00D265BD" w:rsidRPr="00686901" w:rsidRDefault="00D265BD" w:rsidP="00AC548D">
      <w:pPr>
        <w:rPr>
          <w:rFonts w:ascii="Arial" w:hAnsi="Arial" w:cs="Arial"/>
          <w:lang w:val="en-CA"/>
        </w:rPr>
      </w:pPr>
    </w:p>
    <w:p w14:paraId="7CFE9E22" w14:textId="77777777" w:rsidR="00D265BD" w:rsidRPr="00686901" w:rsidRDefault="00D265BD" w:rsidP="00AC548D">
      <w:pPr>
        <w:rPr>
          <w:rFonts w:ascii="Arial" w:hAnsi="Arial" w:cs="Arial"/>
          <w:lang w:val="en-CA"/>
        </w:rPr>
      </w:pPr>
    </w:p>
    <w:p w14:paraId="4F058333" w14:textId="77777777" w:rsidR="00D265BD" w:rsidRPr="00686901" w:rsidRDefault="00D265BD" w:rsidP="00AC548D">
      <w:pPr>
        <w:rPr>
          <w:rFonts w:ascii="Arial" w:hAnsi="Arial" w:cs="Arial"/>
          <w:lang w:val="en-CA"/>
        </w:rPr>
      </w:pPr>
    </w:p>
    <w:p w14:paraId="21871751" w14:textId="77777777" w:rsidR="00D265BD" w:rsidRPr="00686901" w:rsidRDefault="00D265BD" w:rsidP="00AC548D">
      <w:pPr>
        <w:rPr>
          <w:rFonts w:ascii="Arial" w:hAnsi="Arial" w:cs="Arial"/>
          <w:lang w:val="en-CA"/>
        </w:rPr>
      </w:pPr>
    </w:p>
    <w:p w14:paraId="56964575" w14:textId="77777777" w:rsidR="00D265BD" w:rsidRPr="00686901" w:rsidRDefault="00D265BD" w:rsidP="00AC548D">
      <w:pPr>
        <w:rPr>
          <w:rFonts w:ascii="Arial" w:hAnsi="Arial" w:cs="Arial"/>
          <w:lang w:val="en-CA"/>
        </w:rPr>
      </w:pPr>
    </w:p>
    <w:p w14:paraId="5DF37AD6" w14:textId="77777777" w:rsidR="00D265BD" w:rsidRPr="00686901" w:rsidRDefault="00D265BD" w:rsidP="00AC548D">
      <w:pPr>
        <w:rPr>
          <w:rFonts w:ascii="Arial" w:hAnsi="Arial" w:cs="Arial"/>
          <w:lang w:val="en-CA"/>
        </w:rPr>
      </w:pPr>
    </w:p>
    <w:p w14:paraId="60BC3BB5" w14:textId="77777777" w:rsidR="00D265BD" w:rsidRPr="00686901" w:rsidRDefault="00D265BD" w:rsidP="00AC548D">
      <w:pPr>
        <w:rPr>
          <w:rFonts w:ascii="Arial" w:hAnsi="Arial" w:cs="Arial"/>
          <w:lang w:val="en-CA"/>
        </w:rPr>
      </w:pPr>
    </w:p>
    <w:p w14:paraId="304B7209" w14:textId="77777777" w:rsidR="004B6547" w:rsidRPr="00686901" w:rsidRDefault="004B6547" w:rsidP="00AC548D">
      <w:pPr>
        <w:rPr>
          <w:rFonts w:ascii="Arial" w:hAnsi="Arial" w:cs="Arial"/>
          <w:lang w:val="en-CA"/>
        </w:rPr>
      </w:pPr>
    </w:p>
    <w:p w14:paraId="59629098" w14:textId="77777777" w:rsidR="004B6547" w:rsidRPr="00686901" w:rsidRDefault="004B6547" w:rsidP="00AC548D">
      <w:pPr>
        <w:rPr>
          <w:rFonts w:ascii="Arial" w:hAnsi="Arial" w:cs="Arial"/>
          <w:lang w:val="en-CA"/>
        </w:rPr>
      </w:pPr>
    </w:p>
    <w:p w14:paraId="35520271" w14:textId="77777777" w:rsidR="00627521" w:rsidRPr="00686901" w:rsidRDefault="00627521" w:rsidP="00AC548D">
      <w:pPr>
        <w:rPr>
          <w:rFonts w:ascii="Arial" w:hAnsi="Arial" w:cs="Arial"/>
          <w:lang w:val="en-CA"/>
        </w:rPr>
      </w:pPr>
    </w:p>
    <w:p w14:paraId="2634801F" w14:textId="77777777" w:rsidR="00627521" w:rsidRPr="00686901" w:rsidRDefault="00627521" w:rsidP="00AC548D">
      <w:pPr>
        <w:rPr>
          <w:rFonts w:ascii="Arial" w:hAnsi="Arial" w:cs="Arial"/>
          <w:lang w:val="en-CA"/>
        </w:rPr>
      </w:pPr>
    </w:p>
    <w:p w14:paraId="4723DB49" w14:textId="77777777" w:rsidR="00627521" w:rsidRPr="00686901" w:rsidRDefault="00627521" w:rsidP="00AC548D">
      <w:pPr>
        <w:rPr>
          <w:rFonts w:ascii="Arial" w:hAnsi="Arial" w:cs="Arial"/>
          <w:lang w:val="en-CA"/>
        </w:rPr>
      </w:pPr>
    </w:p>
    <w:p w14:paraId="45A057EF" w14:textId="77777777" w:rsidR="002D23D0" w:rsidRPr="00686901" w:rsidRDefault="002D23D0" w:rsidP="00AC548D">
      <w:pPr>
        <w:rPr>
          <w:rFonts w:ascii="Arial" w:hAnsi="Arial" w:cs="Arial"/>
          <w:lang w:val="en-CA"/>
        </w:rPr>
      </w:pPr>
    </w:p>
    <w:p w14:paraId="335A528D" w14:textId="77777777" w:rsidR="00627521" w:rsidRPr="00686901" w:rsidRDefault="00627521" w:rsidP="00AC548D">
      <w:pPr>
        <w:rPr>
          <w:rFonts w:ascii="Arial" w:hAnsi="Arial" w:cs="Arial"/>
          <w:lang w:val="en-CA"/>
        </w:rPr>
      </w:pPr>
    </w:p>
    <w:p w14:paraId="2B1DC630" w14:textId="77777777" w:rsidR="004E31D7" w:rsidRDefault="004E31D7" w:rsidP="00AC548D">
      <w:pPr>
        <w:rPr>
          <w:rFonts w:ascii="Arial" w:hAnsi="Arial" w:cs="Arial"/>
          <w:lang w:val="en-CA"/>
        </w:rPr>
      </w:pPr>
    </w:p>
    <w:p w14:paraId="3048E68C" w14:textId="77777777" w:rsidR="004F56F7" w:rsidRDefault="004F56F7" w:rsidP="00AC548D">
      <w:pPr>
        <w:rPr>
          <w:rFonts w:ascii="Arial" w:hAnsi="Arial" w:cs="Arial"/>
          <w:lang w:val="en-CA"/>
        </w:rPr>
      </w:pPr>
    </w:p>
    <w:p w14:paraId="77C14ACB" w14:textId="77777777" w:rsidR="004F56F7" w:rsidRDefault="004F56F7" w:rsidP="00AC548D">
      <w:pPr>
        <w:rPr>
          <w:rFonts w:ascii="Arial" w:hAnsi="Arial" w:cs="Arial"/>
          <w:lang w:val="en-CA"/>
        </w:rPr>
      </w:pPr>
    </w:p>
    <w:p w14:paraId="4D5F47F4" w14:textId="77777777" w:rsidR="004F56F7" w:rsidRDefault="004F56F7" w:rsidP="00AC548D">
      <w:pPr>
        <w:rPr>
          <w:rFonts w:ascii="Arial" w:hAnsi="Arial" w:cs="Arial"/>
          <w:lang w:val="en-CA"/>
        </w:rPr>
      </w:pPr>
    </w:p>
    <w:p w14:paraId="5B583F5E" w14:textId="77777777" w:rsidR="004F56F7" w:rsidRDefault="004F56F7" w:rsidP="00AC548D">
      <w:pPr>
        <w:rPr>
          <w:rFonts w:ascii="Arial" w:hAnsi="Arial" w:cs="Arial"/>
          <w:lang w:val="en-CA"/>
        </w:rPr>
      </w:pPr>
    </w:p>
    <w:p w14:paraId="6383F048" w14:textId="77777777" w:rsidR="004F56F7" w:rsidRDefault="004F56F7" w:rsidP="00AC548D">
      <w:pPr>
        <w:rPr>
          <w:rFonts w:ascii="Arial" w:hAnsi="Arial" w:cs="Arial"/>
          <w:lang w:val="en-CA"/>
        </w:rPr>
      </w:pPr>
    </w:p>
    <w:p w14:paraId="57A5F304" w14:textId="77777777" w:rsidR="004F56F7" w:rsidRPr="00686901" w:rsidRDefault="004F56F7" w:rsidP="00AC548D">
      <w:pPr>
        <w:rPr>
          <w:rFonts w:ascii="Arial" w:hAnsi="Arial" w:cs="Arial"/>
          <w:lang w:val="en-CA"/>
        </w:rPr>
      </w:pPr>
    </w:p>
    <w:p w14:paraId="1468B9C5" w14:textId="77777777" w:rsidR="00D265BD" w:rsidRDefault="00D265BD" w:rsidP="00AC548D">
      <w:pPr>
        <w:rPr>
          <w:rFonts w:ascii="Arial" w:hAnsi="Arial" w:cs="Arial"/>
          <w:lang w:val="en-CA"/>
        </w:rPr>
      </w:pPr>
    </w:p>
    <w:p w14:paraId="58D59114" w14:textId="77777777" w:rsidR="00C1364C" w:rsidRDefault="00C1364C" w:rsidP="00AC548D">
      <w:pPr>
        <w:rPr>
          <w:rFonts w:ascii="Arial" w:hAnsi="Arial" w:cs="Arial"/>
          <w:lang w:val="en-CA"/>
        </w:rPr>
      </w:pPr>
    </w:p>
    <w:p w14:paraId="142B891B" w14:textId="77777777" w:rsidR="00C1364C" w:rsidRDefault="00C1364C" w:rsidP="00AC548D">
      <w:pPr>
        <w:rPr>
          <w:rFonts w:ascii="Arial" w:hAnsi="Arial" w:cs="Arial"/>
          <w:lang w:val="en-CA"/>
        </w:rPr>
      </w:pPr>
    </w:p>
    <w:p w14:paraId="6537864E" w14:textId="77777777" w:rsidR="00C1364C" w:rsidRDefault="00C1364C" w:rsidP="00AC548D">
      <w:pPr>
        <w:rPr>
          <w:rFonts w:ascii="Arial" w:hAnsi="Arial" w:cs="Arial"/>
          <w:lang w:val="en-CA"/>
        </w:rPr>
      </w:pPr>
    </w:p>
    <w:p w14:paraId="1E2852B4" w14:textId="77777777" w:rsidR="00C1364C" w:rsidRDefault="00C1364C" w:rsidP="00AC548D">
      <w:pPr>
        <w:rPr>
          <w:rFonts w:ascii="Arial" w:hAnsi="Arial" w:cs="Arial"/>
          <w:lang w:val="en-CA"/>
        </w:rPr>
      </w:pPr>
    </w:p>
    <w:p w14:paraId="0BF97A3E" w14:textId="77777777" w:rsidR="00C1364C" w:rsidRDefault="00C1364C" w:rsidP="00AC548D">
      <w:pPr>
        <w:rPr>
          <w:rFonts w:ascii="Arial" w:hAnsi="Arial" w:cs="Arial"/>
          <w:lang w:val="en-CA"/>
        </w:rPr>
      </w:pPr>
    </w:p>
    <w:p w14:paraId="7CD34E7F" w14:textId="77777777" w:rsidR="00C1364C" w:rsidRDefault="00C1364C" w:rsidP="00AC548D">
      <w:pPr>
        <w:rPr>
          <w:rFonts w:ascii="Arial" w:hAnsi="Arial" w:cs="Arial"/>
          <w:lang w:val="en-CA"/>
        </w:rPr>
      </w:pPr>
    </w:p>
    <w:p w14:paraId="51776442" w14:textId="77777777" w:rsidR="00C1364C" w:rsidRDefault="00C1364C" w:rsidP="00AC548D">
      <w:pPr>
        <w:rPr>
          <w:rFonts w:ascii="Arial" w:hAnsi="Arial" w:cs="Arial"/>
          <w:lang w:val="en-CA"/>
        </w:rPr>
      </w:pPr>
    </w:p>
    <w:p w14:paraId="6C4E170F" w14:textId="77777777" w:rsidR="00C1364C" w:rsidRDefault="00C1364C" w:rsidP="00AC548D">
      <w:pPr>
        <w:rPr>
          <w:rFonts w:ascii="Arial" w:hAnsi="Arial" w:cs="Arial"/>
          <w:lang w:val="en-CA"/>
        </w:rPr>
      </w:pPr>
    </w:p>
    <w:p w14:paraId="0AD7878C" w14:textId="77777777" w:rsidR="00C1364C" w:rsidRDefault="00C1364C" w:rsidP="00AC548D">
      <w:pPr>
        <w:rPr>
          <w:rFonts w:ascii="Arial" w:hAnsi="Arial" w:cs="Arial"/>
          <w:lang w:val="en-CA"/>
        </w:rPr>
      </w:pPr>
    </w:p>
    <w:p w14:paraId="0977CB52" w14:textId="77777777" w:rsidR="00C1364C" w:rsidRDefault="00C1364C" w:rsidP="00AC548D">
      <w:pPr>
        <w:rPr>
          <w:rFonts w:ascii="Arial" w:hAnsi="Arial" w:cs="Arial"/>
          <w:lang w:val="en-CA"/>
        </w:rPr>
      </w:pPr>
    </w:p>
    <w:p w14:paraId="3BA06B3E" w14:textId="77777777" w:rsidR="00C1364C" w:rsidRPr="00686901" w:rsidRDefault="00C1364C" w:rsidP="00AC548D">
      <w:pPr>
        <w:rPr>
          <w:rFonts w:ascii="Arial" w:hAnsi="Arial" w:cs="Arial"/>
          <w:lang w:val="en-CA"/>
        </w:rPr>
      </w:pPr>
    </w:p>
    <w:p w14:paraId="10AB81D4" w14:textId="77777777" w:rsidR="00BA79F7" w:rsidRPr="00686901" w:rsidRDefault="00BA79F7" w:rsidP="00AC548D">
      <w:pPr>
        <w:rPr>
          <w:rFonts w:ascii="Arial" w:hAnsi="Arial" w:cs="Arial"/>
          <w:lang w:val="en-CA"/>
        </w:rPr>
      </w:pPr>
    </w:p>
    <w:p w14:paraId="1EA04B87" w14:textId="77777777" w:rsidR="0092760B" w:rsidRPr="00AC548D" w:rsidRDefault="0092760B" w:rsidP="004850D0">
      <w:pPr>
        <w:pStyle w:val="AttachmentTextaboveFooter"/>
      </w:pPr>
      <w:r w:rsidRPr="00AC548D">
        <w:t>If there is an attachment referred to in this document,</w:t>
      </w:r>
    </w:p>
    <w:p w14:paraId="067E45A6" w14:textId="77777777" w:rsidR="0092760B" w:rsidRPr="00AC548D" w:rsidRDefault="0092760B" w:rsidP="004850D0">
      <w:pPr>
        <w:pStyle w:val="AttachmentTextaboveFooter"/>
      </w:pPr>
      <w:r w:rsidRPr="00AC548D">
        <w:t>please visit www.elto.gov.on.ca to view the attachment in PDF format.</w:t>
      </w:r>
    </w:p>
    <w:p w14:paraId="3542AF59" w14:textId="77777777" w:rsidR="003D1234" w:rsidRPr="00AC548D" w:rsidRDefault="003D1234" w:rsidP="004E31D7">
      <w:pPr>
        <w:pStyle w:val="Footer"/>
        <w:jc w:val="left"/>
      </w:pPr>
    </w:p>
    <w:p w14:paraId="5A4DAC18" w14:textId="77777777" w:rsidR="009A73F6" w:rsidRPr="00AC548D" w:rsidRDefault="009A73F6" w:rsidP="004E31D7">
      <w:pPr>
        <w:pStyle w:val="Footer"/>
        <w:jc w:val="left"/>
      </w:pPr>
    </w:p>
    <w:p w14:paraId="70CFE87C" w14:textId="77777777" w:rsidR="00FE1AB5" w:rsidRPr="00AC548D" w:rsidRDefault="00FE1AB5" w:rsidP="00AC548D">
      <w:pPr>
        <w:pStyle w:val="Footer"/>
        <w:rPr>
          <w:b/>
        </w:rPr>
      </w:pPr>
      <w:r w:rsidRPr="00AC548D">
        <w:rPr>
          <w:b/>
        </w:rPr>
        <w:t>Local Planning Appeal Tribunal</w:t>
      </w:r>
    </w:p>
    <w:p w14:paraId="7316E018" w14:textId="77777777" w:rsidR="005A6B29" w:rsidRPr="00AC548D" w:rsidRDefault="005A6B29" w:rsidP="00AC548D">
      <w:pPr>
        <w:pStyle w:val="Footer"/>
      </w:pPr>
      <w:r w:rsidRPr="00AC548D">
        <w:t xml:space="preserve">A constituent tribunal of </w:t>
      </w:r>
      <w:r w:rsidR="004F56F7" w:rsidRPr="00AC548D">
        <w:t xml:space="preserve">Tribunals Ontario </w:t>
      </w:r>
      <w:r w:rsidR="004F56F7">
        <w:t xml:space="preserve">- </w:t>
      </w:r>
      <w:r w:rsidRPr="00AC548D">
        <w:t xml:space="preserve">Environment and Land </w:t>
      </w:r>
      <w:r w:rsidR="004F56F7">
        <w:t>Division</w:t>
      </w:r>
    </w:p>
    <w:p w14:paraId="4F9FED15" w14:textId="77777777"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57975" w14:textId="77777777" w:rsidR="00C95632" w:rsidRDefault="00C95632">
      <w:r>
        <w:separator/>
      </w:r>
    </w:p>
  </w:endnote>
  <w:endnote w:type="continuationSeparator" w:id="0">
    <w:p w14:paraId="15EFAE4A" w14:textId="77777777" w:rsidR="00C95632" w:rsidRDefault="00C9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03A4E" w14:textId="77777777" w:rsidR="00C95632" w:rsidRDefault="00C95632">
      <w:r>
        <w:separator/>
      </w:r>
    </w:p>
  </w:footnote>
  <w:footnote w:type="continuationSeparator" w:id="0">
    <w:p w14:paraId="7FD84969" w14:textId="77777777" w:rsidR="00C95632" w:rsidRDefault="00C9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91F50" w14:textId="77777777"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1A229C">
      <w:rPr>
        <w:rFonts w:ascii="Arial" w:hAnsi="Arial" w:cs="Arial"/>
        <w:noProof/>
      </w:rPr>
      <w:t>8</w:t>
    </w:r>
    <w:r w:rsidRPr="005E51AF">
      <w:rPr>
        <w:rFonts w:ascii="Arial" w:hAnsi="Arial" w:cs="Arial"/>
        <w:noProof/>
      </w:rPr>
      <w:fldChar w:fldCharType="end"/>
    </w:r>
    <w:r w:rsidR="00C02B28">
      <w:rPr>
        <w:rFonts w:ascii="Arial" w:hAnsi="Arial" w:cs="Arial"/>
        <w:noProof/>
      </w:rPr>
      <w:tab/>
    </w:r>
    <w:r w:rsidR="004B6547">
      <w:rPr>
        <w:rFonts w:ascii="Arial" w:hAnsi="Arial" w:cs="Arial"/>
        <w:noProof/>
      </w:rPr>
      <w:t xml:space="preserve"> </w:t>
    </w:r>
    <w:r w:rsidR="00DF40A9">
      <w:rPr>
        <w:rFonts w:ascii="Arial" w:hAnsi="Arial" w:cs="Arial"/>
        <w:noProof/>
      </w:rPr>
      <w:tab/>
    </w:r>
    <w:r w:rsidR="003C34AD">
      <w:rPr>
        <w:rFonts w:ascii="Arial" w:hAnsi="Arial" w:cs="Arial"/>
        <w:noProof/>
      </w:rPr>
      <w:t xml:space="preserve">  </w:t>
    </w:r>
    <w:r w:rsidR="00B81431">
      <w:rPr>
        <w:rFonts w:ascii="Arial" w:hAnsi="Arial" w:cs="Arial"/>
        <w:noProof/>
      </w:rPr>
      <w:t>PL</w:t>
    </w:r>
    <w:r w:rsidR="00584DF5">
      <w:rPr>
        <w:rFonts w:ascii="Arial" w:hAnsi="Arial" w:cs="Arial"/>
        <w:noProof/>
      </w:rPr>
      <w:t>18083</w:t>
    </w:r>
    <w:r w:rsidR="00894C59">
      <w:rPr>
        <w:rFonts w:ascii="Arial" w:hAnsi="Arial" w:cs="Arial"/>
        <w:noProof/>
      </w:rPr>
      <w:t>0</w:t>
    </w:r>
  </w:p>
  <w:p w14:paraId="1B532DC3" w14:textId="77777777" w:rsidR="004F56F7" w:rsidRDefault="004F56F7" w:rsidP="002D2254">
    <w:pPr>
      <w:pStyle w:val="Header"/>
      <w:tabs>
        <w:tab w:val="clear" w:pos="8640"/>
        <w:tab w:val="center" w:pos="4680"/>
        <w:tab w:val="left" w:pos="6804"/>
        <w:tab w:val="right" w:pos="9360"/>
      </w:tabs>
      <w:rPr>
        <w:rFonts w:ascii="Arial" w:hAnsi="Arial" w:cs="Arial"/>
        <w:noProof/>
      </w:rPr>
    </w:pPr>
  </w:p>
  <w:p w14:paraId="610F4251"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DBF0FB5"/>
    <w:multiLevelType w:val="hybridMultilevel"/>
    <w:tmpl w:val="3AF4FF54"/>
    <w:lvl w:ilvl="0" w:tplc="1009000F">
      <w:start w:val="1"/>
      <w:numFmt w:val="decimal"/>
      <w:lvlText w:val="%1."/>
      <w:lvlJc w:val="left"/>
      <w:pPr>
        <w:ind w:left="1429" w:hanging="360"/>
      </w:p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abstractNum w:abstractNumId="28">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8"/>
  </w:num>
  <w:num w:numId="4">
    <w:abstractNumId w:val="9"/>
  </w:num>
  <w:num w:numId="5">
    <w:abstractNumId w:val="31"/>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9"/>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5D38"/>
    <w:rsid w:val="000170F3"/>
    <w:rsid w:val="0001777D"/>
    <w:rsid w:val="000177E7"/>
    <w:rsid w:val="00017DFC"/>
    <w:rsid w:val="00022EAD"/>
    <w:rsid w:val="00031C6E"/>
    <w:rsid w:val="0003783B"/>
    <w:rsid w:val="000424A6"/>
    <w:rsid w:val="000427F2"/>
    <w:rsid w:val="00050D12"/>
    <w:rsid w:val="00054A9F"/>
    <w:rsid w:val="00056F73"/>
    <w:rsid w:val="00062F60"/>
    <w:rsid w:val="0006526A"/>
    <w:rsid w:val="00075342"/>
    <w:rsid w:val="00076196"/>
    <w:rsid w:val="0008105B"/>
    <w:rsid w:val="00081B93"/>
    <w:rsid w:val="00093BEE"/>
    <w:rsid w:val="00094E62"/>
    <w:rsid w:val="000A5BAE"/>
    <w:rsid w:val="000B033A"/>
    <w:rsid w:val="000B4BFB"/>
    <w:rsid w:val="000C21BB"/>
    <w:rsid w:val="000C25F1"/>
    <w:rsid w:val="000C480C"/>
    <w:rsid w:val="000C7608"/>
    <w:rsid w:val="000D09B3"/>
    <w:rsid w:val="000D0C03"/>
    <w:rsid w:val="000D0F5D"/>
    <w:rsid w:val="000D6D77"/>
    <w:rsid w:val="000D6F9D"/>
    <w:rsid w:val="000D7BBD"/>
    <w:rsid w:val="000F44CD"/>
    <w:rsid w:val="000F6357"/>
    <w:rsid w:val="00100AF6"/>
    <w:rsid w:val="00100C00"/>
    <w:rsid w:val="0010191A"/>
    <w:rsid w:val="00101E35"/>
    <w:rsid w:val="00104001"/>
    <w:rsid w:val="00115BFF"/>
    <w:rsid w:val="001171FB"/>
    <w:rsid w:val="00121282"/>
    <w:rsid w:val="001220E4"/>
    <w:rsid w:val="00131147"/>
    <w:rsid w:val="0013161B"/>
    <w:rsid w:val="00137797"/>
    <w:rsid w:val="0015041D"/>
    <w:rsid w:val="001551CC"/>
    <w:rsid w:val="001562BE"/>
    <w:rsid w:val="001578B3"/>
    <w:rsid w:val="001634FB"/>
    <w:rsid w:val="001656BC"/>
    <w:rsid w:val="00166E70"/>
    <w:rsid w:val="001702F3"/>
    <w:rsid w:val="00171C2B"/>
    <w:rsid w:val="00172CE7"/>
    <w:rsid w:val="001765FB"/>
    <w:rsid w:val="0017761F"/>
    <w:rsid w:val="001808B6"/>
    <w:rsid w:val="00182765"/>
    <w:rsid w:val="00182B0E"/>
    <w:rsid w:val="00185E46"/>
    <w:rsid w:val="00190DF3"/>
    <w:rsid w:val="00194A84"/>
    <w:rsid w:val="001A229C"/>
    <w:rsid w:val="001A3C06"/>
    <w:rsid w:val="001A51A6"/>
    <w:rsid w:val="001B5CE4"/>
    <w:rsid w:val="001D67CE"/>
    <w:rsid w:val="001D6F93"/>
    <w:rsid w:val="001E764F"/>
    <w:rsid w:val="001F179F"/>
    <w:rsid w:val="0020186C"/>
    <w:rsid w:val="0020298E"/>
    <w:rsid w:val="00205167"/>
    <w:rsid w:val="00212341"/>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46FBD"/>
    <w:rsid w:val="00250221"/>
    <w:rsid w:val="00250346"/>
    <w:rsid w:val="00254117"/>
    <w:rsid w:val="00255063"/>
    <w:rsid w:val="00257414"/>
    <w:rsid w:val="0026320F"/>
    <w:rsid w:val="00270AAE"/>
    <w:rsid w:val="00277F40"/>
    <w:rsid w:val="00280925"/>
    <w:rsid w:val="00282A34"/>
    <w:rsid w:val="00283370"/>
    <w:rsid w:val="0028454B"/>
    <w:rsid w:val="002874AC"/>
    <w:rsid w:val="00290FEC"/>
    <w:rsid w:val="00293E85"/>
    <w:rsid w:val="002959D2"/>
    <w:rsid w:val="002A2682"/>
    <w:rsid w:val="002A393B"/>
    <w:rsid w:val="002B47E9"/>
    <w:rsid w:val="002C00E1"/>
    <w:rsid w:val="002C7CBA"/>
    <w:rsid w:val="002D2254"/>
    <w:rsid w:val="002D23D0"/>
    <w:rsid w:val="002D38E7"/>
    <w:rsid w:val="002E55F0"/>
    <w:rsid w:val="002E7C9F"/>
    <w:rsid w:val="002F37EF"/>
    <w:rsid w:val="002F4E11"/>
    <w:rsid w:val="002F5A26"/>
    <w:rsid w:val="002F73E5"/>
    <w:rsid w:val="003051EA"/>
    <w:rsid w:val="00307DEE"/>
    <w:rsid w:val="00310067"/>
    <w:rsid w:val="003148C9"/>
    <w:rsid w:val="00316394"/>
    <w:rsid w:val="00323369"/>
    <w:rsid w:val="00323E65"/>
    <w:rsid w:val="00324440"/>
    <w:rsid w:val="0033079A"/>
    <w:rsid w:val="00340879"/>
    <w:rsid w:val="00345480"/>
    <w:rsid w:val="003506EA"/>
    <w:rsid w:val="00350E1B"/>
    <w:rsid w:val="00352F38"/>
    <w:rsid w:val="00354C2E"/>
    <w:rsid w:val="003620BF"/>
    <w:rsid w:val="00367CB0"/>
    <w:rsid w:val="00371D83"/>
    <w:rsid w:val="00375F31"/>
    <w:rsid w:val="00376084"/>
    <w:rsid w:val="0038484F"/>
    <w:rsid w:val="00385FC9"/>
    <w:rsid w:val="00391DD7"/>
    <w:rsid w:val="003B236D"/>
    <w:rsid w:val="003B298B"/>
    <w:rsid w:val="003B7CE2"/>
    <w:rsid w:val="003C0048"/>
    <w:rsid w:val="003C34AD"/>
    <w:rsid w:val="003C79BA"/>
    <w:rsid w:val="003D1234"/>
    <w:rsid w:val="003E65B0"/>
    <w:rsid w:val="003F266C"/>
    <w:rsid w:val="00401F7B"/>
    <w:rsid w:val="00403715"/>
    <w:rsid w:val="00420FFD"/>
    <w:rsid w:val="004233D2"/>
    <w:rsid w:val="004320E6"/>
    <w:rsid w:val="00441A9B"/>
    <w:rsid w:val="004507E6"/>
    <w:rsid w:val="00452228"/>
    <w:rsid w:val="004539BB"/>
    <w:rsid w:val="004568CC"/>
    <w:rsid w:val="00460B87"/>
    <w:rsid w:val="00465DBE"/>
    <w:rsid w:val="004662FE"/>
    <w:rsid w:val="00466F00"/>
    <w:rsid w:val="004850D0"/>
    <w:rsid w:val="004850D9"/>
    <w:rsid w:val="00485FD3"/>
    <w:rsid w:val="004A4461"/>
    <w:rsid w:val="004A587D"/>
    <w:rsid w:val="004B3247"/>
    <w:rsid w:val="004B6547"/>
    <w:rsid w:val="004B7E92"/>
    <w:rsid w:val="004C06AB"/>
    <w:rsid w:val="004C3B19"/>
    <w:rsid w:val="004C5ADC"/>
    <w:rsid w:val="004D0477"/>
    <w:rsid w:val="004D526E"/>
    <w:rsid w:val="004E03A4"/>
    <w:rsid w:val="004E31D7"/>
    <w:rsid w:val="004E4C91"/>
    <w:rsid w:val="004E4CD6"/>
    <w:rsid w:val="004F13B0"/>
    <w:rsid w:val="004F1B46"/>
    <w:rsid w:val="004F56F7"/>
    <w:rsid w:val="004F602D"/>
    <w:rsid w:val="00505DF1"/>
    <w:rsid w:val="005064E9"/>
    <w:rsid w:val="00510362"/>
    <w:rsid w:val="00513CCD"/>
    <w:rsid w:val="005173A3"/>
    <w:rsid w:val="005176E6"/>
    <w:rsid w:val="00530917"/>
    <w:rsid w:val="0053773B"/>
    <w:rsid w:val="0055024F"/>
    <w:rsid w:val="00553DE3"/>
    <w:rsid w:val="005554F9"/>
    <w:rsid w:val="00567367"/>
    <w:rsid w:val="00574C0D"/>
    <w:rsid w:val="00575802"/>
    <w:rsid w:val="00576252"/>
    <w:rsid w:val="00581834"/>
    <w:rsid w:val="00581FFB"/>
    <w:rsid w:val="005826C8"/>
    <w:rsid w:val="005832B8"/>
    <w:rsid w:val="00584DF5"/>
    <w:rsid w:val="00585632"/>
    <w:rsid w:val="0058684A"/>
    <w:rsid w:val="00586F97"/>
    <w:rsid w:val="005A6B29"/>
    <w:rsid w:val="005A767F"/>
    <w:rsid w:val="005A7E7F"/>
    <w:rsid w:val="005B0EFC"/>
    <w:rsid w:val="005B2223"/>
    <w:rsid w:val="005B7EEA"/>
    <w:rsid w:val="005C38B2"/>
    <w:rsid w:val="005C46AA"/>
    <w:rsid w:val="005C7251"/>
    <w:rsid w:val="005C7AA9"/>
    <w:rsid w:val="005D1ED7"/>
    <w:rsid w:val="005E51AF"/>
    <w:rsid w:val="005F182A"/>
    <w:rsid w:val="005F7A16"/>
    <w:rsid w:val="006002DC"/>
    <w:rsid w:val="0060505C"/>
    <w:rsid w:val="00611B55"/>
    <w:rsid w:val="00614648"/>
    <w:rsid w:val="00616822"/>
    <w:rsid w:val="006218C6"/>
    <w:rsid w:val="00627521"/>
    <w:rsid w:val="006306A8"/>
    <w:rsid w:val="0063575A"/>
    <w:rsid w:val="00640174"/>
    <w:rsid w:val="006419E7"/>
    <w:rsid w:val="00641AD3"/>
    <w:rsid w:val="00646BFB"/>
    <w:rsid w:val="00647ECC"/>
    <w:rsid w:val="006510E9"/>
    <w:rsid w:val="00653B50"/>
    <w:rsid w:val="00655F95"/>
    <w:rsid w:val="00656CC7"/>
    <w:rsid w:val="00657E0B"/>
    <w:rsid w:val="00663C56"/>
    <w:rsid w:val="00665DAE"/>
    <w:rsid w:val="006664C3"/>
    <w:rsid w:val="00667E82"/>
    <w:rsid w:val="0067049C"/>
    <w:rsid w:val="00677294"/>
    <w:rsid w:val="00680779"/>
    <w:rsid w:val="00684D7F"/>
    <w:rsid w:val="00686901"/>
    <w:rsid w:val="006A119C"/>
    <w:rsid w:val="006A19B7"/>
    <w:rsid w:val="006A2B5B"/>
    <w:rsid w:val="006C6D4C"/>
    <w:rsid w:val="006D09B4"/>
    <w:rsid w:val="006D1DFD"/>
    <w:rsid w:val="006D6E12"/>
    <w:rsid w:val="006E071A"/>
    <w:rsid w:val="006E6454"/>
    <w:rsid w:val="006E6645"/>
    <w:rsid w:val="006F214C"/>
    <w:rsid w:val="006F2DF2"/>
    <w:rsid w:val="006F3415"/>
    <w:rsid w:val="006F53DC"/>
    <w:rsid w:val="006F6F82"/>
    <w:rsid w:val="006F79AD"/>
    <w:rsid w:val="007057F0"/>
    <w:rsid w:val="00706196"/>
    <w:rsid w:val="00707B3B"/>
    <w:rsid w:val="00715DD1"/>
    <w:rsid w:val="00716030"/>
    <w:rsid w:val="00732A4A"/>
    <w:rsid w:val="007342E5"/>
    <w:rsid w:val="007353C0"/>
    <w:rsid w:val="00735538"/>
    <w:rsid w:val="00754510"/>
    <w:rsid w:val="0076119A"/>
    <w:rsid w:val="0076237B"/>
    <w:rsid w:val="00765C2D"/>
    <w:rsid w:val="007675A7"/>
    <w:rsid w:val="0076764E"/>
    <w:rsid w:val="007710D5"/>
    <w:rsid w:val="007859AE"/>
    <w:rsid w:val="007A1709"/>
    <w:rsid w:val="007A2C3D"/>
    <w:rsid w:val="007B4FAF"/>
    <w:rsid w:val="007C08BD"/>
    <w:rsid w:val="007C1634"/>
    <w:rsid w:val="007C6F2F"/>
    <w:rsid w:val="007D378F"/>
    <w:rsid w:val="007E0C30"/>
    <w:rsid w:val="007E15B0"/>
    <w:rsid w:val="007E514A"/>
    <w:rsid w:val="007F7583"/>
    <w:rsid w:val="00802055"/>
    <w:rsid w:val="008046EB"/>
    <w:rsid w:val="0080724D"/>
    <w:rsid w:val="008173CF"/>
    <w:rsid w:val="00817EDE"/>
    <w:rsid w:val="00823753"/>
    <w:rsid w:val="008316DB"/>
    <w:rsid w:val="0083211C"/>
    <w:rsid w:val="00835A80"/>
    <w:rsid w:val="00837AE6"/>
    <w:rsid w:val="00855DF0"/>
    <w:rsid w:val="00864776"/>
    <w:rsid w:val="00865727"/>
    <w:rsid w:val="00865FE5"/>
    <w:rsid w:val="00866681"/>
    <w:rsid w:val="0087343F"/>
    <w:rsid w:val="008778F4"/>
    <w:rsid w:val="008832A0"/>
    <w:rsid w:val="00890E5D"/>
    <w:rsid w:val="00894C59"/>
    <w:rsid w:val="008954A0"/>
    <w:rsid w:val="0089782A"/>
    <w:rsid w:val="008A1A0C"/>
    <w:rsid w:val="008A3586"/>
    <w:rsid w:val="008B3EB4"/>
    <w:rsid w:val="008B667D"/>
    <w:rsid w:val="008C09C4"/>
    <w:rsid w:val="008C2941"/>
    <w:rsid w:val="008C7470"/>
    <w:rsid w:val="008D3B01"/>
    <w:rsid w:val="008D4213"/>
    <w:rsid w:val="008D4C9A"/>
    <w:rsid w:val="008E147D"/>
    <w:rsid w:val="008E5B11"/>
    <w:rsid w:val="008F1B09"/>
    <w:rsid w:val="008F1CAC"/>
    <w:rsid w:val="0090013F"/>
    <w:rsid w:val="00900C5B"/>
    <w:rsid w:val="00901AFF"/>
    <w:rsid w:val="00902134"/>
    <w:rsid w:val="00907DA4"/>
    <w:rsid w:val="009148E3"/>
    <w:rsid w:val="0092760B"/>
    <w:rsid w:val="00930FD3"/>
    <w:rsid w:val="009333AA"/>
    <w:rsid w:val="00935095"/>
    <w:rsid w:val="00935ABA"/>
    <w:rsid w:val="009360FC"/>
    <w:rsid w:val="00936D2D"/>
    <w:rsid w:val="00951EE2"/>
    <w:rsid w:val="0095571C"/>
    <w:rsid w:val="0096422B"/>
    <w:rsid w:val="009650D8"/>
    <w:rsid w:val="00966095"/>
    <w:rsid w:val="009748FB"/>
    <w:rsid w:val="00976AA8"/>
    <w:rsid w:val="009773EC"/>
    <w:rsid w:val="00981E7A"/>
    <w:rsid w:val="00984E33"/>
    <w:rsid w:val="00986415"/>
    <w:rsid w:val="00990F55"/>
    <w:rsid w:val="009A1884"/>
    <w:rsid w:val="009A31C9"/>
    <w:rsid w:val="009A34A1"/>
    <w:rsid w:val="009A4C07"/>
    <w:rsid w:val="009A5B8D"/>
    <w:rsid w:val="009A6D63"/>
    <w:rsid w:val="009A73F6"/>
    <w:rsid w:val="009C20B2"/>
    <w:rsid w:val="009C4D62"/>
    <w:rsid w:val="009D0B82"/>
    <w:rsid w:val="009D5078"/>
    <w:rsid w:val="009E0DF7"/>
    <w:rsid w:val="009E1C08"/>
    <w:rsid w:val="009E202F"/>
    <w:rsid w:val="009E40F3"/>
    <w:rsid w:val="009E5BA0"/>
    <w:rsid w:val="009E6983"/>
    <w:rsid w:val="009F040C"/>
    <w:rsid w:val="009F1D55"/>
    <w:rsid w:val="009F3047"/>
    <w:rsid w:val="009F5E3C"/>
    <w:rsid w:val="00A01F41"/>
    <w:rsid w:val="00A045D3"/>
    <w:rsid w:val="00A07D8A"/>
    <w:rsid w:val="00A11CE2"/>
    <w:rsid w:val="00A20E8C"/>
    <w:rsid w:val="00A45D63"/>
    <w:rsid w:val="00A47406"/>
    <w:rsid w:val="00A50889"/>
    <w:rsid w:val="00A550FC"/>
    <w:rsid w:val="00A7018C"/>
    <w:rsid w:val="00A70B89"/>
    <w:rsid w:val="00A70E2F"/>
    <w:rsid w:val="00A76E5B"/>
    <w:rsid w:val="00A81716"/>
    <w:rsid w:val="00A81DB3"/>
    <w:rsid w:val="00A842EC"/>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B02D82"/>
    <w:rsid w:val="00B12A97"/>
    <w:rsid w:val="00B13C3D"/>
    <w:rsid w:val="00B157E1"/>
    <w:rsid w:val="00B16A05"/>
    <w:rsid w:val="00B17BED"/>
    <w:rsid w:val="00B225A1"/>
    <w:rsid w:val="00B25ACB"/>
    <w:rsid w:val="00B25ECF"/>
    <w:rsid w:val="00B268A7"/>
    <w:rsid w:val="00B35686"/>
    <w:rsid w:val="00B41CC6"/>
    <w:rsid w:val="00B51EB2"/>
    <w:rsid w:val="00B51EBA"/>
    <w:rsid w:val="00B5261C"/>
    <w:rsid w:val="00B5585B"/>
    <w:rsid w:val="00B5601E"/>
    <w:rsid w:val="00B5605C"/>
    <w:rsid w:val="00B5628D"/>
    <w:rsid w:val="00B62606"/>
    <w:rsid w:val="00B6431E"/>
    <w:rsid w:val="00B67AB9"/>
    <w:rsid w:val="00B70285"/>
    <w:rsid w:val="00B702CE"/>
    <w:rsid w:val="00B721A7"/>
    <w:rsid w:val="00B73739"/>
    <w:rsid w:val="00B7687A"/>
    <w:rsid w:val="00B77B07"/>
    <w:rsid w:val="00B81431"/>
    <w:rsid w:val="00B818DE"/>
    <w:rsid w:val="00B830F6"/>
    <w:rsid w:val="00B925F2"/>
    <w:rsid w:val="00B92BA3"/>
    <w:rsid w:val="00B969C4"/>
    <w:rsid w:val="00BA28A5"/>
    <w:rsid w:val="00BA5F87"/>
    <w:rsid w:val="00BA79F7"/>
    <w:rsid w:val="00BB1683"/>
    <w:rsid w:val="00BB6613"/>
    <w:rsid w:val="00BB66A5"/>
    <w:rsid w:val="00BC66D9"/>
    <w:rsid w:val="00BD0257"/>
    <w:rsid w:val="00BE0FA0"/>
    <w:rsid w:val="00BE4FAD"/>
    <w:rsid w:val="00BE6E8E"/>
    <w:rsid w:val="00BF23CB"/>
    <w:rsid w:val="00BF3612"/>
    <w:rsid w:val="00BF497A"/>
    <w:rsid w:val="00BF7426"/>
    <w:rsid w:val="00C026DA"/>
    <w:rsid w:val="00C02B28"/>
    <w:rsid w:val="00C1171C"/>
    <w:rsid w:val="00C1364C"/>
    <w:rsid w:val="00C17715"/>
    <w:rsid w:val="00C22F35"/>
    <w:rsid w:val="00C300F2"/>
    <w:rsid w:val="00C47214"/>
    <w:rsid w:val="00C5671C"/>
    <w:rsid w:val="00C801A0"/>
    <w:rsid w:val="00C838B9"/>
    <w:rsid w:val="00C87FB2"/>
    <w:rsid w:val="00C92977"/>
    <w:rsid w:val="00C940BC"/>
    <w:rsid w:val="00C95632"/>
    <w:rsid w:val="00CA43B8"/>
    <w:rsid w:val="00CB1BB2"/>
    <w:rsid w:val="00CB2B73"/>
    <w:rsid w:val="00CC269B"/>
    <w:rsid w:val="00CC29F3"/>
    <w:rsid w:val="00CC5C59"/>
    <w:rsid w:val="00CD235D"/>
    <w:rsid w:val="00CD5591"/>
    <w:rsid w:val="00CE10CC"/>
    <w:rsid w:val="00CF17AA"/>
    <w:rsid w:val="00CF2865"/>
    <w:rsid w:val="00CF2AB8"/>
    <w:rsid w:val="00CF3F96"/>
    <w:rsid w:val="00CF4C37"/>
    <w:rsid w:val="00CF55CF"/>
    <w:rsid w:val="00D008AB"/>
    <w:rsid w:val="00D01696"/>
    <w:rsid w:val="00D02287"/>
    <w:rsid w:val="00D265BD"/>
    <w:rsid w:val="00D26808"/>
    <w:rsid w:val="00D30A06"/>
    <w:rsid w:val="00D30F49"/>
    <w:rsid w:val="00D31102"/>
    <w:rsid w:val="00D32294"/>
    <w:rsid w:val="00D35322"/>
    <w:rsid w:val="00D353BA"/>
    <w:rsid w:val="00D35B18"/>
    <w:rsid w:val="00D36525"/>
    <w:rsid w:val="00D4174D"/>
    <w:rsid w:val="00D42D9F"/>
    <w:rsid w:val="00D50C1C"/>
    <w:rsid w:val="00D53BDA"/>
    <w:rsid w:val="00D55FA1"/>
    <w:rsid w:val="00D5774A"/>
    <w:rsid w:val="00D66856"/>
    <w:rsid w:val="00D75003"/>
    <w:rsid w:val="00D76186"/>
    <w:rsid w:val="00D76968"/>
    <w:rsid w:val="00D83C03"/>
    <w:rsid w:val="00D84899"/>
    <w:rsid w:val="00D8571F"/>
    <w:rsid w:val="00D91064"/>
    <w:rsid w:val="00D9357D"/>
    <w:rsid w:val="00D956CD"/>
    <w:rsid w:val="00DA3393"/>
    <w:rsid w:val="00DB023D"/>
    <w:rsid w:val="00DB0790"/>
    <w:rsid w:val="00DB16DE"/>
    <w:rsid w:val="00DB1845"/>
    <w:rsid w:val="00DB45DF"/>
    <w:rsid w:val="00DB49FE"/>
    <w:rsid w:val="00DD35F5"/>
    <w:rsid w:val="00DD59BB"/>
    <w:rsid w:val="00DD6665"/>
    <w:rsid w:val="00DE04A8"/>
    <w:rsid w:val="00DE62BC"/>
    <w:rsid w:val="00DF40A9"/>
    <w:rsid w:val="00DF75FB"/>
    <w:rsid w:val="00E0462D"/>
    <w:rsid w:val="00E11D71"/>
    <w:rsid w:val="00E12DE7"/>
    <w:rsid w:val="00E13F77"/>
    <w:rsid w:val="00E15446"/>
    <w:rsid w:val="00E2182C"/>
    <w:rsid w:val="00E27649"/>
    <w:rsid w:val="00E27753"/>
    <w:rsid w:val="00E3340B"/>
    <w:rsid w:val="00E40778"/>
    <w:rsid w:val="00E4342D"/>
    <w:rsid w:val="00E45C87"/>
    <w:rsid w:val="00E5336E"/>
    <w:rsid w:val="00E65759"/>
    <w:rsid w:val="00E71248"/>
    <w:rsid w:val="00E73226"/>
    <w:rsid w:val="00E743D2"/>
    <w:rsid w:val="00E747DD"/>
    <w:rsid w:val="00E77E48"/>
    <w:rsid w:val="00E8779D"/>
    <w:rsid w:val="00E87A9B"/>
    <w:rsid w:val="00E97D24"/>
    <w:rsid w:val="00E97F04"/>
    <w:rsid w:val="00EA0F32"/>
    <w:rsid w:val="00EA73B7"/>
    <w:rsid w:val="00EB372E"/>
    <w:rsid w:val="00EB3E73"/>
    <w:rsid w:val="00EC181A"/>
    <w:rsid w:val="00EC2004"/>
    <w:rsid w:val="00EC2949"/>
    <w:rsid w:val="00EC34DB"/>
    <w:rsid w:val="00ED43EB"/>
    <w:rsid w:val="00EE4BA3"/>
    <w:rsid w:val="00EE62E6"/>
    <w:rsid w:val="00EF4FA7"/>
    <w:rsid w:val="00EF6354"/>
    <w:rsid w:val="00F002DD"/>
    <w:rsid w:val="00F012E6"/>
    <w:rsid w:val="00F13970"/>
    <w:rsid w:val="00F206C1"/>
    <w:rsid w:val="00F20B8D"/>
    <w:rsid w:val="00F376E5"/>
    <w:rsid w:val="00F404B1"/>
    <w:rsid w:val="00F408C2"/>
    <w:rsid w:val="00F46275"/>
    <w:rsid w:val="00F47C01"/>
    <w:rsid w:val="00F47E96"/>
    <w:rsid w:val="00F548C9"/>
    <w:rsid w:val="00F55277"/>
    <w:rsid w:val="00F62C56"/>
    <w:rsid w:val="00F718B8"/>
    <w:rsid w:val="00F71AB8"/>
    <w:rsid w:val="00F76E36"/>
    <w:rsid w:val="00F801FB"/>
    <w:rsid w:val="00F82F6D"/>
    <w:rsid w:val="00F90029"/>
    <w:rsid w:val="00F9509D"/>
    <w:rsid w:val="00F9597B"/>
    <w:rsid w:val="00F96EE2"/>
    <w:rsid w:val="00FA016B"/>
    <w:rsid w:val="00FA5140"/>
    <w:rsid w:val="00FA6295"/>
    <w:rsid w:val="00FB6021"/>
    <w:rsid w:val="00FD10D9"/>
    <w:rsid w:val="00FD31ED"/>
    <w:rsid w:val="00FD395A"/>
    <w:rsid w:val="00FD4182"/>
    <w:rsid w:val="00FE1AB5"/>
    <w:rsid w:val="00FE3524"/>
    <w:rsid w:val="00FE478E"/>
    <w:rsid w:val="00FE4D6A"/>
    <w:rsid w:val="00FE522F"/>
    <w:rsid w:val="00FF04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D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C9"/>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Heading1"/>
    <w:next w:val="Normal"/>
    <w:link w:val="Heading2Char"/>
    <w:unhideWhenUsed/>
    <w:qFormat/>
    <w:rsid w:val="003148C9"/>
    <w:pPr>
      <w:spacing w:before="240" w:after="60"/>
      <w:outlineLvl w:val="1"/>
    </w:pPr>
    <w:rPr>
      <w:bCs w:val="0"/>
      <w:iCs/>
      <w:caps w:val="0"/>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rsid w:val="003148C9"/>
    <w:rPr>
      <w:rFonts w:ascii="Arial" w:hAnsi="Arial"/>
      <w:b/>
      <w:iCs/>
      <w:sz w:val="24"/>
      <w:szCs w:val="28"/>
      <w:lang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aliases w:val="List Paragraph Quotation"/>
    <w:basedOn w:val="List"/>
    <w:link w:val="ListParagraphChar"/>
    <w:uiPriority w:val="34"/>
    <w:qFormat/>
    <w:rsid w:val="00250346"/>
    <w:pPr>
      <w:spacing w:after="240" w:line="360" w:lineRule="auto"/>
      <w:ind w:left="0" w:firstLine="0"/>
      <w:contextualSpacing w:val="0"/>
    </w:pPr>
    <w:rPr>
      <w:rFonts w:ascii="Arial" w:hAnsi="Arial"/>
      <w:szCs w:val="20"/>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pPr>
    <w:rPr>
      <w:rFonts w:ascii="Arial" w:hAnsi="Arial"/>
      <w:bCs/>
      <w:sz w:val="24"/>
      <w:szCs w:val="24"/>
      <w:lang w:eastAsia="en-US"/>
    </w:rPr>
  </w:style>
  <w:style w:type="paragraph" w:styleId="List">
    <w:name w:val="List"/>
    <w:basedOn w:val="Normal"/>
    <w:link w:val="ListChar"/>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Strong">
    <w:name w:val="Strong"/>
    <w:basedOn w:val="DefaultParagraphFont"/>
    <w:qFormat/>
    <w:rsid w:val="00250346"/>
    <w:rPr>
      <w:b/>
      <w:bCs/>
    </w:rPr>
  </w:style>
  <w:style w:type="paragraph" w:customStyle="1" w:styleId="ParagraphQuote">
    <w:name w:val="Paragraph Quote"/>
    <w:basedOn w:val="ListParagraph"/>
    <w:qFormat/>
    <w:rsid w:val="00254117"/>
    <w:pPr>
      <w:spacing w:line="240" w:lineRule="auto"/>
      <w:ind w:left="709" w:right="856"/>
    </w:pPr>
    <w:rPr>
      <w:sz w:val="20"/>
    </w:rPr>
  </w:style>
  <w:style w:type="character" w:customStyle="1" w:styleId="ListChar">
    <w:name w:val="List Char"/>
    <w:basedOn w:val="DefaultParagraphFont"/>
    <w:link w:val="List"/>
    <w:rsid w:val="00250346"/>
    <w:rPr>
      <w:sz w:val="24"/>
      <w:szCs w:val="24"/>
      <w:lang w:val="en-US" w:eastAsia="en-US"/>
    </w:rPr>
  </w:style>
  <w:style w:type="character" w:customStyle="1" w:styleId="ListParagraphChar">
    <w:name w:val="List Paragraph Char"/>
    <w:aliases w:val="List Paragraph Quotation Char"/>
    <w:basedOn w:val="ListChar"/>
    <w:link w:val="ListParagraph"/>
    <w:uiPriority w:val="34"/>
    <w:rsid w:val="00250346"/>
    <w:rPr>
      <w:rFonts w:ascii="Arial" w:hAnsi="Arial"/>
      <w:sz w:val="24"/>
      <w:szCs w:val="24"/>
      <w:lang w:val="en-US" w:eastAsia="en-US"/>
    </w:rPr>
  </w:style>
  <w:style w:type="paragraph" w:customStyle="1" w:styleId="Heading3ELTO">
    <w:name w:val="Heading 3 ELTO"/>
    <w:basedOn w:val="DecisionBody"/>
    <w:qFormat/>
    <w:rsid w:val="00EB372E"/>
    <w:pPr>
      <w:numPr>
        <w:numId w:val="0"/>
      </w:numPr>
    </w:pPr>
    <w:rPr>
      <w:i/>
    </w:rPr>
  </w:style>
  <w:style w:type="paragraph" w:customStyle="1" w:styleId="Heading4ELTO">
    <w:name w:val="Heading 4 ELTO"/>
    <w:basedOn w:val="DecisionBody"/>
    <w:qFormat/>
    <w:rsid w:val="00EB372E"/>
    <w:pPr>
      <w:numPr>
        <w:numId w:val="0"/>
      </w:numPr>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C9"/>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Heading1"/>
    <w:next w:val="Normal"/>
    <w:link w:val="Heading2Char"/>
    <w:unhideWhenUsed/>
    <w:qFormat/>
    <w:rsid w:val="003148C9"/>
    <w:pPr>
      <w:spacing w:before="240" w:after="60"/>
      <w:outlineLvl w:val="1"/>
    </w:pPr>
    <w:rPr>
      <w:bCs w:val="0"/>
      <w:iCs/>
      <w:caps w:val="0"/>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rsid w:val="003148C9"/>
    <w:rPr>
      <w:rFonts w:ascii="Arial" w:hAnsi="Arial"/>
      <w:b/>
      <w:iCs/>
      <w:sz w:val="24"/>
      <w:szCs w:val="28"/>
      <w:lang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aliases w:val="List Paragraph Quotation"/>
    <w:basedOn w:val="List"/>
    <w:link w:val="ListParagraphChar"/>
    <w:uiPriority w:val="34"/>
    <w:qFormat/>
    <w:rsid w:val="00250346"/>
    <w:pPr>
      <w:spacing w:after="240" w:line="360" w:lineRule="auto"/>
      <w:ind w:left="0" w:firstLine="0"/>
      <w:contextualSpacing w:val="0"/>
    </w:pPr>
    <w:rPr>
      <w:rFonts w:ascii="Arial" w:hAnsi="Arial"/>
      <w:szCs w:val="20"/>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pPr>
    <w:rPr>
      <w:rFonts w:ascii="Arial" w:hAnsi="Arial"/>
      <w:bCs/>
      <w:sz w:val="24"/>
      <w:szCs w:val="24"/>
      <w:lang w:eastAsia="en-US"/>
    </w:rPr>
  </w:style>
  <w:style w:type="paragraph" w:styleId="List">
    <w:name w:val="List"/>
    <w:basedOn w:val="Normal"/>
    <w:link w:val="ListChar"/>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Strong">
    <w:name w:val="Strong"/>
    <w:basedOn w:val="DefaultParagraphFont"/>
    <w:qFormat/>
    <w:rsid w:val="00250346"/>
    <w:rPr>
      <w:b/>
      <w:bCs/>
    </w:rPr>
  </w:style>
  <w:style w:type="paragraph" w:customStyle="1" w:styleId="ParagraphQuote">
    <w:name w:val="Paragraph Quote"/>
    <w:basedOn w:val="ListParagraph"/>
    <w:qFormat/>
    <w:rsid w:val="00254117"/>
    <w:pPr>
      <w:spacing w:line="240" w:lineRule="auto"/>
      <w:ind w:left="709" w:right="856"/>
    </w:pPr>
    <w:rPr>
      <w:sz w:val="20"/>
    </w:rPr>
  </w:style>
  <w:style w:type="character" w:customStyle="1" w:styleId="ListChar">
    <w:name w:val="List Char"/>
    <w:basedOn w:val="DefaultParagraphFont"/>
    <w:link w:val="List"/>
    <w:rsid w:val="00250346"/>
    <w:rPr>
      <w:sz w:val="24"/>
      <w:szCs w:val="24"/>
      <w:lang w:val="en-US" w:eastAsia="en-US"/>
    </w:rPr>
  </w:style>
  <w:style w:type="character" w:customStyle="1" w:styleId="ListParagraphChar">
    <w:name w:val="List Paragraph Char"/>
    <w:aliases w:val="List Paragraph Quotation Char"/>
    <w:basedOn w:val="ListChar"/>
    <w:link w:val="ListParagraph"/>
    <w:uiPriority w:val="34"/>
    <w:rsid w:val="00250346"/>
    <w:rPr>
      <w:rFonts w:ascii="Arial" w:hAnsi="Arial"/>
      <w:sz w:val="24"/>
      <w:szCs w:val="24"/>
      <w:lang w:val="en-US" w:eastAsia="en-US"/>
    </w:rPr>
  </w:style>
  <w:style w:type="paragraph" w:customStyle="1" w:styleId="Heading3ELTO">
    <w:name w:val="Heading 3 ELTO"/>
    <w:basedOn w:val="DecisionBody"/>
    <w:qFormat/>
    <w:rsid w:val="00EB372E"/>
    <w:pPr>
      <w:numPr>
        <w:numId w:val="0"/>
      </w:numPr>
    </w:pPr>
    <w:rPr>
      <w:i/>
    </w:rPr>
  </w:style>
  <w:style w:type="paragraph" w:customStyle="1" w:styleId="Heading4ELTO">
    <w:name w:val="Heading 4 ELTO"/>
    <w:basedOn w:val="DecisionBody"/>
    <w:qFormat/>
    <w:rsid w:val="00EB372E"/>
    <w:pPr>
      <w:numPr>
        <w:numId w:val="0"/>
      </w:numP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63267734">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0626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E525-8539-4842-8935-8A5C9F8B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1727</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Boutis, Paula (MAG)</dc:creator>
  <cp:lastModifiedBy>Pilon, Kelly (MAG)</cp:lastModifiedBy>
  <cp:revision>3</cp:revision>
  <cp:lastPrinted>2019-07-11T18:12:00Z</cp:lastPrinted>
  <dcterms:created xsi:type="dcterms:W3CDTF">2019-07-11T18:11:00Z</dcterms:created>
  <dcterms:modified xsi:type="dcterms:W3CDTF">2019-07-11T18:18:00Z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Paula.Boutis@ontario.ca</vt:lpwstr>
  </property>
  <property fmtid="{D5CDD505-2E9C-101B-9397-08002B2CF9AE}" pid="5" name="MSIP_Label_034a106e-6316-442c-ad35-738afd673d2b_SetDate">
    <vt:lpwstr>2019-07-09T16:41:24.6861970Z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