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1E764F" w:rsidTr="00B63F18">
        <w:trPr>
          <w:trHeight w:val="281"/>
        </w:trPr>
        <w:tc>
          <w:tcPr>
            <w:tcW w:w="5778" w:type="dxa"/>
          </w:tcPr>
          <w:p w:rsidR="006D09B4" w:rsidRPr="001E764F" w:rsidRDefault="006D09B4" w:rsidP="006D09B4">
            <w:pPr>
              <w:rPr>
                <w:rFonts w:ascii="Arial" w:hAnsi="Arial" w:cs="Arial"/>
                <w:b/>
                <w:sz w:val="16"/>
                <w:szCs w:val="16"/>
              </w:rPr>
            </w:pPr>
          </w:p>
        </w:tc>
        <w:tc>
          <w:tcPr>
            <w:tcW w:w="3828" w:type="dxa"/>
            <w:vMerge w:val="restart"/>
          </w:tcPr>
          <w:p w:rsidR="006D09B4" w:rsidRPr="001E764F" w:rsidRDefault="00B12A97" w:rsidP="006D09B4">
            <w:pPr>
              <w:rPr>
                <w:rFonts w:ascii="Arial" w:hAnsi="Arial" w:cs="Arial"/>
                <w:b/>
                <w:noProof/>
                <w:sz w:val="32"/>
                <w:szCs w:val="32"/>
                <w:lang w:val="en-CA" w:eastAsia="en-CA"/>
              </w:rPr>
            </w:pPr>
            <w:r>
              <w:rPr>
                <w:rFonts w:ascii="Arial" w:hAnsi="Arial" w:cs="Arial"/>
                <w:noProof/>
                <w:lang w:val="en-CA" w:eastAsia="en-CA"/>
              </w:rPr>
              <w:drawing>
                <wp:anchor distT="0" distB="0" distL="114300" distR="114300" simplePos="0" relativeHeight="251657728" behindDoc="0" locked="0" layoutInCell="1" allowOverlap="1" wp14:anchorId="05FB0C84" wp14:editId="0B1BE3A5">
                  <wp:simplePos x="0" y="0"/>
                  <wp:positionH relativeFrom="column">
                    <wp:align>center</wp:align>
                  </wp:positionH>
                  <wp:positionV relativeFrom="paragraph">
                    <wp:posOffset>80010</wp:posOffset>
                  </wp:positionV>
                  <wp:extent cx="1188720" cy="1188720"/>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1E764F" w:rsidTr="00B63F18">
        <w:tc>
          <w:tcPr>
            <w:tcW w:w="5778" w:type="dxa"/>
          </w:tcPr>
          <w:p w:rsidR="006D09B4" w:rsidRPr="001E764F" w:rsidRDefault="00BB66A5" w:rsidP="006D09B4">
            <w:pPr>
              <w:rPr>
                <w:rFonts w:ascii="Arial" w:hAnsi="Arial" w:cs="Arial"/>
                <w:b/>
                <w:sz w:val="32"/>
                <w:szCs w:val="32"/>
              </w:rPr>
            </w:pPr>
            <w:r w:rsidRPr="00A7018C">
              <w:rPr>
                <w:rFonts w:ascii="Arial" w:hAnsi="Arial" w:cs="Arial"/>
                <w:b/>
                <w:sz w:val="32"/>
                <w:szCs w:val="32"/>
              </w:rPr>
              <w:t>Local Planning Appeal Tribunal</w:t>
            </w:r>
          </w:p>
        </w:tc>
        <w:tc>
          <w:tcPr>
            <w:tcW w:w="3828" w:type="dxa"/>
            <w:vMerge/>
          </w:tcPr>
          <w:p w:rsidR="006D09B4" w:rsidRPr="001E764F" w:rsidRDefault="006D09B4" w:rsidP="006D09B4">
            <w:pPr>
              <w:rPr>
                <w:rFonts w:ascii="Arial" w:hAnsi="Arial" w:cs="Arial"/>
                <w:b/>
                <w:sz w:val="32"/>
                <w:szCs w:val="32"/>
              </w:rPr>
            </w:pPr>
          </w:p>
        </w:tc>
      </w:tr>
      <w:tr w:rsidR="006D09B4" w:rsidRPr="001E764F" w:rsidTr="00B63F18">
        <w:tc>
          <w:tcPr>
            <w:tcW w:w="5778" w:type="dxa"/>
          </w:tcPr>
          <w:p w:rsidR="00FE1AB5" w:rsidRPr="001E764F" w:rsidRDefault="00FE1AB5" w:rsidP="00FE1AB5">
            <w:pPr>
              <w:rPr>
                <w:rFonts w:ascii="Arial" w:hAnsi="Arial" w:cs="Arial"/>
                <w:sz w:val="32"/>
                <w:szCs w:val="32"/>
                <w:lang w:val="fr-CA"/>
              </w:rPr>
            </w:pPr>
            <w:r>
              <w:rPr>
                <w:rFonts w:ascii="Arial" w:hAnsi="Arial" w:cs="Arial"/>
                <w:sz w:val="32"/>
                <w:szCs w:val="32"/>
                <w:lang w:val="fr-CA"/>
              </w:rPr>
              <w:t>Tribunal d’appel de l’aménagement local</w:t>
            </w:r>
          </w:p>
          <w:p w:rsidR="006D09B4" w:rsidRPr="001E764F" w:rsidRDefault="006D09B4" w:rsidP="006D09B4">
            <w:pPr>
              <w:rPr>
                <w:rFonts w:ascii="Arial" w:hAnsi="Arial" w:cs="Arial"/>
                <w:sz w:val="32"/>
                <w:szCs w:val="32"/>
                <w:lang w:val="fr-CA"/>
              </w:rPr>
            </w:pPr>
          </w:p>
          <w:p w:rsidR="006D09B4" w:rsidRPr="001E764F" w:rsidRDefault="006D09B4" w:rsidP="006D09B4">
            <w:pPr>
              <w:rPr>
                <w:rFonts w:ascii="Arial" w:hAnsi="Arial" w:cs="Arial"/>
                <w:sz w:val="32"/>
                <w:szCs w:val="32"/>
                <w:lang w:val="fr-CA"/>
              </w:rPr>
            </w:pPr>
          </w:p>
        </w:tc>
        <w:tc>
          <w:tcPr>
            <w:tcW w:w="3828" w:type="dxa"/>
            <w:vMerge/>
          </w:tcPr>
          <w:p w:rsidR="006D09B4" w:rsidRPr="001E764F" w:rsidRDefault="006D09B4" w:rsidP="006D09B4">
            <w:pPr>
              <w:rPr>
                <w:rFonts w:ascii="Arial" w:hAnsi="Arial" w:cs="Arial"/>
                <w:sz w:val="32"/>
                <w:szCs w:val="32"/>
                <w:lang w:val="fr-CA"/>
              </w:rPr>
            </w:pPr>
          </w:p>
        </w:tc>
      </w:tr>
    </w:tbl>
    <w:p w:rsidR="00AB07FC" w:rsidRPr="0006526A" w:rsidRDefault="00AB07FC" w:rsidP="002159B4">
      <w:pPr>
        <w:rPr>
          <w:rFonts w:ascii="Arial" w:hAnsi="Arial" w:cs="Arial"/>
          <w:lang w:val="fr-CA"/>
        </w:rPr>
      </w:pPr>
      <w:bookmarkStart w:id="0" w:name="Appearances"/>
    </w:p>
    <w:tbl>
      <w:tblPr>
        <w:tblpPr w:leftFromText="181" w:rightFromText="181" w:vertAnchor="text" w:horzAnchor="margin" w:tblpY="189"/>
        <w:tblW w:w="9606" w:type="dxa"/>
        <w:tblLook w:val="04A0" w:firstRow="1" w:lastRow="0" w:firstColumn="1" w:lastColumn="0" w:noHBand="0" w:noVBand="1"/>
      </w:tblPr>
      <w:tblGrid>
        <w:gridCol w:w="1818"/>
        <w:gridCol w:w="3960"/>
        <w:gridCol w:w="1890"/>
        <w:gridCol w:w="1938"/>
      </w:tblGrid>
      <w:tr w:rsidR="00EA73B7" w:rsidRPr="001E764F" w:rsidTr="00B63F18">
        <w:tc>
          <w:tcPr>
            <w:tcW w:w="1818" w:type="dxa"/>
            <w:shd w:val="clear" w:color="auto" w:fill="auto"/>
            <w:vAlign w:val="center"/>
          </w:tcPr>
          <w:p w:rsidR="00EA73B7" w:rsidRPr="001D67CE" w:rsidRDefault="00EA73B7" w:rsidP="002159B4">
            <w:pPr>
              <w:rPr>
                <w:rFonts w:ascii="Arial" w:hAnsi="Arial" w:cs="Arial"/>
              </w:rPr>
            </w:pPr>
            <w:r w:rsidRPr="001E764F">
              <w:rPr>
                <w:rFonts w:ascii="Arial" w:hAnsi="Arial" w:cs="Arial"/>
                <w:b/>
              </w:rPr>
              <w:t>ISSUE DATE:</w:t>
            </w:r>
          </w:p>
        </w:tc>
        <w:tc>
          <w:tcPr>
            <w:tcW w:w="3960" w:type="dxa"/>
            <w:shd w:val="clear" w:color="auto" w:fill="auto"/>
            <w:vAlign w:val="center"/>
          </w:tcPr>
          <w:p w:rsidR="00EA73B7" w:rsidRPr="001D67CE" w:rsidRDefault="00A4162B" w:rsidP="002159B4">
            <w:pPr>
              <w:rPr>
                <w:rFonts w:ascii="Arial" w:hAnsi="Arial" w:cs="Arial"/>
              </w:rPr>
            </w:pPr>
            <w:r>
              <w:rPr>
                <w:rFonts w:ascii="Arial" w:hAnsi="Arial" w:cs="Arial"/>
              </w:rPr>
              <w:t>May 17, 2019</w:t>
            </w:r>
          </w:p>
        </w:tc>
        <w:tc>
          <w:tcPr>
            <w:tcW w:w="1890" w:type="dxa"/>
            <w:shd w:val="clear" w:color="auto" w:fill="auto"/>
            <w:vAlign w:val="center"/>
          </w:tcPr>
          <w:p w:rsidR="00EA73B7" w:rsidRPr="001D67CE" w:rsidRDefault="00EA73B7" w:rsidP="002159B4">
            <w:pPr>
              <w:rPr>
                <w:rFonts w:ascii="Arial" w:hAnsi="Arial" w:cs="Arial"/>
              </w:rPr>
            </w:pPr>
            <w:r w:rsidRPr="001E764F">
              <w:rPr>
                <w:rFonts w:ascii="Arial" w:hAnsi="Arial" w:cs="Arial"/>
                <w:b/>
              </w:rPr>
              <w:fldChar w:fldCharType="begin"/>
            </w:r>
            <w:r w:rsidRPr="001E764F">
              <w:rPr>
                <w:rFonts w:ascii="Arial" w:hAnsi="Arial" w:cs="Arial"/>
                <w:b/>
              </w:rPr>
              <w:instrText xml:space="preserve"> SEQ CHAPTER \h \r 1</w:instrText>
            </w:r>
            <w:r w:rsidRPr="001E764F">
              <w:rPr>
                <w:rFonts w:ascii="Arial" w:hAnsi="Arial" w:cs="Arial"/>
                <w:b/>
              </w:rPr>
              <w:fldChar w:fldCharType="end"/>
            </w:r>
            <w:r w:rsidRPr="001E764F">
              <w:rPr>
                <w:rFonts w:ascii="Arial" w:hAnsi="Arial" w:cs="Arial"/>
                <w:b/>
              </w:rPr>
              <w:t>CASE NO(S)</w:t>
            </w:r>
            <w:proofErr w:type="gramStart"/>
            <w:r w:rsidRPr="001E764F">
              <w:rPr>
                <w:rFonts w:ascii="Arial" w:hAnsi="Arial" w:cs="Arial"/>
                <w:b/>
              </w:rPr>
              <w:t>.:</w:t>
            </w:r>
            <w:proofErr w:type="gramEnd"/>
          </w:p>
        </w:tc>
        <w:tc>
          <w:tcPr>
            <w:tcW w:w="1938" w:type="dxa"/>
            <w:shd w:val="clear" w:color="auto" w:fill="auto"/>
            <w:vAlign w:val="center"/>
          </w:tcPr>
          <w:p w:rsidR="00EA73B7" w:rsidRPr="001E764F" w:rsidRDefault="001C050F" w:rsidP="00280925">
            <w:pPr>
              <w:jc w:val="right"/>
              <w:rPr>
                <w:rFonts w:ascii="Arial" w:hAnsi="Arial" w:cs="Arial"/>
              </w:rPr>
            </w:pPr>
            <w:r>
              <w:rPr>
                <w:rFonts w:ascii="Arial" w:hAnsi="Arial" w:cs="Arial"/>
              </w:rPr>
              <w:t>PL180878</w:t>
            </w:r>
          </w:p>
        </w:tc>
      </w:tr>
    </w:tbl>
    <w:p w:rsidR="00FD395A" w:rsidRPr="00FD395A" w:rsidRDefault="00FD395A" w:rsidP="00F46275">
      <w:pPr>
        <w:rPr>
          <w:rFonts w:ascii="Arial" w:hAnsi="Arial" w:cs="Arial"/>
        </w:rPr>
      </w:pPr>
    </w:p>
    <w:tbl>
      <w:tblPr>
        <w:tblW w:w="9606" w:type="dxa"/>
        <w:tblLook w:val="0000" w:firstRow="0" w:lastRow="0" w:firstColumn="0" w:lastColumn="0" w:noHBand="0" w:noVBand="0"/>
      </w:tblPr>
      <w:tblGrid>
        <w:gridCol w:w="9606"/>
      </w:tblGrid>
      <w:tr w:rsidR="001D67CE" w:rsidRPr="001E764F" w:rsidTr="00B63F18">
        <w:tc>
          <w:tcPr>
            <w:tcW w:w="9606" w:type="dxa"/>
          </w:tcPr>
          <w:p w:rsidR="00F71AB8" w:rsidRPr="00250221" w:rsidRDefault="00F71AB8" w:rsidP="00F71AB8">
            <w:pPr>
              <w:rPr>
                <w:rFonts w:ascii="Arial" w:hAnsi="Arial" w:cs="Arial"/>
              </w:rPr>
            </w:pPr>
            <w:r w:rsidRPr="00250221">
              <w:rPr>
                <w:rFonts w:ascii="Arial" w:hAnsi="Arial" w:cs="Arial"/>
              </w:rPr>
              <w:t>The Ontario Municipal Board (the “OMB”) is continued under the name Local Planning Appeal Tribunal (the “Tribunal”), and any reference to the Ontario Municipal Board or Board in any publication of the Tribunal is deemed to be a reference to the Tribunal.</w:t>
            </w:r>
          </w:p>
        </w:tc>
      </w:tr>
    </w:tbl>
    <w:p w:rsidR="001D67CE" w:rsidRDefault="001D67CE" w:rsidP="00270AAE">
      <w:pPr>
        <w:rPr>
          <w:rFonts w:ascii="Arial" w:hAnsi="Arial" w:cs="Arial"/>
          <w:highlight w:val="yellow"/>
        </w:rPr>
      </w:pPr>
    </w:p>
    <w:tbl>
      <w:tblPr>
        <w:tblW w:w="10068" w:type="dxa"/>
        <w:tblLook w:val="04A0" w:firstRow="1" w:lastRow="0" w:firstColumn="1" w:lastColumn="0" w:noHBand="0" w:noVBand="1"/>
      </w:tblPr>
      <w:tblGrid>
        <w:gridCol w:w="3468"/>
        <w:gridCol w:w="6600"/>
      </w:tblGrid>
      <w:tr w:rsidR="00B63F18" w:rsidTr="00B63F18">
        <w:trPr>
          <w:cantSplit/>
          <w:trHeight w:val="732"/>
        </w:trPr>
        <w:tc>
          <w:tcPr>
            <w:tcW w:w="10068" w:type="dxa"/>
            <w:gridSpan w:val="2"/>
            <w:hideMark/>
          </w:tcPr>
          <w:p w:rsidR="00B63F18" w:rsidRPr="00B63F18" w:rsidRDefault="00B63F18">
            <w:pPr>
              <w:rPr>
                <w:rFonts w:ascii="Arial" w:hAnsi="Arial" w:cs="Arial"/>
              </w:rPr>
            </w:pPr>
            <w:r w:rsidRPr="00B63F18">
              <w:rPr>
                <w:rFonts w:ascii="Arial" w:hAnsi="Arial" w:cs="Arial"/>
                <w:b/>
              </w:rPr>
              <w:t xml:space="preserve">PROCEEDING COMMENCED UNDER </w:t>
            </w:r>
            <w:r w:rsidRPr="00B63F18">
              <w:rPr>
                <w:rFonts w:ascii="Arial" w:hAnsi="Arial" w:cs="Arial"/>
              </w:rPr>
              <w:t xml:space="preserve">subsection 45(12) of the </w:t>
            </w:r>
            <w:r w:rsidRPr="00B63F18">
              <w:rPr>
                <w:rFonts w:ascii="Arial" w:hAnsi="Arial" w:cs="Arial"/>
                <w:i/>
              </w:rPr>
              <w:t>Planning Act</w:t>
            </w:r>
            <w:r w:rsidRPr="00B63F18">
              <w:rPr>
                <w:rFonts w:ascii="Arial" w:hAnsi="Arial" w:cs="Arial"/>
              </w:rPr>
              <w:t>, R.S.O. 1990, c. P.13, as amended</w:t>
            </w:r>
          </w:p>
        </w:tc>
      </w:tr>
      <w:tr w:rsidR="00B63F18" w:rsidTr="00B63F18">
        <w:tc>
          <w:tcPr>
            <w:tcW w:w="3468" w:type="dxa"/>
            <w:hideMark/>
          </w:tcPr>
          <w:p w:rsidR="00B63F18" w:rsidRPr="00B63F18" w:rsidRDefault="00B63F18">
            <w:pPr>
              <w:rPr>
                <w:rFonts w:ascii="Arial" w:hAnsi="Arial" w:cs="Arial"/>
              </w:rPr>
            </w:pPr>
            <w:r w:rsidRPr="00B63F18">
              <w:rPr>
                <w:rFonts w:ascii="Arial" w:hAnsi="Arial" w:cs="Arial"/>
              </w:rPr>
              <w:t>Appellant:</w:t>
            </w:r>
          </w:p>
        </w:tc>
        <w:tc>
          <w:tcPr>
            <w:tcW w:w="6600" w:type="dxa"/>
            <w:hideMark/>
          </w:tcPr>
          <w:p w:rsidR="00B63F18" w:rsidRPr="00B63F18" w:rsidRDefault="00B63F18" w:rsidP="00B63F18">
            <w:pPr>
              <w:ind w:left="927"/>
              <w:rPr>
                <w:rFonts w:ascii="Arial" w:hAnsi="Arial" w:cs="Arial"/>
              </w:rPr>
            </w:pPr>
            <w:r w:rsidRPr="00B63F18">
              <w:rPr>
                <w:rFonts w:ascii="Arial" w:hAnsi="Arial" w:cs="Arial"/>
              </w:rPr>
              <w:t>Larry Tompkins</w:t>
            </w:r>
          </w:p>
        </w:tc>
      </w:tr>
      <w:tr w:rsidR="00B63F18" w:rsidTr="00B63F18">
        <w:tc>
          <w:tcPr>
            <w:tcW w:w="3468" w:type="dxa"/>
            <w:hideMark/>
          </w:tcPr>
          <w:p w:rsidR="00B63F18" w:rsidRPr="00B63F18" w:rsidRDefault="00B63F18">
            <w:pPr>
              <w:rPr>
                <w:rFonts w:ascii="Arial" w:hAnsi="Arial" w:cs="Arial"/>
              </w:rPr>
            </w:pPr>
            <w:r w:rsidRPr="00B63F18">
              <w:rPr>
                <w:rFonts w:ascii="Arial" w:hAnsi="Arial" w:cs="Arial"/>
              </w:rPr>
              <w:t>Applicant:</w:t>
            </w:r>
          </w:p>
        </w:tc>
        <w:tc>
          <w:tcPr>
            <w:tcW w:w="6600" w:type="dxa"/>
            <w:hideMark/>
          </w:tcPr>
          <w:p w:rsidR="00B63F18" w:rsidRPr="00B63F18" w:rsidRDefault="00B63F18" w:rsidP="00B63F18">
            <w:pPr>
              <w:ind w:left="927"/>
              <w:rPr>
                <w:rFonts w:ascii="Arial" w:hAnsi="Arial" w:cs="Arial"/>
              </w:rPr>
            </w:pPr>
            <w:r w:rsidRPr="00B63F18">
              <w:rPr>
                <w:rFonts w:ascii="Arial" w:hAnsi="Arial" w:cs="Arial"/>
              </w:rPr>
              <w:t xml:space="preserve">Ed </w:t>
            </w:r>
            <w:r>
              <w:rPr>
                <w:rFonts w:ascii="Arial" w:hAnsi="Arial" w:cs="Arial"/>
              </w:rPr>
              <w:t>and</w:t>
            </w:r>
            <w:r w:rsidRPr="00B63F18">
              <w:rPr>
                <w:rFonts w:ascii="Arial" w:hAnsi="Arial" w:cs="Arial"/>
              </w:rPr>
              <w:t xml:space="preserve"> Marilyn Roberts</w:t>
            </w:r>
          </w:p>
        </w:tc>
      </w:tr>
      <w:tr w:rsidR="00B63F18" w:rsidTr="00B63F18">
        <w:tc>
          <w:tcPr>
            <w:tcW w:w="3468" w:type="dxa"/>
            <w:hideMark/>
          </w:tcPr>
          <w:p w:rsidR="00B63F18" w:rsidRPr="00B63F18" w:rsidRDefault="00B63F18">
            <w:pPr>
              <w:rPr>
                <w:rFonts w:ascii="Arial" w:hAnsi="Arial" w:cs="Arial"/>
              </w:rPr>
            </w:pPr>
            <w:r w:rsidRPr="00B63F18">
              <w:rPr>
                <w:rFonts w:ascii="Arial" w:hAnsi="Arial" w:cs="Arial"/>
              </w:rPr>
              <w:t xml:space="preserve">Subject: </w:t>
            </w:r>
          </w:p>
        </w:tc>
        <w:tc>
          <w:tcPr>
            <w:tcW w:w="6600" w:type="dxa"/>
            <w:hideMark/>
          </w:tcPr>
          <w:p w:rsidR="00B63F18" w:rsidRPr="00B63F18" w:rsidRDefault="00B63F18" w:rsidP="00B63F18">
            <w:pPr>
              <w:ind w:left="927"/>
              <w:rPr>
                <w:rFonts w:ascii="Arial" w:hAnsi="Arial" w:cs="Arial"/>
              </w:rPr>
            </w:pPr>
            <w:r w:rsidRPr="00B63F18">
              <w:rPr>
                <w:rFonts w:ascii="Arial" w:hAnsi="Arial" w:cs="Arial"/>
              </w:rPr>
              <w:t>Minor Variance</w:t>
            </w:r>
          </w:p>
        </w:tc>
      </w:tr>
      <w:tr w:rsidR="00B63F18" w:rsidTr="00B63F18">
        <w:tc>
          <w:tcPr>
            <w:tcW w:w="3468" w:type="dxa"/>
            <w:hideMark/>
          </w:tcPr>
          <w:p w:rsidR="00B63F18" w:rsidRPr="00B63F18" w:rsidRDefault="00B63F18">
            <w:pPr>
              <w:rPr>
                <w:rFonts w:ascii="Arial" w:hAnsi="Arial" w:cs="Arial"/>
              </w:rPr>
            </w:pPr>
            <w:r w:rsidRPr="00B63F18">
              <w:rPr>
                <w:rFonts w:ascii="Arial" w:hAnsi="Arial" w:cs="Arial"/>
              </w:rPr>
              <w:t xml:space="preserve">Variance from By-law No.: </w:t>
            </w:r>
          </w:p>
        </w:tc>
        <w:tc>
          <w:tcPr>
            <w:tcW w:w="6600" w:type="dxa"/>
            <w:hideMark/>
          </w:tcPr>
          <w:p w:rsidR="00B63F18" w:rsidRPr="00B63F18" w:rsidRDefault="00B63F18" w:rsidP="00B63F18">
            <w:pPr>
              <w:ind w:left="927"/>
              <w:rPr>
                <w:rFonts w:ascii="Arial" w:hAnsi="Arial" w:cs="Arial"/>
              </w:rPr>
            </w:pPr>
            <w:r w:rsidRPr="00B63F18">
              <w:rPr>
                <w:rFonts w:ascii="Arial" w:hAnsi="Arial" w:cs="Arial"/>
              </w:rPr>
              <w:t>Zoning By-law 06-10</w:t>
            </w:r>
          </w:p>
        </w:tc>
      </w:tr>
      <w:tr w:rsidR="00B63F18" w:rsidTr="00B63F18">
        <w:tc>
          <w:tcPr>
            <w:tcW w:w="3468" w:type="dxa"/>
            <w:hideMark/>
          </w:tcPr>
          <w:p w:rsidR="00B63F18" w:rsidRPr="00B63F18" w:rsidRDefault="00B63F18">
            <w:pPr>
              <w:rPr>
                <w:rFonts w:ascii="Arial" w:hAnsi="Arial" w:cs="Arial"/>
              </w:rPr>
            </w:pPr>
            <w:r w:rsidRPr="00B63F18">
              <w:rPr>
                <w:rFonts w:ascii="Arial" w:hAnsi="Arial" w:cs="Arial"/>
              </w:rPr>
              <w:t>Property Address/Description:</w:t>
            </w:r>
          </w:p>
        </w:tc>
        <w:tc>
          <w:tcPr>
            <w:tcW w:w="6600" w:type="dxa"/>
            <w:hideMark/>
          </w:tcPr>
          <w:p w:rsidR="00B63F18" w:rsidRPr="00B63F18" w:rsidRDefault="00B63F18" w:rsidP="00B63F18">
            <w:pPr>
              <w:ind w:left="927"/>
              <w:rPr>
                <w:rFonts w:ascii="Arial" w:hAnsi="Arial" w:cs="Arial"/>
              </w:rPr>
            </w:pPr>
            <w:r w:rsidRPr="00B63F18">
              <w:rPr>
                <w:rFonts w:ascii="Arial" w:hAnsi="Arial" w:cs="Arial"/>
              </w:rPr>
              <w:t xml:space="preserve">1221 </w:t>
            </w:r>
            <w:proofErr w:type="spellStart"/>
            <w:r w:rsidRPr="00B63F18">
              <w:rPr>
                <w:rFonts w:ascii="Arial" w:hAnsi="Arial" w:cs="Arial"/>
              </w:rPr>
              <w:t>Maebar</w:t>
            </w:r>
            <w:proofErr w:type="spellEnd"/>
            <w:r w:rsidRPr="00B63F18">
              <w:rPr>
                <w:rFonts w:ascii="Arial" w:hAnsi="Arial" w:cs="Arial"/>
              </w:rPr>
              <w:t xml:space="preserve"> Road</w:t>
            </w:r>
          </w:p>
        </w:tc>
      </w:tr>
      <w:tr w:rsidR="00B63F18" w:rsidTr="00B63F18">
        <w:tc>
          <w:tcPr>
            <w:tcW w:w="3468" w:type="dxa"/>
            <w:hideMark/>
          </w:tcPr>
          <w:p w:rsidR="00B63F18" w:rsidRPr="00B63F18" w:rsidRDefault="00B63F18">
            <w:pPr>
              <w:rPr>
                <w:rFonts w:ascii="Arial" w:hAnsi="Arial" w:cs="Arial"/>
              </w:rPr>
            </w:pPr>
            <w:r w:rsidRPr="00B63F18">
              <w:rPr>
                <w:rFonts w:ascii="Arial" w:hAnsi="Arial" w:cs="Arial"/>
              </w:rPr>
              <w:t xml:space="preserve">Municipality: </w:t>
            </w:r>
          </w:p>
        </w:tc>
        <w:tc>
          <w:tcPr>
            <w:tcW w:w="6600" w:type="dxa"/>
            <w:hideMark/>
          </w:tcPr>
          <w:p w:rsidR="00B63F18" w:rsidRPr="00B63F18" w:rsidRDefault="00B63F18" w:rsidP="00B63F18">
            <w:pPr>
              <w:ind w:left="927"/>
              <w:rPr>
                <w:rFonts w:ascii="Arial" w:hAnsi="Arial" w:cs="Arial"/>
              </w:rPr>
            </w:pPr>
            <w:bookmarkStart w:id="1" w:name="_GoBack"/>
            <w:r w:rsidRPr="00B63F18">
              <w:rPr>
                <w:rFonts w:ascii="Arial" w:hAnsi="Arial" w:cs="Arial"/>
              </w:rPr>
              <w:t>Township of Minden Hills</w:t>
            </w:r>
            <w:bookmarkEnd w:id="1"/>
          </w:p>
        </w:tc>
      </w:tr>
      <w:tr w:rsidR="00B63F18" w:rsidTr="00B63F18">
        <w:tc>
          <w:tcPr>
            <w:tcW w:w="3468" w:type="dxa"/>
            <w:hideMark/>
          </w:tcPr>
          <w:p w:rsidR="00B63F18" w:rsidRPr="00B63F18" w:rsidRDefault="00B63F18">
            <w:pPr>
              <w:rPr>
                <w:rFonts w:ascii="Arial" w:hAnsi="Arial" w:cs="Arial"/>
              </w:rPr>
            </w:pPr>
            <w:r w:rsidRPr="00B63F18">
              <w:rPr>
                <w:rFonts w:ascii="Arial" w:hAnsi="Arial" w:cs="Arial"/>
              </w:rPr>
              <w:t xml:space="preserve">Municipal File No.: </w:t>
            </w:r>
          </w:p>
        </w:tc>
        <w:tc>
          <w:tcPr>
            <w:tcW w:w="6600" w:type="dxa"/>
            <w:hideMark/>
          </w:tcPr>
          <w:p w:rsidR="00B63F18" w:rsidRPr="00B63F18" w:rsidRDefault="00B63F18" w:rsidP="00B63F18">
            <w:pPr>
              <w:ind w:left="927"/>
              <w:rPr>
                <w:rFonts w:ascii="Arial" w:hAnsi="Arial" w:cs="Arial"/>
              </w:rPr>
            </w:pPr>
            <w:r w:rsidRPr="00B63F18">
              <w:rPr>
                <w:rFonts w:ascii="Arial" w:hAnsi="Arial" w:cs="Arial"/>
              </w:rPr>
              <w:t>PLMV2018058</w:t>
            </w:r>
          </w:p>
        </w:tc>
      </w:tr>
      <w:tr w:rsidR="00B63F18" w:rsidTr="00B63F18">
        <w:tc>
          <w:tcPr>
            <w:tcW w:w="3468" w:type="dxa"/>
            <w:hideMark/>
          </w:tcPr>
          <w:p w:rsidR="00B63F18" w:rsidRPr="00B63F18" w:rsidRDefault="00B63F18">
            <w:pPr>
              <w:rPr>
                <w:rFonts w:ascii="Arial" w:hAnsi="Arial" w:cs="Arial"/>
              </w:rPr>
            </w:pPr>
            <w:r w:rsidRPr="00B63F18">
              <w:rPr>
                <w:rFonts w:ascii="Arial" w:hAnsi="Arial" w:cs="Arial"/>
              </w:rPr>
              <w:t xml:space="preserve">LPAT Case No.: </w:t>
            </w:r>
          </w:p>
        </w:tc>
        <w:tc>
          <w:tcPr>
            <w:tcW w:w="6600" w:type="dxa"/>
            <w:hideMark/>
          </w:tcPr>
          <w:p w:rsidR="00B63F18" w:rsidRPr="00B63F18" w:rsidRDefault="00B63F18" w:rsidP="00B63F18">
            <w:pPr>
              <w:ind w:left="927"/>
              <w:rPr>
                <w:rFonts w:ascii="Arial" w:hAnsi="Arial" w:cs="Arial"/>
              </w:rPr>
            </w:pPr>
            <w:r w:rsidRPr="00B63F18">
              <w:rPr>
                <w:rFonts w:ascii="Arial" w:hAnsi="Arial" w:cs="Arial"/>
              </w:rPr>
              <w:t>PL180878</w:t>
            </w:r>
          </w:p>
        </w:tc>
      </w:tr>
      <w:tr w:rsidR="00B63F18" w:rsidTr="00B63F18">
        <w:tc>
          <w:tcPr>
            <w:tcW w:w="3468" w:type="dxa"/>
            <w:hideMark/>
          </w:tcPr>
          <w:p w:rsidR="00B63F18" w:rsidRPr="00B63F18" w:rsidRDefault="00B63F18">
            <w:pPr>
              <w:rPr>
                <w:rFonts w:ascii="Arial" w:hAnsi="Arial" w:cs="Arial"/>
              </w:rPr>
            </w:pPr>
            <w:r w:rsidRPr="00B63F18">
              <w:rPr>
                <w:rFonts w:ascii="Arial" w:hAnsi="Arial" w:cs="Arial"/>
              </w:rPr>
              <w:t xml:space="preserve">LPAT File No.: </w:t>
            </w:r>
          </w:p>
        </w:tc>
        <w:tc>
          <w:tcPr>
            <w:tcW w:w="6600" w:type="dxa"/>
            <w:hideMark/>
          </w:tcPr>
          <w:p w:rsidR="00B63F18" w:rsidRPr="00B63F18" w:rsidRDefault="00B63F18" w:rsidP="00B63F18">
            <w:pPr>
              <w:ind w:left="927"/>
              <w:rPr>
                <w:rFonts w:ascii="Arial" w:hAnsi="Arial" w:cs="Arial"/>
              </w:rPr>
            </w:pPr>
            <w:r w:rsidRPr="00B63F18">
              <w:rPr>
                <w:rFonts w:ascii="Arial" w:hAnsi="Arial" w:cs="Arial"/>
              </w:rPr>
              <w:t>PL180878</w:t>
            </w:r>
          </w:p>
        </w:tc>
      </w:tr>
      <w:tr w:rsidR="00B63F18" w:rsidTr="00B63F18">
        <w:tc>
          <w:tcPr>
            <w:tcW w:w="3468" w:type="dxa"/>
            <w:hideMark/>
          </w:tcPr>
          <w:p w:rsidR="00B63F18" w:rsidRPr="00B63F18" w:rsidRDefault="00B63F18">
            <w:pPr>
              <w:rPr>
                <w:rFonts w:ascii="Arial" w:hAnsi="Arial" w:cs="Arial"/>
              </w:rPr>
            </w:pPr>
            <w:r w:rsidRPr="00B63F18">
              <w:rPr>
                <w:rFonts w:ascii="Arial" w:hAnsi="Arial" w:cs="Arial"/>
              </w:rPr>
              <w:t xml:space="preserve">LPAT Case Name: </w:t>
            </w:r>
          </w:p>
        </w:tc>
        <w:tc>
          <w:tcPr>
            <w:tcW w:w="6600" w:type="dxa"/>
            <w:hideMark/>
          </w:tcPr>
          <w:p w:rsidR="00B63F18" w:rsidRPr="00B63F18" w:rsidRDefault="00B63F18" w:rsidP="00B63F18">
            <w:pPr>
              <w:ind w:left="927"/>
              <w:rPr>
                <w:rFonts w:ascii="Arial" w:hAnsi="Arial" w:cs="Arial"/>
              </w:rPr>
            </w:pPr>
            <w:r w:rsidRPr="00B63F18">
              <w:rPr>
                <w:rFonts w:ascii="Arial" w:hAnsi="Arial" w:cs="Arial"/>
              </w:rPr>
              <w:t>Larry Tompkins v. Minden Hills (Township)</w:t>
            </w:r>
          </w:p>
        </w:tc>
      </w:tr>
    </w:tbl>
    <w:p w:rsidR="00F46275" w:rsidRPr="00B63F18" w:rsidRDefault="00F46275" w:rsidP="00270AAE">
      <w:pPr>
        <w:rPr>
          <w:rFonts w:ascii="Arial" w:hAnsi="Arial" w:cs="Arial"/>
          <w:lang w:val="en-CA"/>
        </w:rPr>
      </w:pPr>
    </w:p>
    <w:p w:rsidR="006F6F82" w:rsidRPr="001D67CE" w:rsidRDefault="006F6F82" w:rsidP="00270AAE">
      <w:pPr>
        <w:rPr>
          <w:rFonts w:ascii="Arial" w:hAnsi="Arial" w:cs="Arial"/>
        </w:rPr>
      </w:pPr>
    </w:p>
    <w:p w:rsidR="00B268A7" w:rsidRPr="001E764F" w:rsidRDefault="00B268A7" w:rsidP="00270AAE">
      <w:pPr>
        <w:rPr>
          <w:rFonts w:ascii="Arial" w:hAnsi="Arial" w:cs="Arial"/>
        </w:rPr>
      </w:pPr>
    </w:p>
    <w:tbl>
      <w:tblPr>
        <w:tblpPr w:leftFromText="180" w:rightFromText="180" w:vertAnchor="text" w:horzAnchor="margin" w:tblpY="-70"/>
        <w:tblW w:w="9576" w:type="dxa"/>
        <w:tblLook w:val="0000" w:firstRow="0" w:lastRow="0" w:firstColumn="0" w:lastColumn="0" w:noHBand="0" w:noVBand="0"/>
      </w:tblPr>
      <w:tblGrid>
        <w:gridCol w:w="4338"/>
        <w:gridCol w:w="5238"/>
      </w:tblGrid>
      <w:tr w:rsidR="00B268A7" w:rsidRPr="001E764F" w:rsidTr="00B63F18">
        <w:tc>
          <w:tcPr>
            <w:tcW w:w="4338" w:type="dxa"/>
          </w:tcPr>
          <w:p w:rsidR="00B268A7" w:rsidRPr="00C940BC" w:rsidRDefault="00B268A7" w:rsidP="00270AAE">
            <w:pPr>
              <w:rPr>
                <w:rFonts w:ascii="Arial" w:hAnsi="Arial" w:cs="Arial"/>
              </w:rPr>
            </w:pPr>
            <w:r w:rsidRPr="001E764F">
              <w:rPr>
                <w:rFonts w:ascii="Arial" w:hAnsi="Arial" w:cs="Arial"/>
                <w:b/>
              </w:rPr>
              <w:t>Heard:</w:t>
            </w:r>
          </w:p>
        </w:tc>
        <w:tc>
          <w:tcPr>
            <w:tcW w:w="5238" w:type="dxa"/>
          </w:tcPr>
          <w:p w:rsidR="00B268A7" w:rsidRPr="001E764F" w:rsidRDefault="001C050F" w:rsidP="00B63F18">
            <w:pPr>
              <w:rPr>
                <w:rFonts w:ascii="Arial" w:hAnsi="Arial" w:cs="Arial"/>
              </w:rPr>
            </w:pPr>
            <w:r>
              <w:rPr>
                <w:rFonts w:ascii="Arial" w:hAnsi="Arial" w:cs="Arial"/>
              </w:rPr>
              <w:t xml:space="preserve">May 3, 2019 by </w:t>
            </w:r>
            <w:r w:rsidR="00B63F18">
              <w:rPr>
                <w:rFonts w:ascii="Arial" w:hAnsi="Arial" w:cs="Arial"/>
              </w:rPr>
              <w:t>t</w:t>
            </w:r>
            <w:r>
              <w:rPr>
                <w:rFonts w:ascii="Arial" w:hAnsi="Arial" w:cs="Arial"/>
              </w:rPr>
              <w:t xml:space="preserve">elephone </w:t>
            </w:r>
            <w:r w:rsidR="00B63F18">
              <w:rPr>
                <w:rFonts w:ascii="Arial" w:hAnsi="Arial" w:cs="Arial"/>
              </w:rPr>
              <w:t>c</w:t>
            </w:r>
            <w:r>
              <w:rPr>
                <w:rFonts w:ascii="Arial" w:hAnsi="Arial" w:cs="Arial"/>
              </w:rPr>
              <w:t xml:space="preserve">onference </w:t>
            </w:r>
            <w:r w:rsidR="00B63F18">
              <w:rPr>
                <w:rFonts w:ascii="Arial" w:hAnsi="Arial" w:cs="Arial"/>
              </w:rPr>
              <w:t>c</w:t>
            </w:r>
            <w:r>
              <w:rPr>
                <w:rFonts w:ascii="Arial" w:hAnsi="Arial" w:cs="Arial"/>
              </w:rPr>
              <w:t xml:space="preserve">all </w:t>
            </w:r>
          </w:p>
        </w:tc>
      </w:tr>
    </w:tbl>
    <w:p w:rsidR="00B268A7" w:rsidRPr="001E764F" w:rsidRDefault="00B268A7" w:rsidP="00270AAE">
      <w:pPr>
        <w:rPr>
          <w:rFonts w:ascii="Arial" w:hAnsi="Arial" w:cs="Arial"/>
        </w:rPr>
      </w:pPr>
    </w:p>
    <w:tbl>
      <w:tblPr>
        <w:tblW w:w="9606" w:type="dxa"/>
        <w:tblLook w:val="0000" w:firstRow="0" w:lastRow="0" w:firstColumn="0" w:lastColumn="0" w:noHBand="0" w:noVBand="0"/>
      </w:tblPr>
      <w:tblGrid>
        <w:gridCol w:w="4361"/>
        <w:gridCol w:w="5245"/>
      </w:tblGrid>
      <w:tr w:rsidR="0089782A" w:rsidRPr="001E764F" w:rsidTr="00B63F18">
        <w:tc>
          <w:tcPr>
            <w:tcW w:w="4361" w:type="dxa"/>
          </w:tcPr>
          <w:bookmarkEnd w:id="0"/>
          <w:p w:rsidR="0089782A" w:rsidRPr="00C940BC" w:rsidRDefault="0089782A" w:rsidP="00270AAE">
            <w:pPr>
              <w:rPr>
                <w:rFonts w:ascii="Arial" w:hAnsi="Arial" w:cs="Arial"/>
              </w:rPr>
            </w:pPr>
            <w:r w:rsidRPr="001E764F">
              <w:rPr>
                <w:rFonts w:ascii="Arial" w:hAnsi="Arial" w:cs="Arial"/>
                <w:b/>
              </w:rPr>
              <w:t>APPEARANCES:</w:t>
            </w:r>
          </w:p>
        </w:tc>
        <w:tc>
          <w:tcPr>
            <w:tcW w:w="5245" w:type="dxa"/>
          </w:tcPr>
          <w:p w:rsidR="0089782A" w:rsidRPr="001E764F" w:rsidRDefault="0089782A" w:rsidP="00270AAE">
            <w:pPr>
              <w:rPr>
                <w:rFonts w:ascii="Arial" w:hAnsi="Arial" w:cs="Arial"/>
              </w:rPr>
            </w:pPr>
          </w:p>
        </w:tc>
      </w:tr>
      <w:tr w:rsidR="0089782A" w:rsidRPr="001E764F" w:rsidTr="00B63F18">
        <w:tc>
          <w:tcPr>
            <w:tcW w:w="4361" w:type="dxa"/>
          </w:tcPr>
          <w:p w:rsidR="0089782A" w:rsidRPr="001E764F" w:rsidRDefault="0089782A" w:rsidP="00270AAE">
            <w:pPr>
              <w:rPr>
                <w:rFonts w:ascii="Arial" w:hAnsi="Arial" w:cs="Arial"/>
              </w:rPr>
            </w:pPr>
          </w:p>
        </w:tc>
        <w:tc>
          <w:tcPr>
            <w:tcW w:w="5245" w:type="dxa"/>
          </w:tcPr>
          <w:p w:rsidR="0089782A" w:rsidRPr="001E764F" w:rsidRDefault="0089782A" w:rsidP="00270AAE">
            <w:pPr>
              <w:rPr>
                <w:rFonts w:ascii="Arial" w:hAnsi="Arial" w:cs="Arial"/>
              </w:rPr>
            </w:pPr>
          </w:p>
        </w:tc>
      </w:tr>
      <w:tr w:rsidR="008046EB" w:rsidRPr="001E764F" w:rsidTr="00B63F18">
        <w:tc>
          <w:tcPr>
            <w:tcW w:w="4361" w:type="dxa"/>
          </w:tcPr>
          <w:p w:rsidR="008046EB" w:rsidRPr="00C940BC" w:rsidRDefault="008046EB" w:rsidP="00270AAE">
            <w:pPr>
              <w:rPr>
                <w:rFonts w:ascii="Arial" w:hAnsi="Arial" w:cs="Arial"/>
              </w:rPr>
            </w:pPr>
            <w:bookmarkStart w:id="2" w:name="Parties"/>
            <w:r w:rsidRPr="00C300F2">
              <w:rPr>
                <w:rFonts w:ascii="Arial" w:hAnsi="Arial" w:cs="Arial"/>
                <w:b/>
                <w:u w:val="single"/>
              </w:rPr>
              <w:t>Parties</w:t>
            </w:r>
            <w:bookmarkEnd w:id="2"/>
          </w:p>
        </w:tc>
        <w:tc>
          <w:tcPr>
            <w:tcW w:w="5245" w:type="dxa"/>
          </w:tcPr>
          <w:p w:rsidR="008046EB" w:rsidRPr="00C940BC" w:rsidRDefault="009333AA" w:rsidP="00270AAE">
            <w:pPr>
              <w:rPr>
                <w:rFonts w:ascii="Arial" w:hAnsi="Arial" w:cs="Arial"/>
              </w:rPr>
            </w:pPr>
            <w:r w:rsidRPr="00C300F2">
              <w:rPr>
                <w:rFonts w:ascii="Arial" w:hAnsi="Arial" w:cs="Arial"/>
                <w:b/>
                <w:u w:val="single"/>
              </w:rPr>
              <w:t>Representative</w:t>
            </w:r>
          </w:p>
        </w:tc>
      </w:tr>
      <w:tr w:rsidR="00B63F18" w:rsidRPr="001E764F" w:rsidTr="00B63F18">
        <w:tc>
          <w:tcPr>
            <w:tcW w:w="4361" w:type="dxa"/>
          </w:tcPr>
          <w:p w:rsidR="00B63F18" w:rsidRPr="00C300F2" w:rsidRDefault="00B63F18" w:rsidP="00270AAE">
            <w:pPr>
              <w:rPr>
                <w:rFonts w:ascii="Arial" w:hAnsi="Arial" w:cs="Arial"/>
                <w:b/>
                <w:u w:val="single"/>
              </w:rPr>
            </w:pPr>
          </w:p>
        </w:tc>
        <w:tc>
          <w:tcPr>
            <w:tcW w:w="5245" w:type="dxa"/>
          </w:tcPr>
          <w:p w:rsidR="00B63F18" w:rsidRPr="00C300F2" w:rsidRDefault="00B63F18" w:rsidP="00270AAE">
            <w:pPr>
              <w:rPr>
                <w:rFonts w:ascii="Arial" w:hAnsi="Arial" w:cs="Arial"/>
                <w:b/>
                <w:u w:val="single"/>
              </w:rPr>
            </w:pPr>
          </w:p>
        </w:tc>
      </w:tr>
      <w:tr w:rsidR="00CF3F96" w:rsidRPr="001E764F" w:rsidTr="00B63F18">
        <w:tc>
          <w:tcPr>
            <w:tcW w:w="4361" w:type="dxa"/>
          </w:tcPr>
          <w:p w:rsidR="00CF3F96" w:rsidRPr="001E764F" w:rsidRDefault="001C050F" w:rsidP="00270AAE">
            <w:pPr>
              <w:rPr>
                <w:rFonts w:ascii="Arial" w:hAnsi="Arial" w:cs="Arial"/>
              </w:rPr>
            </w:pPr>
            <w:r>
              <w:rPr>
                <w:rFonts w:ascii="Arial" w:hAnsi="Arial" w:cs="Arial"/>
              </w:rPr>
              <w:t>Larry Tompkins</w:t>
            </w:r>
          </w:p>
        </w:tc>
        <w:tc>
          <w:tcPr>
            <w:tcW w:w="5245" w:type="dxa"/>
          </w:tcPr>
          <w:p w:rsidR="00CF3F96" w:rsidRPr="001D67CE" w:rsidRDefault="001C050F" w:rsidP="00270AAE">
            <w:pPr>
              <w:rPr>
                <w:rFonts w:ascii="Arial" w:hAnsi="Arial" w:cs="Arial"/>
              </w:rPr>
            </w:pPr>
            <w:r>
              <w:rPr>
                <w:rFonts w:ascii="Arial" w:hAnsi="Arial" w:cs="Arial"/>
              </w:rPr>
              <w:t xml:space="preserve">Self-represented </w:t>
            </w:r>
          </w:p>
        </w:tc>
      </w:tr>
      <w:tr w:rsidR="00B63F18" w:rsidRPr="001E764F" w:rsidTr="00B63F18">
        <w:tc>
          <w:tcPr>
            <w:tcW w:w="4361" w:type="dxa"/>
          </w:tcPr>
          <w:p w:rsidR="00B63F18" w:rsidRDefault="00B63F18" w:rsidP="00270AAE">
            <w:pPr>
              <w:rPr>
                <w:rFonts w:ascii="Arial" w:hAnsi="Arial" w:cs="Arial"/>
              </w:rPr>
            </w:pPr>
          </w:p>
        </w:tc>
        <w:tc>
          <w:tcPr>
            <w:tcW w:w="5245" w:type="dxa"/>
          </w:tcPr>
          <w:p w:rsidR="00B63F18" w:rsidRDefault="00B63F18" w:rsidP="00270AAE">
            <w:pPr>
              <w:rPr>
                <w:rFonts w:ascii="Arial" w:hAnsi="Arial" w:cs="Arial"/>
              </w:rPr>
            </w:pPr>
          </w:p>
        </w:tc>
      </w:tr>
      <w:tr w:rsidR="001C050F" w:rsidRPr="001E764F" w:rsidTr="00B63F18">
        <w:tc>
          <w:tcPr>
            <w:tcW w:w="4361" w:type="dxa"/>
          </w:tcPr>
          <w:p w:rsidR="001C050F" w:rsidRPr="001E764F" w:rsidRDefault="001C050F" w:rsidP="00270AAE">
            <w:pPr>
              <w:rPr>
                <w:rFonts w:ascii="Arial" w:hAnsi="Arial" w:cs="Arial"/>
              </w:rPr>
            </w:pPr>
            <w:r>
              <w:rPr>
                <w:rFonts w:ascii="Arial" w:hAnsi="Arial" w:cs="Arial"/>
              </w:rPr>
              <w:t xml:space="preserve">Ed </w:t>
            </w:r>
            <w:r w:rsidR="00B63F18">
              <w:rPr>
                <w:rFonts w:ascii="Arial" w:hAnsi="Arial" w:cs="Arial"/>
              </w:rPr>
              <w:t xml:space="preserve">and Marilyn </w:t>
            </w:r>
            <w:r>
              <w:rPr>
                <w:rFonts w:ascii="Arial" w:hAnsi="Arial" w:cs="Arial"/>
              </w:rPr>
              <w:t xml:space="preserve">Roberts </w:t>
            </w:r>
          </w:p>
        </w:tc>
        <w:tc>
          <w:tcPr>
            <w:tcW w:w="5245" w:type="dxa"/>
          </w:tcPr>
          <w:p w:rsidR="001C050F" w:rsidRPr="001D67CE" w:rsidRDefault="002751B8" w:rsidP="002751B8">
            <w:pPr>
              <w:rPr>
                <w:rFonts w:ascii="Arial" w:hAnsi="Arial" w:cs="Arial"/>
              </w:rPr>
            </w:pPr>
            <w:r>
              <w:rPr>
                <w:rFonts w:ascii="Arial" w:hAnsi="Arial" w:cs="Arial"/>
              </w:rPr>
              <w:t xml:space="preserve">Ed Roberts </w:t>
            </w:r>
            <w:r w:rsidR="001C050F">
              <w:rPr>
                <w:rFonts w:ascii="Arial" w:hAnsi="Arial" w:cs="Arial"/>
              </w:rPr>
              <w:t xml:space="preserve"> </w:t>
            </w:r>
          </w:p>
        </w:tc>
      </w:tr>
    </w:tbl>
    <w:p w:rsidR="0026320F" w:rsidRDefault="0026320F" w:rsidP="00270AAE">
      <w:pPr>
        <w:rPr>
          <w:rFonts w:ascii="Arial" w:hAnsi="Arial" w:cs="Arial"/>
        </w:rPr>
      </w:pPr>
    </w:p>
    <w:p w:rsidR="00935095" w:rsidRDefault="00935095" w:rsidP="00270AAE">
      <w:pPr>
        <w:rPr>
          <w:rFonts w:ascii="Arial" w:hAnsi="Arial" w:cs="Arial"/>
        </w:rPr>
      </w:pPr>
    </w:p>
    <w:p w:rsidR="00935095" w:rsidRPr="00C940BC" w:rsidRDefault="001C050F" w:rsidP="0027284D">
      <w:pPr>
        <w:pStyle w:val="DecisionDeliveredby"/>
      </w:pPr>
      <w:r>
        <w:t xml:space="preserve">MEMORANDUM OF ORAL </w:t>
      </w:r>
      <w:r w:rsidR="00935095" w:rsidRPr="005A767F">
        <w:t xml:space="preserve">DECISION DELIVERED BY </w:t>
      </w:r>
      <w:r>
        <w:t xml:space="preserve">THOMAS HODGINS ON MAY 3, 2019 AND ORDER OF THE TRIBUNAL </w:t>
      </w:r>
    </w:p>
    <w:p w:rsidR="00B63F18" w:rsidRDefault="00B63F18">
      <w:pPr>
        <w:rPr>
          <w:rFonts w:ascii="Arial" w:hAnsi="Arial"/>
          <w:b/>
          <w:bCs/>
          <w:caps/>
          <w:lang w:val="en-CA"/>
        </w:rPr>
      </w:pPr>
      <w:r>
        <w:br w:type="page"/>
      </w:r>
    </w:p>
    <w:p w:rsidR="00935095" w:rsidRDefault="00935095" w:rsidP="00AC548D">
      <w:pPr>
        <w:pStyle w:val="Heading1"/>
      </w:pPr>
      <w:r w:rsidRPr="00AC548D">
        <w:lastRenderedPageBreak/>
        <w:t>INTRODUCTION</w:t>
      </w:r>
    </w:p>
    <w:p w:rsidR="00B63F18" w:rsidRPr="00B63F18" w:rsidRDefault="00B63F18" w:rsidP="00B63F18">
      <w:pPr>
        <w:rPr>
          <w:lang w:val="en-CA"/>
        </w:rPr>
      </w:pPr>
    </w:p>
    <w:p w:rsidR="00935095" w:rsidRPr="00B63F18" w:rsidRDefault="00B63F18" w:rsidP="00AC548D">
      <w:pPr>
        <w:pStyle w:val="Heading1"/>
      </w:pPr>
      <w:r>
        <w:rPr>
          <w:caps w:val="0"/>
        </w:rPr>
        <w:t>Disposition</w:t>
      </w:r>
    </w:p>
    <w:p w:rsidR="001C050F" w:rsidRDefault="001C050F" w:rsidP="001C050F">
      <w:pPr>
        <w:pStyle w:val="DecisionBody"/>
        <w:numPr>
          <w:ilvl w:val="0"/>
          <w:numId w:val="11"/>
        </w:numPr>
        <w:spacing w:beforeLines="150" w:before="360" w:afterLines="150" w:after="360"/>
        <w:ind w:left="0" w:firstLine="0"/>
      </w:pPr>
      <w:r>
        <w:t>After considering the evidence and submissions, the Tribunal allows the Appeal in part and authorizes the variance subject to conditions.</w:t>
      </w:r>
    </w:p>
    <w:p w:rsidR="001C050F" w:rsidRDefault="001C050F" w:rsidP="001C050F">
      <w:pPr>
        <w:pStyle w:val="DecisionBody"/>
        <w:numPr>
          <w:ilvl w:val="0"/>
          <w:numId w:val="0"/>
        </w:numPr>
        <w:spacing w:beforeLines="150" w:before="360" w:afterLines="150" w:after="360"/>
      </w:pPr>
      <w:r w:rsidRPr="00154A1C">
        <w:rPr>
          <w:b/>
        </w:rPr>
        <w:t>Background</w:t>
      </w:r>
    </w:p>
    <w:p w:rsidR="001E4280" w:rsidRDefault="001C050F" w:rsidP="001C050F">
      <w:pPr>
        <w:pStyle w:val="DecisionBody"/>
        <w:numPr>
          <w:ilvl w:val="0"/>
          <w:numId w:val="11"/>
        </w:numPr>
        <w:spacing w:beforeLines="150" w:before="360" w:afterLines="150" w:after="360"/>
        <w:ind w:left="0" w:firstLine="0"/>
      </w:pPr>
      <w:r>
        <w:t>Ed and Marilyn Roberts (</w:t>
      </w:r>
      <w:r w:rsidRPr="006D3257">
        <w:t>“App</w:t>
      </w:r>
      <w:r>
        <w:t>licants</w:t>
      </w:r>
      <w:r w:rsidR="00A33D9C">
        <w:t>”</w:t>
      </w:r>
      <w:r w:rsidRPr="006D3257">
        <w:t xml:space="preserve">) </w:t>
      </w:r>
      <w:r>
        <w:t xml:space="preserve">submitted an Application </w:t>
      </w:r>
      <w:r w:rsidRPr="006D3257">
        <w:t xml:space="preserve">to the </w:t>
      </w:r>
      <w:r>
        <w:t>Township of Minden Hills (“Township”)</w:t>
      </w:r>
      <w:r w:rsidRPr="006D3257">
        <w:t xml:space="preserve"> </w:t>
      </w:r>
      <w:r>
        <w:t>for a variance</w:t>
      </w:r>
      <w:r w:rsidRPr="006D3257">
        <w:t xml:space="preserve"> to </w:t>
      </w:r>
      <w:r w:rsidR="00B63F18">
        <w:t>s.</w:t>
      </w:r>
      <w:r>
        <w:t xml:space="preserve"> 5.2 of Zoning By-law No. 06-10 </w:t>
      </w:r>
      <w:r w:rsidR="00A33D9C">
        <w:t xml:space="preserve">(“ZBL”) </w:t>
      </w:r>
      <w:r>
        <w:t>to permit a setback of 26 m</w:t>
      </w:r>
      <w:r w:rsidR="00F217D3">
        <w:t>etres (“m”)</w:t>
      </w:r>
      <w:r>
        <w:t xml:space="preserve"> from the High Water Mark </w:t>
      </w:r>
      <w:r w:rsidR="001E4280">
        <w:t xml:space="preserve">for a new dwelling at 1221 </w:t>
      </w:r>
      <w:proofErr w:type="spellStart"/>
      <w:r w:rsidR="001E4280">
        <w:t>Maebar</w:t>
      </w:r>
      <w:proofErr w:type="spellEnd"/>
      <w:r w:rsidR="001E4280">
        <w:t xml:space="preserve"> Road (“Site”) </w:t>
      </w:r>
      <w:r>
        <w:t>whereas 30 m</w:t>
      </w:r>
      <w:r w:rsidR="001E4280">
        <w:t xml:space="preserve"> </w:t>
      </w:r>
      <w:r w:rsidR="00F217D3">
        <w:t xml:space="preserve">is required. </w:t>
      </w:r>
      <w:r w:rsidR="001E4280">
        <w:t xml:space="preserve">The Site has </w:t>
      </w:r>
      <w:r w:rsidR="00F217D3">
        <w:t>“</w:t>
      </w:r>
      <w:r w:rsidR="001E4280">
        <w:t>frontage</w:t>
      </w:r>
      <w:r w:rsidR="00F217D3">
        <w:t>”</w:t>
      </w:r>
      <w:r w:rsidR="001E4280">
        <w:t xml:space="preserve"> on Twelve Mile Lake and the new dwelling is </w:t>
      </w:r>
      <w:r w:rsidR="00F217D3">
        <w:t xml:space="preserve">intended </w:t>
      </w:r>
      <w:r w:rsidR="001E4280">
        <w:t>to replace</w:t>
      </w:r>
      <w:r>
        <w:t xml:space="preserve"> an existing dwelling, a storage building and two rental buildings.</w:t>
      </w:r>
      <w:r w:rsidR="00A33D9C">
        <w:t xml:space="preserve"> The Site is designated Rural Settlement Area in the Township’s Official Plan (“OP”) and is subject to the Waterfront policies. The Site is zoned Recreational Commercial (C3) in the ZBL.</w:t>
      </w:r>
    </w:p>
    <w:p w:rsidR="001E4280" w:rsidRDefault="001E4280" w:rsidP="001C050F">
      <w:pPr>
        <w:pStyle w:val="DecisionBody"/>
        <w:numPr>
          <w:ilvl w:val="0"/>
          <w:numId w:val="11"/>
        </w:numPr>
        <w:spacing w:beforeLines="150" w:before="360" w:afterLines="150" w:after="360"/>
        <w:ind w:left="0" w:firstLine="0"/>
      </w:pPr>
      <w:r>
        <w:t xml:space="preserve"> </w:t>
      </w:r>
      <w:r w:rsidR="001C050F">
        <w:t xml:space="preserve">The </w:t>
      </w:r>
      <w:r w:rsidR="00A33D9C">
        <w:t>Township’s Committee of Adjustment (“</w:t>
      </w:r>
      <w:r w:rsidR="001C050F">
        <w:t>COA</w:t>
      </w:r>
      <w:r w:rsidR="00A33D9C">
        <w:t>”)</w:t>
      </w:r>
      <w:r w:rsidR="001C050F">
        <w:t xml:space="preserve"> approved </w:t>
      </w:r>
      <w:r>
        <w:t xml:space="preserve">the </w:t>
      </w:r>
      <w:r w:rsidR="001C050F">
        <w:t xml:space="preserve">variance subject to </w:t>
      </w:r>
      <w:r>
        <w:t>three</w:t>
      </w:r>
      <w:r w:rsidR="001C050F">
        <w:t xml:space="preserve"> conditions</w:t>
      </w:r>
      <w:r>
        <w:t>.</w:t>
      </w:r>
    </w:p>
    <w:p w:rsidR="001C050F" w:rsidRDefault="001E4280" w:rsidP="001C050F">
      <w:pPr>
        <w:pStyle w:val="DecisionBody"/>
        <w:numPr>
          <w:ilvl w:val="0"/>
          <w:numId w:val="11"/>
        </w:numPr>
        <w:spacing w:beforeLines="150" w:before="360" w:afterLines="150" w:after="360"/>
        <w:ind w:left="0" w:firstLine="0"/>
      </w:pPr>
      <w:r>
        <w:t xml:space="preserve">Larry Tompkins </w:t>
      </w:r>
      <w:r w:rsidR="001C050F">
        <w:t xml:space="preserve">appealed the COA decision pursuant to s. 45(12) of the </w:t>
      </w:r>
      <w:r w:rsidR="001C050F" w:rsidRPr="009E331F">
        <w:rPr>
          <w:i/>
        </w:rPr>
        <w:t>Planning Act</w:t>
      </w:r>
      <w:r w:rsidR="001C050F">
        <w:t xml:space="preserve"> (“Act”). </w:t>
      </w:r>
      <w:r>
        <w:t xml:space="preserve">In his Appellant Form, Mr. Tompkins </w:t>
      </w:r>
      <w:r w:rsidR="00A33D9C">
        <w:t xml:space="preserve">indicates that the COA decision fails to conform to the OP, fails to maintain the general intent and purpose of the OP and ZBL and will set a dangerous precedent for future decisions. He </w:t>
      </w:r>
      <w:r>
        <w:t xml:space="preserve">expresses support for the </w:t>
      </w:r>
      <w:r w:rsidR="00A33D9C">
        <w:t xml:space="preserve">enforcement </w:t>
      </w:r>
      <w:r>
        <w:t xml:space="preserve">of the 30 m setback from the Lake’s High Water Mark.  </w:t>
      </w:r>
    </w:p>
    <w:p w:rsidR="001C050F" w:rsidRPr="00695DB3" w:rsidRDefault="001C050F" w:rsidP="001C050F">
      <w:pPr>
        <w:pStyle w:val="DecisionBody"/>
        <w:numPr>
          <w:ilvl w:val="0"/>
          <w:numId w:val="0"/>
        </w:numPr>
        <w:spacing w:beforeLines="150" w:before="360" w:afterLines="150" w:after="360"/>
        <w:rPr>
          <w:b/>
        </w:rPr>
      </w:pPr>
      <w:r w:rsidRPr="00695DB3">
        <w:rPr>
          <w:b/>
        </w:rPr>
        <w:t xml:space="preserve">LEGISLATIVE FRAMEWORK </w:t>
      </w:r>
    </w:p>
    <w:p w:rsidR="001C050F" w:rsidRPr="0074279A" w:rsidRDefault="001C050F" w:rsidP="001C050F">
      <w:pPr>
        <w:pStyle w:val="DecisionBody"/>
        <w:numPr>
          <w:ilvl w:val="0"/>
          <w:numId w:val="11"/>
        </w:numPr>
        <w:spacing w:beforeLines="150" w:before="360" w:afterLines="150" w:after="360"/>
        <w:ind w:left="0" w:firstLine="0"/>
      </w:pPr>
      <w:r w:rsidRPr="0074279A">
        <w:t xml:space="preserve">In order for the </w:t>
      </w:r>
      <w:r>
        <w:t>variance to be authorized,</w:t>
      </w:r>
      <w:r w:rsidRPr="0074279A">
        <w:t xml:space="preserve"> the Tribunal must be satisfied, pursuant to s. 45(1) of the</w:t>
      </w:r>
      <w:r>
        <w:t xml:space="preserve"> Act</w:t>
      </w:r>
      <w:r w:rsidRPr="0074279A">
        <w:t>, that the variance</w:t>
      </w:r>
      <w:r>
        <w:t>s</w:t>
      </w:r>
      <w:r w:rsidRPr="0074279A">
        <w:t xml:space="preserve">: maintain the general intent and purpose of the OP; maintain the general intent and purpose of the ZBL; </w:t>
      </w:r>
      <w:r>
        <w:t>are</w:t>
      </w:r>
      <w:r w:rsidRPr="0074279A">
        <w:t xml:space="preserve"> desirable for </w:t>
      </w:r>
      <w:r w:rsidRPr="0074279A">
        <w:lastRenderedPageBreak/>
        <w:t xml:space="preserve">the appropriate development or use of the land, building or structure; and </w:t>
      </w:r>
      <w:r>
        <w:t>are</w:t>
      </w:r>
      <w:r w:rsidRPr="0074279A">
        <w:t xml:space="preserve"> minor. </w:t>
      </w:r>
    </w:p>
    <w:p w:rsidR="001C050F" w:rsidRPr="0094355F" w:rsidRDefault="001C050F" w:rsidP="001C050F">
      <w:pPr>
        <w:pStyle w:val="DecisionBody"/>
        <w:numPr>
          <w:ilvl w:val="0"/>
          <w:numId w:val="11"/>
        </w:numPr>
        <w:spacing w:beforeLines="150" w:before="360" w:afterLines="150" w:after="360"/>
        <w:ind w:left="0" w:firstLine="0"/>
      </w:pPr>
      <w:r w:rsidRPr="0074279A">
        <w:t>In making its decision, the Tribunal must also, in accordance with the Act: have regard to m</w:t>
      </w:r>
      <w:r>
        <w:t xml:space="preserve">atters of Provincial interest; </w:t>
      </w:r>
      <w:r w:rsidRPr="0074279A">
        <w:t>ensure that its decision is consistent with the Provincial Policy Statement</w:t>
      </w:r>
      <w:r>
        <w:t>, 2014</w:t>
      </w:r>
      <w:r w:rsidRPr="0074279A">
        <w:t xml:space="preserve"> (“PPS”); and ensure that its decision conforms with, or does not conflict with, any applicable Provincial Plan</w:t>
      </w:r>
      <w:r>
        <w:t xml:space="preserve">.  </w:t>
      </w:r>
    </w:p>
    <w:p w:rsidR="001C050F" w:rsidRPr="00917B1E" w:rsidRDefault="001C050F" w:rsidP="001C050F">
      <w:pPr>
        <w:pStyle w:val="DecisionBody"/>
        <w:numPr>
          <w:ilvl w:val="0"/>
          <w:numId w:val="0"/>
        </w:numPr>
        <w:spacing w:beforeLines="150" w:before="360" w:afterLines="150" w:after="360"/>
        <w:rPr>
          <w:b/>
        </w:rPr>
      </w:pPr>
      <w:r>
        <w:rPr>
          <w:b/>
        </w:rPr>
        <w:t>THE HEARING</w:t>
      </w:r>
    </w:p>
    <w:p w:rsidR="001C050F" w:rsidRDefault="001E4280" w:rsidP="001C050F">
      <w:pPr>
        <w:pStyle w:val="DecisionBody"/>
        <w:numPr>
          <w:ilvl w:val="0"/>
          <w:numId w:val="11"/>
        </w:numPr>
        <w:spacing w:beforeLines="150" w:before="360" w:afterLines="150" w:after="360"/>
        <w:ind w:left="0" w:firstLine="0"/>
      </w:pPr>
      <w:r>
        <w:t>Mr. Tompkins and E</w:t>
      </w:r>
      <w:r w:rsidR="00F217D3">
        <w:t>d</w:t>
      </w:r>
      <w:r>
        <w:t xml:space="preserve"> Roberts participated in the hearing </w:t>
      </w:r>
      <w:r w:rsidR="00F217D3">
        <w:t xml:space="preserve">which was held </w:t>
      </w:r>
      <w:r>
        <w:t>by telephone conference call (“TCC</w:t>
      </w:r>
      <w:r w:rsidR="00B63F18">
        <w:t>”</w:t>
      </w:r>
      <w:r>
        <w:t>).</w:t>
      </w:r>
    </w:p>
    <w:p w:rsidR="001E4280" w:rsidRDefault="001E4280" w:rsidP="001C050F">
      <w:pPr>
        <w:pStyle w:val="DecisionBody"/>
        <w:numPr>
          <w:ilvl w:val="0"/>
          <w:numId w:val="11"/>
        </w:numPr>
        <w:spacing w:beforeLines="150" w:before="360" w:afterLines="150" w:after="360"/>
        <w:ind w:left="0" w:firstLine="0"/>
      </w:pPr>
      <w:r>
        <w:t xml:space="preserve">Ian Clendening, a </w:t>
      </w:r>
      <w:r w:rsidR="00A33D9C">
        <w:t>P</w:t>
      </w:r>
      <w:r>
        <w:t xml:space="preserve">lanner employed by the Township, also </w:t>
      </w:r>
      <w:r w:rsidR="00F217D3">
        <w:t xml:space="preserve">voluntarily </w:t>
      </w:r>
      <w:r>
        <w:t xml:space="preserve">participated in the TCC. </w:t>
      </w:r>
      <w:r w:rsidR="00D31486">
        <w:t>He advised</w:t>
      </w:r>
      <w:r>
        <w:t xml:space="preserve"> the Tribunal that he was asked by the Applicants to participate, that he was </w:t>
      </w:r>
      <w:r w:rsidR="00A33D9C">
        <w:t xml:space="preserve">not </w:t>
      </w:r>
      <w:r>
        <w:t xml:space="preserve">accepting </w:t>
      </w:r>
      <w:r w:rsidR="00A33D9C">
        <w:t>any</w:t>
      </w:r>
      <w:r>
        <w:t xml:space="preserve"> consideration f</w:t>
      </w:r>
      <w:r w:rsidR="00D31486">
        <w:t xml:space="preserve">rom </w:t>
      </w:r>
      <w:r>
        <w:t xml:space="preserve">them </w:t>
      </w:r>
      <w:r w:rsidR="00D31486">
        <w:t>and</w:t>
      </w:r>
      <w:r>
        <w:t xml:space="preserve"> </w:t>
      </w:r>
      <w:r w:rsidR="00F217D3">
        <w:t xml:space="preserve">that he </w:t>
      </w:r>
      <w:r w:rsidR="00D31486">
        <w:t>considers</w:t>
      </w:r>
      <w:r>
        <w:t xml:space="preserve"> </w:t>
      </w:r>
      <w:r w:rsidR="006A6356">
        <w:t>himself “</w:t>
      </w:r>
      <w:r>
        <w:t xml:space="preserve">a friend of the Tribunal.” </w:t>
      </w:r>
      <w:r w:rsidR="00D31486">
        <w:t xml:space="preserve">In advance of the TCC, Mr. Clendening provided the Tribunal with a copy of his </w:t>
      </w:r>
      <w:proofErr w:type="spellStart"/>
      <w:r w:rsidR="00D31486" w:rsidRPr="008556D6">
        <w:rPr>
          <w:i/>
        </w:rPr>
        <w:t>C</w:t>
      </w:r>
      <w:r w:rsidR="00B63F18" w:rsidRPr="008556D6">
        <w:rPr>
          <w:i/>
        </w:rPr>
        <w:t>irriculum</w:t>
      </w:r>
      <w:proofErr w:type="spellEnd"/>
      <w:r w:rsidR="00B63F18" w:rsidRPr="008556D6">
        <w:rPr>
          <w:i/>
        </w:rPr>
        <w:t xml:space="preserve"> </w:t>
      </w:r>
      <w:r w:rsidR="00D31486" w:rsidRPr="008556D6">
        <w:rPr>
          <w:i/>
        </w:rPr>
        <w:t>V</w:t>
      </w:r>
      <w:r w:rsidR="00B63F18" w:rsidRPr="008556D6">
        <w:rPr>
          <w:i/>
        </w:rPr>
        <w:t>itae</w:t>
      </w:r>
      <w:r w:rsidR="00D31486">
        <w:t xml:space="preserve"> </w:t>
      </w:r>
      <w:r w:rsidR="00B63F18">
        <w:t xml:space="preserve">(“CV”) </w:t>
      </w:r>
      <w:r w:rsidR="00D31486">
        <w:t xml:space="preserve">and an executed Acknowledgement of Expert’s Duty form. </w:t>
      </w:r>
    </w:p>
    <w:p w:rsidR="001C050F" w:rsidRDefault="00D31486" w:rsidP="001C050F">
      <w:pPr>
        <w:pStyle w:val="DecisionBody"/>
        <w:numPr>
          <w:ilvl w:val="0"/>
          <w:numId w:val="11"/>
        </w:numPr>
        <w:spacing w:beforeLines="150" w:before="360" w:afterLines="150" w:after="360"/>
        <w:ind w:left="0" w:firstLine="0"/>
      </w:pPr>
      <w:r>
        <w:t>No one else participated in the TCC and, accordingly, t</w:t>
      </w:r>
      <w:r w:rsidR="001C050F">
        <w:t xml:space="preserve">here were no requests for Party or Participant status.   </w:t>
      </w:r>
    </w:p>
    <w:p w:rsidR="001C050F" w:rsidRDefault="001C050F" w:rsidP="001C050F">
      <w:pPr>
        <w:pStyle w:val="DecisionBody"/>
        <w:numPr>
          <w:ilvl w:val="0"/>
          <w:numId w:val="11"/>
        </w:numPr>
        <w:spacing w:beforeLines="150" w:before="360" w:afterLines="150" w:after="360"/>
        <w:ind w:left="0" w:firstLine="0"/>
      </w:pPr>
      <w:r>
        <w:t>M</w:t>
      </w:r>
      <w:r w:rsidR="00D31486">
        <w:t>essrs. Tompkins and Roberts advised that they ha</w:t>
      </w:r>
      <w:r w:rsidR="00271DA2">
        <w:t>d</w:t>
      </w:r>
      <w:r w:rsidR="00D31486">
        <w:t xml:space="preserve"> resolved their differences and agreed that it would be appropriate for the Tribunal to approve the variance subject to the three conditions applied by the COA </w:t>
      </w:r>
      <w:r w:rsidR="00A33D9C">
        <w:t xml:space="preserve">in its decision </w:t>
      </w:r>
      <w:r w:rsidR="00D31486">
        <w:t xml:space="preserve">and an additional new condition which requires the Applicants to undertake shoreline stabilization work and </w:t>
      </w:r>
      <w:r w:rsidR="00271DA2">
        <w:t xml:space="preserve">to plant </w:t>
      </w:r>
      <w:r w:rsidR="00D31486">
        <w:t xml:space="preserve">native </w:t>
      </w:r>
      <w:r w:rsidR="00271DA2">
        <w:t xml:space="preserve">species along the High </w:t>
      </w:r>
      <w:r w:rsidR="00A33D9C">
        <w:t>W</w:t>
      </w:r>
      <w:r w:rsidR="00271DA2">
        <w:t xml:space="preserve">ater </w:t>
      </w:r>
      <w:r w:rsidR="00A33D9C">
        <w:t>M</w:t>
      </w:r>
      <w:r w:rsidR="00271DA2">
        <w:t>ark</w:t>
      </w:r>
      <w:r w:rsidR="00D31486">
        <w:t xml:space="preserve">. </w:t>
      </w:r>
      <w:r>
        <w:t xml:space="preserve"> </w:t>
      </w:r>
    </w:p>
    <w:p w:rsidR="001C050F" w:rsidRDefault="00D31486" w:rsidP="001C050F">
      <w:pPr>
        <w:pStyle w:val="DecisionBody"/>
        <w:numPr>
          <w:ilvl w:val="0"/>
          <w:numId w:val="11"/>
        </w:numPr>
        <w:spacing w:beforeLines="150" w:before="360" w:afterLines="150" w:after="360"/>
        <w:ind w:left="0" w:firstLine="0"/>
      </w:pPr>
      <w:r>
        <w:t xml:space="preserve">Messrs. Tompkins and Roberts </w:t>
      </w:r>
      <w:r w:rsidR="00E462E0">
        <w:t xml:space="preserve">consented to the Tribunal questioning and </w:t>
      </w:r>
      <w:r w:rsidR="00A33D9C">
        <w:t xml:space="preserve">receiving </w:t>
      </w:r>
      <w:r w:rsidR="00353F52">
        <w:t>evidence</w:t>
      </w:r>
      <w:r w:rsidR="00A33D9C">
        <w:t xml:space="preserve"> and opinion</w:t>
      </w:r>
      <w:r w:rsidR="00E462E0">
        <w:t xml:space="preserve"> from Mr. Clendening</w:t>
      </w:r>
      <w:r w:rsidR="00353F52">
        <w:t xml:space="preserve">. After </w:t>
      </w:r>
      <w:r w:rsidR="006A6356">
        <w:t xml:space="preserve">questioning </w:t>
      </w:r>
      <w:r w:rsidR="00353F52">
        <w:t>Mr. Clendening</w:t>
      </w:r>
      <w:r w:rsidR="006A6356">
        <w:t xml:space="preserve"> about his experience and reviewing his </w:t>
      </w:r>
      <w:r w:rsidR="00353F52">
        <w:t xml:space="preserve">CV, and with the concurrence of Messrs. Tompkins and Roberts, the Tribunal </w:t>
      </w:r>
      <w:r w:rsidR="00E462E0">
        <w:t xml:space="preserve">qualified </w:t>
      </w:r>
      <w:r w:rsidR="00353F52">
        <w:t xml:space="preserve">Mr. Clendening </w:t>
      </w:r>
      <w:r w:rsidR="00E462E0">
        <w:t>to</w:t>
      </w:r>
      <w:r w:rsidR="001C050F">
        <w:t xml:space="preserve"> provide independent </w:t>
      </w:r>
      <w:r w:rsidR="001C050F">
        <w:lastRenderedPageBreak/>
        <w:t>expert opinion evidence in land use planning.</w:t>
      </w:r>
      <w:r w:rsidR="00E462E0">
        <w:t xml:space="preserve"> </w:t>
      </w:r>
    </w:p>
    <w:p w:rsidR="006A6356" w:rsidRDefault="00E462E0" w:rsidP="001C050F">
      <w:pPr>
        <w:pStyle w:val="DecisionBody"/>
        <w:numPr>
          <w:ilvl w:val="0"/>
          <w:numId w:val="11"/>
        </w:numPr>
        <w:spacing w:beforeLines="150" w:before="360" w:afterLines="150" w:after="360"/>
        <w:ind w:left="0" w:firstLine="0"/>
      </w:pPr>
      <w:r>
        <w:t>Mr. Clendening advised that he ha</w:t>
      </w:r>
      <w:r w:rsidR="00353F52">
        <w:t>d</w:t>
      </w:r>
      <w:r>
        <w:t xml:space="preserve"> </w:t>
      </w:r>
      <w:r w:rsidR="00353F52">
        <w:t xml:space="preserve">inspected </w:t>
      </w:r>
      <w:r>
        <w:t xml:space="preserve">the Site and authored </w:t>
      </w:r>
      <w:r w:rsidR="00271DA2">
        <w:t>a</w:t>
      </w:r>
      <w:r>
        <w:t xml:space="preserve"> Staff Report to the COA on the Application. </w:t>
      </w:r>
      <w:r w:rsidR="00271DA2">
        <w:t xml:space="preserve">The Staff Report is included in the appeal record and it </w:t>
      </w:r>
      <w:r>
        <w:t>recommend</w:t>
      </w:r>
      <w:r w:rsidR="00271DA2">
        <w:t xml:space="preserve">s </w:t>
      </w:r>
      <w:r w:rsidR="00353F52">
        <w:t xml:space="preserve">two of </w:t>
      </w:r>
      <w:r>
        <w:t xml:space="preserve">the conditions of </w:t>
      </w:r>
      <w:r w:rsidR="00353F52">
        <w:t>approval</w:t>
      </w:r>
      <w:r w:rsidR="006A6356">
        <w:t xml:space="preserve"> applied by the COA in its decision.</w:t>
      </w:r>
    </w:p>
    <w:p w:rsidR="00E462E0" w:rsidRDefault="00271DA2" w:rsidP="001C050F">
      <w:pPr>
        <w:pStyle w:val="DecisionBody"/>
        <w:numPr>
          <w:ilvl w:val="0"/>
          <w:numId w:val="11"/>
        </w:numPr>
        <w:spacing w:beforeLines="150" w:before="360" w:afterLines="150" w:after="360"/>
        <w:ind w:left="0" w:firstLine="0"/>
      </w:pPr>
      <w:r>
        <w:t xml:space="preserve">Mr. Clendening </w:t>
      </w:r>
      <w:r w:rsidR="00353F52">
        <w:t xml:space="preserve">recommended that the Tribunal approve the variance subject to </w:t>
      </w:r>
      <w:r w:rsidR="006A6356">
        <w:t xml:space="preserve">four </w:t>
      </w:r>
      <w:r w:rsidR="00353F52">
        <w:t xml:space="preserve">conditions </w:t>
      </w:r>
      <w:r w:rsidR="006A6356">
        <w:t xml:space="preserve">– the three </w:t>
      </w:r>
      <w:r w:rsidR="00353F52">
        <w:t xml:space="preserve">applied by the COA in its decision plus </w:t>
      </w:r>
      <w:r w:rsidR="00E462E0">
        <w:t>a fourth condition</w:t>
      </w:r>
      <w:r w:rsidR="00353F52">
        <w:t xml:space="preserve">, </w:t>
      </w:r>
      <w:r w:rsidR="006A6356">
        <w:t xml:space="preserve">requiring </w:t>
      </w:r>
      <w:r>
        <w:t xml:space="preserve">shoreline </w:t>
      </w:r>
      <w:r w:rsidR="006A6356">
        <w:t xml:space="preserve">stabilization </w:t>
      </w:r>
      <w:r>
        <w:t>and planting</w:t>
      </w:r>
      <w:r w:rsidR="00353F52">
        <w:t>, as</w:t>
      </w:r>
      <w:r w:rsidR="00E462E0">
        <w:t xml:space="preserve"> negotiated by Messrs. Tompkins </w:t>
      </w:r>
      <w:r>
        <w:t xml:space="preserve">and Roberts </w:t>
      </w:r>
      <w:r w:rsidR="00E462E0">
        <w:t xml:space="preserve">in settling the Appeal. </w:t>
      </w:r>
    </w:p>
    <w:p w:rsidR="001C050F" w:rsidRDefault="00E462E0" w:rsidP="001C050F">
      <w:pPr>
        <w:pStyle w:val="DecisionBody"/>
        <w:numPr>
          <w:ilvl w:val="0"/>
          <w:numId w:val="11"/>
        </w:numPr>
        <w:spacing w:beforeLines="150" w:before="360" w:afterLines="150" w:after="360"/>
        <w:ind w:left="0" w:firstLine="0"/>
      </w:pPr>
      <w:r>
        <w:t xml:space="preserve">Mr. Clendening advised that the variance, subject to the four </w:t>
      </w:r>
      <w:r w:rsidR="002F2B55">
        <w:t>conditions,</w:t>
      </w:r>
      <w:r w:rsidR="001C050F">
        <w:t xml:space="preserve"> satisf</w:t>
      </w:r>
      <w:r w:rsidR="002F2B55">
        <w:t>ies</w:t>
      </w:r>
      <w:r w:rsidR="001C050F">
        <w:t xml:space="preserve"> the tests for the authorization of a minor variance as set out in s. 45(1) of the Act</w:t>
      </w:r>
      <w:r>
        <w:t xml:space="preserve"> in </w:t>
      </w:r>
      <w:r w:rsidR="002F2B55">
        <w:t xml:space="preserve">that it maintains the general intent and purpose of the </w:t>
      </w:r>
      <w:r w:rsidR="006A6356">
        <w:t>OP</w:t>
      </w:r>
      <w:r w:rsidR="002F2B55">
        <w:t>, maintains the general inten</w:t>
      </w:r>
      <w:r w:rsidR="006A6356">
        <w:t>t</w:t>
      </w:r>
      <w:r w:rsidR="002F2B55">
        <w:t xml:space="preserve"> and purpose of the ZBL, is desirable for the appropriate development or use of the land, building or structure and is minor. He also advised that the approval of the </w:t>
      </w:r>
      <w:r w:rsidR="001C050F">
        <w:t>variance</w:t>
      </w:r>
      <w:r w:rsidR="002F2B55">
        <w:t xml:space="preserve">, with the four conditions, would be </w:t>
      </w:r>
      <w:r w:rsidR="001C050F">
        <w:t>consistent with the PPS</w:t>
      </w:r>
      <w:r w:rsidR="002F2B55">
        <w:t xml:space="preserve"> and would represent good planning. </w:t>
      </w:r>
    </w:p>
    <w:p w:rsidR="001C050F" w:rsidRDefault="001C050F" w:rsidP="001C050F">
      <w:pPr>
        <w:pStyle w:val="DecisionBody"/>
        <w:numPr>
          <w:ilvl w:val="0"/>
          <w:numId w:val="11"/>
        </w:numPr>
        <w:spacing w:beforeLines="150" w:before="360" w:afterLines="150" w:after="360"/>
        <w:ind w:left="0" w:firstLine="0"/>
      </w:pPr>
      <w:r>
        <w:t>M</w:t>
      </w:r>
      <w:r w:rsidR="002F2B55">
        <w:t xml:space="preserve">r. Clendening </w:t>
      </w:r>
      <w:r>
        <w:t xml:space="preserve">advised that no Provincial Plan applies to the Site. </w:t>
      </w:r>
    </w:p>
    <w:p w:rsidR="001C050F" w:rsidRPr="00917B1E" w:rsidRDefault="001C050F" w:rsidP="001C050F">
      <w:pPr>
        <w:pStyle w:val="DecisionBody"/>
        <w:numPr>
          <w:ilvl w:val="0"/>
          <w:numId w:val="0"/>
        </w:numPr>
        <w:spacing w:beforeLines="150" w:before="360" w:afterLines="150" w:after="360"/>
        <w:rPr>
          <w:b/>
        </w:rPr>
      </w:pPr>
      <w:r w:rsidRPr="00917B1E">
        <w:rPr>
          <w:b/>
        </w:rPr>
        <w:t xml:space="preserve">ANALYSIS AND FINDINGS </w:t>
      </w:r>
    </w:p>
    <w:p w:rsidR="00F5297F" w:rsidRDefault="001C050F" w:rsidP="00F5297F">
      <w:pPr>
        <w:pStyle w:val="DecisionBody"/>
        <w:numPr>
          <w:ilvl w:val="0"/>
          <w:numId w:val="11"/>
        </w:numPr>
        <w:spacing w:beforeLines="150" w:before="360" w:afterLines="150" w:after="360"/>
        <w:ind w:left="0" w:firstLine="0"/>
      </w:pPr>
      <w:r>
        <w:t xml:space="preserve">The Tribunal commends </w:t>
      </w:r>
      <w:r w:rsidR="002F2B55">
        <w:t xml:space="preserve">Messrs. Tompkins and Roberts </w:t>
      </w:r>
      <w:r>
        <w:t xml:space="preserve">for their efforts to settle this matter. </w:t>
      </w:r>
    </w:p>
    <w:p w:rsidR="00F5297F" w:rsidRDefault="002F2B55" w:rsidP="00F5297F">
      <w:pPr>
        <w:pStyle w:val="DecisionBody"/>
        <w:numPr>
          <w:ilvl w:val="0"/>
          <w:numId w:val="11"/>
        </w:numPr>
        <w:spacing w:beforeLines="150" w:before="360" w:afterLines="150" w:after="360"/>
        <w:ind w:left="0" w:firstLine="0"/>
      </w:pPr>
      <w:r>
        <w:t xml:space="preserve">The Tribunal also commends Mr. Clendening for </w:t>
      </w:r>
      <w:r w:rsidR="000A25D4">
        <w:t xml:space="preserve">his decision to </w:t>
      </w:r>
      <w:r>
        <w:t>voluntarily participat</w:t>
      </w:r>
      <w:r w:rsidR="000A25D4">
        <w:t xml:space="preserve">e </w:t>
      </w:r>
      <w:r>
        <w:t xml:space="preserve">in the TCC. His </w:t>
      </w:r>
      <w:r w:rsidR="000A25D4">
        <w:t>participation was</w:t>
      </w:r>
      <w:r>
        <w:t xml:space="preserve"> professional, of much assistance to the Tribunal and represents excellent customer service to the two resident</w:t>
      </w:r>
      <w:r w:rsidR="000A25D4">
        <w:t>s</w:t>
      </w:r>
      <w:r>
        <w:t xml:space="preserve"> of </w:t>
      </w:r>
      <w:r w:rsidR="006A6356">
        <w:t>his</w:t>
      </w:r>
      <w:r>
        <w:t xml:space="preserve"> Township who </w:t>
      </w:r>
      <w:r w:rsidR="000A25D4">
        <w:t>had worked</w:t>
      </w:r>
      <w:r>
        <w:t xml:space="preserve"> </w:t>
      </w:r>
      <w:r w:rsidR="000A25D4">
        <w:t>out</w:t>
      </w:r>
      <w:r>
        <w:t xml:space="preserve"> a</w:t>
      </w:r>
      <w:r w:rsidR="007E0C3D">
        <w:t xml:space="preserve"> settlement. </w:t>
      </w:r>
      <w:r w:rsidR="000A25D4">
        <w:t xml:space="preserve"> </w:t>
      </w:r>
      <w:r>
        <w:t xml:space="preserve"> </w:t>
      </w:r>
    </w:p>
    <w:p w:rsidR="001C050F" w:rsidRDefault="001C050F" w:rsidP="00F5297F">
      <w:pPr>
        <w:pStyle w:val="DecisionBody"/>
        <w:numPr>
          <w:ilvl w:val="0"/>
          <w:numId w:val="11"/>
        </w:numPr>
        <w:spacing w:beforeLines="150" w:before="360" w:afterLines="150" w:after="360"/>
        <w:ind w:left="0" w:firstLine="0"/>
      </w:pPr>
      <w:r>
        <w:t xml:space="preserve">In this Appeal, the Act states that the Tribunal may dismiss the Appeal and may </w:t>
      </w:r>
      <w:r>
        <w:lastRenderedPageBreak/>
        <w:t>make any decision the COA could have made. Further, s</w:t>
      </w:r>
      <w:r w:rsidR="00F5297F">
        <w:t>.</w:t>
      </w:r>
      <w:r>
        <w:t xml:space="preserve"> 11(2) and </w:t>
      </w:r>
      <w:r w:rsidR="00F5297F">
        <w:t xml:space="preserve">s. </w:t>
      </w:r>
      <w:r>
        <w:t xml:space="preserve">12(1) of the </w:t>
      </w:r>
      <w:r w:rsidRPr="00F5297F">
        <w:rPr>
          <w:i/>
        </w:rPr>
        <w:t>Local Planning Appeal Tribunal Act</w:t>
      </w:r>
      <w:r>
        <w:t xml:space="preserve"> (“LPATA”) give the Tribunal the authority to hear and determine all questions of law or of fact with respect to all matters within its jurisdiction, unless limited by the LPATA or any other general or special Act, and to make orders or give directions as may be necessary or incidental to the exercise of its powers under LPATA or any other general or special Act.  </w:t>
      </w:r>
    </w:p>
    <w:p w:rsidR="001C050F" w:rsidRDefault="001C050F" w:rsidP="001C050F">
      <w:pPr>
        <w:pStyle w:val="DecisionBody"/>
        <w:numPr>
          <w:ilvl w:val="0"/>
          <w:numId w:val="11"/>
        </w:numPr>
        <w:spacing w:beforeLines="150" w:before="360" w:afterLines="150" w:after="360"/>
        <w:ind w:left="0" w:firstLine="0"/>
      </w:pPr>
      <w:r>
        <w:t xml:space="preserve">Based on the evidence and submissions, the Tribunal finds that it is appropriate to allow the Appeal in part and to authorize the variance subject to the recommended </w:t>
      </w:r>
      <w:r w:rsidR="000A25D4">
        <w:t xml:space="preserve">four </w:t>
      </w:r>
      <w:r>
        <w:t>conditions. In making this finding, the Tribunal accepts and relies upon the uncontested expert planning evidence of M</w:t>
      </w:r>
      <w:r w:rsidR="000A25D4">
        <w:t xml:space="preserve">r. Clendening and </w:t>
      </w:r>
      <w:r w:rsidR="00271DA2">
        <w:t xml:space="preserve">acknowledges </w:t>
      </w:r>
      <w:r w:rsidR="000A25D4">
        <w:t xml:space="preserve">the </w:t>
      </w:r>
      <w:r>
        <w:t xml:space="preserve">support of the </w:t>
      </w:r>
      <w:r w:rsidR="000A25D4">
        <w:t>Appellant and the Applicants.</w:t>
      </w:r>
      <w:r>
        <w:t xml:space="preserve"> </w:t>
      </w:r>
    </w:p>
    <w:p w:rsidR="001C050F" w:rsidRDefault="001C050F" w:rsidP="001C050F">
      <w:pPr>
        <w:pStyle w:val="DecisionBody"/>
        <w:numPr>
          <w:ilvl w:val="0"/>
          <w:numId w:val="11"/>
        </w:numPr>
        <w:spacing w:beforeLines="150" w:before="360" w:afterLines="150" w:after="360"/>
        <w:ind w:left="0" w:firstLine="0"/>
      </w:pPr>
      <w:r>
        <w:t>Based upon the unchallenged and uncontroverted planning evidence, the Tribunal finds that the variance, with conditions, maintain</w:t>
      </w:r>
      <w:r w:rsidR="00271DA2">
        <w:t>s</w:t>
      </w:r>
      <w:r>
        <w:t xml:space="preserve"> the general intent and purpose of the OP and the ZBL, </w:t>
      </w:r>
      <w:r w:rsidR="00271DA2">
        <w:t>is</w:t>
      </w:r>
      <w:r>
        <w:t xml:space="preserve"> desirable for the appropriate development or use of the land, building or structure and </w:t>
      </w:r>
      <w:r w:rsidR="00271DA2">
        <w:t>is</w:t>
      </w:r>
      <w:r>
        <w:t xml:space="preserve"> minor. </w:t>
      </w:r>
    </w:p>
    <w:p w:rsidR="001C050F" w:rsidRDefault="001C050F" w:rsidP="001C050F">
      <w:pPr>
        <w:pStyle w:val="DecisionBody"/>
        <w:numPr>
          <w:ilvl w:val="0"/>
          <w:numId w:val="11"/>
        </w:numPr>
        <w:spacing w:beforeLines="150" w:before="360" w:afterLines="150" w:after="360"/>
        <w:ind w:left="0" w:firstLine="0"/>
      </w:pPr>
      <w:r>
        <w:t xml:space="preserve">In arriving at its </w:t>
      </w:r>
      <w:r w:rsidR="00271DA2">
        <w:t>D</w:t>
      </w:r>
      <w:r>
        <w:t>ecision, the Tribunal had regard to matters of Provincial interest and finds that its Decision is consistent with the PPS.</w:t>
      </w:r>
    </w:p>
    <w:p w:rsidR="007E0C3D" w:rsidRDefault="007E0C3D" w:rsidP="007E0C3D">
      <w:pPr>
        <w:pStyle w:val="DecisionBody"/>
        <w:numPr>
          <w:ilvl w:val="0"/>
          <w:numId w:val="11"/>
        </w:numPr>
        <w:spacing w:beforeLines="150" w:before="360" w:afterLines="150" w:after="360"/>
        <w:ind w:left="0" w:firstLine="0"/>
      </w:pPr>
      <w:r>
        <w:t xml:space="preserve">The Tribunal notes that its Decision aligns with that of the Township’s COA and adds an additional condition requiring certain shoreline </w:t>
      </w:r>
      <w:r w:rsidR="00522256">
        <w:t xml:space="preserve">stabilization </w:t>
      </w:r>
      <w:r>
        <w:t xml:space="preserve">work </w:t>
      </w:r>
      <w:r w:rsidR="00522256">
        <w:t xml:space="preserve">and plantings </w:t>
      </w:r>
      <w:r>
        <w:t xml:space="preserve">as requested by the Appellant and the Applicants. </w:t>
      </w:r>
    </w:p>
    <w:p w:rsidR="007E0C3D" w:rsidRDefault="007E0C3D" w:rsidP="001C050F">
      <w:pPr>
        <w:pStyle w:val="DecisionBody"/>
        <w:numPr>
          <w:ilvl w:val="0"/>
          <w:numId w:val="11"/>
        </w:numPr>
        <w:spacing w:beforeLines="150" w:before="360" w:afterLines="150" w:after="360"/>
        <w:ind w:left="0" w:firstLine="0"/>
      </w:pPr>
      <w:r>
        <w:t>With the agreement of Messrs. Tompkins, Roberts and Clendening, the timing for the shoreline stabilization work in the negotiated settlement is adjusted in the Order from “</w:t>
      </w:r>
      <w:r w:rsidR="00F5297F">
        <w:t xml:space="preserve">… </w:t>
      </w:r>
      <w:r>
        <w:t xml:space="preserve">prior to </w:t>
      </w:r>
      <w:r w:rsidR="000F29E9">
        <w:t>construction</w:t>
      </w:r>
      <w:r>
        <w:t xml:space="preserve"> of the new dwelling</w:t>
      </w:r>
      <w:r w:rsidR="00DF1772">
        <w:t>”</w:t>
      </w:r>
      <w:r>
        <w:t xml:space="preserve"> to “prior to occupancy of the new dwelling”. </w:t>
      </w:r>
    </w:p>
    <w:p w:rsidR="007E0C3D" w:rsidRDefault="007E0C3D" w:rsidP="007E0C3D">
      <w:pPr>
        <w:pStyle w:val="DecisionBody"/>
        <w:numPr>
          <w:ilvl w:val="0"/>
          <w:numId w:val="11"/>
        </w:numPr>
        <w:spacing w:beforeLines="150" w:before="360" w:afterLines="150" w:after="360"/>
        <w:ind w:left="0" w:firstLine="0"/>
      </w:pPr>
      <w:r>
        <w:t xml:space="preserve">In the interest of fairness, the Tribunal has also adjusted in the </w:t>
      </w:r>
      <w:r w:rsidR="002751B8">
        <w:t>O</w:t>
      </w:r>
      <w:r>
        <w:t xml:space="preserve">rder the deadline for the construction of the new dwelling as set out in condition 3 of the COA </w:t>
      </w:r>
      <w:r>
        <w:lastRenderedPageBreak/>
        <w:t xml:space="preserve">decision to be 18 months from the Tribunal’s Decision as opposed to 18 months from the COA decision. </w:t>
      </w:r>
    </w:p>
    <w:p w:rsidR="001C050F" w:rsidRDefault="001C050F" w:rsidP="001C050F">
      <w:pPr>
        <w:pStyle w:val="DecisionBody"/>
        <w:numPr>
          <w:ilvl w:val="0"/>
          <w:numId w:val="11"/>
        </w:numPr>
        <w:spacing w:beforeLines="150" w:before="360" w:afterLines="150" w:after="360"/>
        <w:ind w:left="0" w:firstLine="0"/>
      </w:pPr>
      <w:r>
        <w:t xml:space="preserve">To be clear, the reasons why the Tribunal is authorizing the variance with conditions are: a qualified land use planning witness advised that the proposal meets all of the applicable tests for approval; the planning witness’ evidence and opinion were uncontroverted; the </w:t>
      </w:r>
      <w:r w:rsidR="000A25D4">
        <w:t xml:space="preserve">Appellant and the Applicants </w:t>
      </w:r>
      <w:r>
        <w:t xml:space="preserve">support the planning witness’ opinion and recommendation; the Tribunal found </w:t>
      </w:r>
      <w:r w:rsidR="002751B8">
        <w:t xml:space="preserve">Messrs. Tompkins, Roberts and Clendening </w:t>
      </w:r>
      <w:r>
        <w:t xml:space="preserve"> to be forthright and well prepared and briefed on the particulars of the case at hand; and the evidence, submissions and recommendations, when filtered through this Member’s experience and background, are sound and persuasive. </w:t>
      </w:r>
      <w:r w:rsidR="007E0C3D">
        <w:t xml:space="preserve"> The shoreline stabilization work and native plantings are a positive addition to the project. </w:t>
      </w:r>
      <w:r>
        <w:t xml:space="preserve"> </w:t>
      </w:r>
    </w:p>
    <w:p w:rsidR="001C050F" w:rsidRPr="00917B1E" w:rsidRDefault="001C050F" w:rsidP="001C050F">
      <w:pPr>
        <w:pStyle w:val="DecisionBody"/>
        <w:numPr>
          <w:ilvl w:val="0"/>
          <w:numId w:val="0"/>
        </w:numPr>
        <w:spacing w:beforeLines="150" w:before="360" w:afterLines="150" w:after="360"/>
        <w:rPr>
          <w:b/>
        </w:rPr>
      </w:pPr>
      <w:r w:rsidRPr="00917B1E">
        <w:rPr>
          <w:b/>
        </w:rPr>
        <w:t>ORDER</w:t>
      </w:r>
    </w:p>
    <w:p w:rsidR="00355E6E" w:rsidRDefault="001C050F" w:rsidP="001C050F">
      <w:pPr>
        <w:pStyle w:val="DecisionBody"/>
        <w:numPr>
          <w:ilvl w:val="0"/>
          <w:numId w:val="11"/>
        </w:numPr>
        <w:spacing w:beforeLines="150" w:before="360" w:afterLines="150" w:after="360"/>
        <w:ind w:left="0" w:firstLine="0"/>
      </w:pPr>
      <w:r>
        <w:t xml:space="preserve">The Tribunal orders </w:t>
      </w:r>
      <w:r w:rsidR="00355E6E">
        <w:t>as follows:</w:t>
      </w:r>
    </w:p>
    <w:p w:rsidR="00355E6E" w:rsidRDefault="00355E6E" w:rsidP="00F5297F">
      <w:pPr>
        <w:pStyle w:val="DecisionBody"/>
        <w:numPr>
          <w:ilvl w:val="0"/>
          <w:numId w:val="0"/>
        </w:numPr>
        <w:spacing w:beforeLines="150" w:before="360" w:afterLines="150" w:after="360"/>
        <w:ind w:firstLine="720"/>
      </w:pPr>
      <w:r>
        <w:t xml:space="preserve">A. </w:t>
      </w:r>
      <w:r w:rsidR="00F5297F">
        <w:tab/>
      </w:r>
      <w:r>
        <w:t xml:space="preserve">the Appeal is allowed in part; </w:t>
      </w:r>
    </w:p>
    <w:p w:rsidR="001C050F" w:rsidRDefault="00355E6E" w:rsidP="00F5297F">
      <w:pPr>
        <w:pStyle w:val="DecisionBody"/>
        <w:numPr>
          <w:ilvl w:val="0"/>
          <w:numId w:val="0"/>
        </w:numPr>
        <w:spacing w:beforeLines="150" w:before="360" w:afterLines="150" w:after="360"/>
        <w:ind w:left="1440" w:hanging="720"/>
      </w:pPr>
      <w:r>
        <w:t xml:space="preserve">B. </w:t>
      </w:r>
      <w:r w:rsidR="001C050F">
        <w:t xml:space="preserve"> </w:t>
      </w:r>
      <w:r w:rsidR="00F5297F">
        <w:tab/>
      </w:r>
      <w:r w:rsidR="001C050F">
        <w:t xml:space="preserve">the variance </w:t>
      </w:r>
      <w:r w:rsidR="00776CE0">
        <w:t xml:space="preserve">set out in Paragraph 2 of this Decision is </w:t>
      </w:r>
      <w:r w:rsidR="001C050F">
        <w:t xml:space="preserve">authorized subject to the </w:t>
      </w:r>
      <w:r w:rsidR="00776CE0">
        <w:t xml:space="preserve">following </w:t>
      </w:r>
      <w:r w:rsidR="001C050F">
        <w:t xml:space="preserve">conditions:  </w:t>
      </w:r>
    </w:p>
    <w:p w:rsidR="001C050F" w:rsidRDefault="00355E6E" w:rsidP="00F5297F">
      <w:pPr>
        <w:pStyle w:val="DecisionBody"/>
        <w:numPr>
          <w:ilvl w:val="0"/>
          <w:numId w:val="0"/>
        </w:numPr>
        <w:spacing w:beforeLines="150" w:before="360" w:afterLines="150" w:after="360"/>
        <w:ind w:left="2160" w:hanging="720"/>
      </w:pPr>
      <w:r>
        <w:t>1</w:t>
      </w:r>
      <w:r w:rsidR="00776CE0">
        <w:t xml:space="preserve">. </w:t>
      </w:r>
      <w:r w:rsidR="00F5297F">
        <w:tab/>
      </w:r>
      <w:r w:rsidR="00776CE0">
        <w:t>The approval of the minor variance granted shall only relate to the construction of a new dwelling which shall proceed substantially in accordance with the relevant drawings/plans submitted August 28, 2018 and put before the COA on September 24, 2018 and forming part of its decision;</w:t>
      </w:r>
    </w:p>
    <w:p w:rsidR="00776CE0" w:rsidRDefault="00355E6E" w:rsidP="00F5297F">
      <w:pPr>
        <w:pStyle w:val="DecisionBody"/>
        <w:numPr>
          <w:ilvl w:val="0"/>
          <w:numId w:val="0"/>
        </w:numPr>
        <w:spacing w:beforeLines="150" w:before="360" w:afterLines="150" w:after="360"/>
        <w:ind w:left="2160" w:hanging="720"/>
      </w:pPr>
      <w:r>
        <w:t>2</w:t>
      </w:r>
      <w:r w:rsidR="00776CE0">
        <w:t xml:space="preserve">. </w:t>
      </w:r>
      <w:r w:rsidR="00F5297F">
        <w:tab/>
      </w:r>
      <w:r w:rsidR="00776CE0">
        <w:t xml:space="preserve">That the outbuildings identified as being removed in the above noted plans be removed prior to occupancy being </w:t>
      </w:r>
      <w:r w:rsidR="00D1563D">
        <w:t>granted</w:t>
      </w:r>
      <w:r w:rsidR="008C56B8">
        <w:t>;</w:t>
      </w:r>
    </w:p>
    <w:p w:rsidR="00776CE0" w:rsidRDefault="00355E6E" w:rsidP="00F5297F">
      <w:pPr>
        <w:pStyle w:val="DecisionBody"/>
        <w:numPr>
          <w:ilvl w:val="0"/>
          <w:numId w:val="0"/>
        </w:numPr>
        <w:spacing w:beforeLines="150" w:before="360" w:afterLines="150" w:after="360"/>
        <w:ind w:left="2160" w:hanging="720"/>
      </w:pPr>
      <w:r>
        <w:t>3</w:t>
      </w:r>
      <w:r w:rsidR="00776CE0">
        <w:t xml:space="preserve">. </w:t>
      </w:r>
      <w:r w:rsidR="00F5297F">
        <w:tab/>
      </w:r>
      <w:r w:rsidR="00776CE0">
        <w:t xml:space="preserve">That the building construction related to the minor variance shall be </w:t>
      </w:r>
      <w:r w:rsidR="00776CE0">
        <w:lastRenderedPageBreak/>
        <w:t xml:space="preserve">completed within a period of </w:t>
      </w:r>
      <w:r w:rsidR="00F5297F">
        <w:t>18</w:t>
      </w:r>
      <w:r w:rsidR="00776CE0">
        <w:t xml:space="preserve"> months after the date of </w:t>
      </w:r>
      <w:r w:rsidR="00522256">
        <w:t xml:space="preserve">issuance of </w:t>
      </w:r>
      <w:r w:rsidR="00776CE0">
        <w:t xml:space="preserve">this Tribunal Decision, failing which the approval shall be </w:t>
      </w:r>
      <w:r w:rsidR="00D1563D">
        <w:t>deemed</w:t>
      </w:r>
      <w:r w:rsidR="00776CE0">
        <w:t xml:space="preserve"> to </w:t>
      </w:r>
      <w:r w:rsidR="00D1563D">
        <w:t>be</w:t>
      </w:r>
      <w:r w:rsidR="00776CE0">
        <w:t xml:space="preserve"> refused. This condition will be fulfilled upon completion of the first </w:t>
      </w:r>
      <w:r w:rsidR="00D1563D">
        <w:t>Building</w:t>
      </w:r>
      <w:r w:rsidR="00776CE0">
        <w:t xml:space="preserve"> </w:t>
      </w:r>
      <w:r w:rsidR="00D1563D">
        <w:t>I</w:t>
      </w:r>
      <w:r w:rsidR="00776CE0">
        <w:t>nspection</w:t>
      </w:r>
      <w:r w:rsidR="008C56B8">
        <w:t xml:space="preserve">; and </w:t>
      </w:r>
      <w:r w:rsidR="00776CE0">
        <w:t xml:space="preserve"> </w:t>
      </w:r>
    </w:p>
    <w:p w:rsidR="00355E6E" w:rsidRDefault="00355E6E" w:rsidP="003C6DCC">
      <w:pPr>
        <w:pStyle w:val="DecisionBody"/>
        <w:numPr>
          <w:ilvl w:val="0"/>
          <w:numId w:val="0"/>
        </w:numPr>
        <w:spacing w:beforeLines="150" w:before="360" w:afterLines="150" w:after="360"/>
        <w:ind w:left="2160" w:hanging="720"/>
      </w:pPr>
      <w:r>
        <w:t>4</w:t>
      </w:r>
      <w:r w:rsidR="00D1563D">
        <w:t xml:space="preserve">. </w:t>
      </w:r>
      <w:r w:rsidR="003C6DCC">
        <w:tab/>
      </w:r>
      <w:r w:rsidR="00D1563D">
        <w:t xml:space="preserve">That approximately 184.6 m (600 feet) of shoreline along the High Water Mark of the property be stabilized with river rock and larger boulders pursuant to a Ministry of Natural Resources and Forestry permit approval prior to occupancy of the new dwelling. Further, </w:t>
      </w:r>
      <w:proofErr w:type="gramStart"/>
      <w:r w:rsidR="00D1563D">
        <w:t>that</w:t>
      </w:r>
      <w:proofErr w:type="gramEnd"/>
      <w:r w:rsidR="00D1563D">
        <w:t xml:space="preserve"> plantings of native plant species along the High Water </w:t>
      </w:r>
      <w:r w:rsidR="00E06453">
        <w:t>M</w:t>
      </w:r>
      <w:r w:rsidR="00D1563D">
        <w:t>ark be implemented after shore</w:t>
      </w:r>
      <w:r w:rsidR="000F29E9">
        <w:t xml:space="preserve"> </w:t>
      </w:r>
      <w:r w:rsidR="00D1563D">
        <w:t>line stabilization with</w:t>
      </w:r>
      <w:r>
        <w:t>in a</w:t>
      </w:r>
      <w:r w:rsidR="00D1563D">
        <w:t xml:space="preserve"> three year period and designed by a person </w:t>
      </w:r>
      <w:r>
        <w:t>qualified</w:t>
      </w:r>
      <w:r w:rsidR="00D1563D">
        <w:t xml:space="preserve"> to determine native plant </w:t>
      </w:r>
      <w:r>
        <w:t>species</w:t>
      </w:r>
      <w:r w:rsidR="00D1563D">
        <w:t>.</w:t>
      </w:r>
    </w:p>
    <w:p w:rsidR="00935095" w:rsidRPr="00AC548D" w:rsidRDefault="00355E6E" w:rsidP="00C5671C">
      <w:pPr>
        <w:pStyle w:val="DecisionBody"/>
        <w:numPr>
          <w:ilvl w:val="0"/>
          <w:numId w:val="11"/>
        </w:numPr>
        <w:spacing w:beforeLines="150" w:before="360" w:afterLines="150" w:after="360"/>
        <w:ind w:left="0" w:firstLine="0"/>
      </w:pPr>
      <w:r>
        <w:t xml:space="preserve">This Member may be spoken to should any issues arise in respect to the implementation of this </w:t>
      </w:r>
      <w:r w:rsidR="002751B8">
        <w:t>O</w:t>
      </w:r>
      <w:r>
        <w:t>rder.</w:t>
      </w:r>
    </w:p>
    <w:p w:rsidR="00935095" w:rsidRPr="004E31D7" w:rsidRDefault="00935095" w:rsidP="004E31D7">
      <w:pPr>
        <w:pStyle w:val="MemberSignature"/>
        <w:ind w:left="0"/>
        <w:jc w:val="both"/>
        <w:rPr>
          <w:i w:val="0"/>
        </w:rPr>
      </w:pPr>
    </w:p>
    <w:p w:rsidR="00935095" w:rsidRPr="00AC548D" w:rsidRDefault="003C6DCC" w:rsidP="00AC548D">
      <w:pPr>
        <w:pStyle w:val="MemberSignature"/>
      </w:pPr>
      <w:r>
        <w:t>“Thomas Hodgins</w:t>
      </w:r>
      <w:r w:rsidR="00935095" w:rsidRPr="00AC548D">
        <w:t>”</w:t>
      </w:r>
    </w:p>
    <w:p w:rsidR="00935095" w:rsidRPr="004E31D7" w:rsidRDefault="00935095" w:rsidP="004E31D7">
      <w:pPr>
        <w:pStyle w:val="MemberSignature"/>
        <w:ind w:left="0"/>
        <w:jc w:val="both"/>
        <w:rPr>
          <w:i w:val="0"/>
        </w:rPr>
      </w:pPr>
    </w:p>
    <w:p w:rsidR="00935095" w:rsidRPr="004E31D7" w:rsidRDefault="00935095" w:rsidP="004E31D7">
      <w:pPr>
        <w:pStyle w:val="MemberSignature"/>
        <w:ind w:left="0"/>
        <w:jc w:val="left"/>
        <w:rPr>
          <w:i w:val="0"/>
        </w:rPr>
      </w:pPr>
    </w:p>
    <w:p w:rsidR="00935095" w:rsidRPr="00AC548D" w:rsidRDefault="003C6DCC" w:rsidP="00AC548D">
      <w:pPr>
        <w:pStyle w:val="MemberSignatureNameandTitle"/>
      </w:pPr>
      <w:r>
        <w:t>Thomas hodgins</w:t>
      </w:r>
    </w:p>
    <w:p w:rsidR="00935095" w:rsidRPr="00AC548D" w:rsidRDefault="003C6DCC" w:rsidP="00AC548D">
      <w:pPr>
        <w:pStyle w:val="MemberSignatureNameandTitle"/>
      </w:pPr>
      <w:r>
        <w:t>MEMBER</w:t>
      </w:r>
    </w:p>
    <w:p w:rsidR="00935095" w:rsidRPr="004E31D7" w:rsidRDefault="00935095" w:rsidP="00AC548D">
      <w:pPr>
        <w:rPr>
          <w:rFonts w:ascii="Arial" w:hAnsi="Arial" w:cs="Arial"/>
        </w:rPr>
      </w:pPr>
    </w:p>
    <w:p w:rsidR="00935095" w:rsidRPr="004E31D7" w:rsidRDefault="00935095" w:rsidP="00AC548D">
      <w:pPr>
        <w:rPr>
          <w:rFonts w:ascii="Arial" w:hAnsi="Arial" w:cs="Arial"/>
        </w:rPr>
      </w:pPr>
    </w:p>
    <w:p w:rsidR="00D265BD" w:rsidRPr="004E31D7" w:rsidRDefault="00D265BD" w:rsidP="00AC548D">
      <w:pPr>
        <w:rPr>
          <w:rFonts w:ascii="Arial" w:hAnsi="Arial" w:cs="Arial"/>
        </w:rPr>
      </w:pPr>
    </w:p>
    <w:p w:rsidR="00D265BD" w:rsidRPr="004E31D7" w:rsidRDefault="00D265BD" w:rsidP="00AC548D">
      <w:pPr>
        <w:rPr>
          <w:rFonts w:ascii="Arial" w:hAnsi="Arial" w:cs="Arial"/>
        </w:rPr>
      </w:pPr>
    </w:p>
    <w:p w:rsidR="00D265BD" w:rsidRPr="004E31D7" w:rsidRDefault="00D265BD" w:rsidP="00AC548D">
      <w:pPr>
        <w:rPr>
          <w:rFonts w:ascii="Arial" w:hAnsi="Arial" w:cs="Arial"/>
        </w:rPr>
      </w:pPr>
    </w:p>
    <w:p w:rsidR="00D265BD" w:rsidRPr="004E31D7" w:rsidRDefault="00D265BD" w:rsidP="00AC548D">
      <w:pPr>
        <w:rPr>
          <w:rFonts w:ascii="Arial" w:hAnsi="Arial" w:cs="Arial"/>
        </w:rPr>
      </w:pPr>
    </w:p>
    <w:p w:rsidR="00BA79F7" w:rsidRPr="004E31D7" w:rsidRDefault="00BA79F7" w:rsidP="00AC548D">
      <w:pPr>
        <w:rPr>
          <w:rFonts w:ascii="Arial" w:hAnsi="Arial" w:cs="Arial"/>
        </w:rPr>
      </w:pPr>
    </w:p>
    <w:p w:rsidR="0092760B" w:rsidRPr="00AC548D" w:rsidRDefault="0092760B" w:rsidP="004850D0">
      <w:pPr>
        <w:pStyle w:val="AttachmentTextaboveFooter"/>
      </w:pPr>
      <w:r w:rsidRPr="00AC548D">
        <w:t>If there is an attachment referred to in this document,</w:t>
      </w:r>
    </w:p>
    <w:p w:rsidR="0092760B" w:rsidRPr="00AC548D" w:rsidRDefault="0092760B" w:rsidP="004850D0">
      <w:pPr>
        <w:pStyle w:val="AttachmentTextaboveFooter"/>
      </w:pPr>
      <w:proofErr w:type="gramStart"/>
      <w:r w:rsidRPr="00AC548D">
        <w:t>please</w:t>
      </w:r>
      <w:proofErr w:type="gramEnd"/>
      <w:r w:rsidRPr="00AC548D">
        <w:t xml:space="preserve"> visit www.elto.gov.on.ca to view the attachment in PDF format.</w:t>
      </w:r>
    </w:p>
    <w:p w:rsidR="003D1234" w:rsidRPr="00AC548D" w:rsidRDefault="003D1234" w:rsidP="004E31D7">
      <w:pPr>
        <w:pStyle w:val="Footer"/>
        <w:jc w:val="left"/>
      </w:pPr>
    </w:p>
    <w:p w:rsidR="009A73F6" w:rsidRPr="00AC548D" w:rsidRDefault="009A73F6" w:rsidP="004E31D7">
      <w:pPr>
        <w:pStyle w:val="Footer"/>
        <w:jc w:val="left"/>
      </w:pPr>
    </w:p>
    <w:p w:rsidR="00FE1AB5" w:rsidRPr="00AC548D" w:rsidRDefault="00FE1AB5" w:rsidP="00AC548D">
      <w:pPr>
        <w:pStyle w:val="Footer"/>
        <w:rPr>
          <w:b/>
        </w:rPr>
      </w:pPr>
      <w:r w:rsidRPr="00AC548D">
        <w:rPr>
          <w:b/>
        </w:rPr>
        <w:t>Local Planning Appeal Tribunal</w:t>
      </w:r>
    </w:p>
    <w:p w:rsidR="005A6B29" w:rsidRPr="00AC548D" w:rsidRDefault="005A6B29" w:rsidP="00AC548D">
      <w:pPr>
        <w:pStyle w:val="Footer"/>
      </w:pPr>
      <w:r w:rsidRPr="00AC548D">
        <w:t xml:space="preserve">A constituent tribunal of </w:t>
      </w:r>
      <w:r w:rsidR="00C237CD">
        <w:t xml:space="preserve">Tribunals Ontario - </w:t>
      </w:r>
      <w:r w:rsidRPr="00AC548D">
        <w:t xml:space="preserve">Environment and Land </w:t>
      </w:r>
      <w:r w:rsidR="00C237CD">
        <w:t xml:space="preserve">Division </w:t>
      </w:r>
    </w:p>
    <w:p w:rsidR="005A6B29" w:rsidRPr="00AC548D" w:rsidRDefault="005A6B29" w:rsidP="00AC548D">
      <w:pPr>
        <w:pStyle w:val="Footer"/>
      </w:pPr>
      <w:r w:rsidRPr="00AC548D">
        <w:t xml:space="preserve">Website: </w:t>
      </w:r>
      <w:proofErr w:type="gramStart"/>
      <w:r w:rsidRPr="00AC548D">
        <w:t>www.elto.gov.on.ca  Telephone</w:t>
      </w:r>
      <w:proofErr w:type="gramEnd"/>
      <w:r w:rsidRPr="00AC548D">
        <w:t>: 416-212-6349  Toll Free: 1-866-448-2248</w:t>
      </w:r>
    </w:p>
    <w:sectPr w:rsidR="005A6B29" w:rsidRPr="00AC548D" w:rsidSect="00627521">
      <w:headerReference w:type="default" r:id="rId10"/>
      <w:pgSz w:w="12240" w:h="15840" w:code="1"/>
      <w:pgMar w:top="1239" w:right="1440" w:bottom="135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87C" w:rsidRDefault="00F3487C">
      <w:r>
        <w:separator/>
      </w:r>
    </w:p>
  </w:endnote>
  <w:endnote w:type="continuationSeparator" w:id="0">
    <w:p w:rsidR="00F3487C" w:rsidRDefault="00F3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87C" w:rsidRDefault="00F3487C">
      <w:r>
        <w:separator/>
      </w:r>
    </w:p>
  </w:footnote>
  <w:footnote w:type="continuationSeparator" w:id="0">
    <w:p w:rsidR="00F3487C" w:rsidRDefault="00F34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DA2" w:rsidRPr="00B63F18" w:rsidRDefault="00271DA2" w:rsidP="00285AD7">
    <w:pPr>
      <w:pStyle w:val="Header"/>
      <w:tabs>
        <w:tab w:val="clear" w:pos="8640"/>
        <w:tab w:val="center" w:pos="4680"/>
        <w:tab w:val="left" w:pos="6804"/>
        <w:tab w:val="right" w:pos="9360"/>
      </w:tabs>
      <w:jc w:val="right"/>
      <w:rPr>
        <w:rFonts w:ascii="Arial" w:hAnsi="Arial" w:cs="Arial"/>
        <w:noProof/>
        <w:lang w:val="en-CA"/>
      </w:rPr>
    </w:pPr>
    <w:r>
      <w:tab/>
    </w:r>
    <w:r>
      <w:tab/>
    </w:r>
    <w:r w:rsidRPr="005E51AF">
      <w:rPr>
        <w:rFonts w:ascii="Arial" w:hAnsi="Arial" w:cs="Arial"/>
      </w:rPr>
      <w:fldChar w:fldCharType="begin"/>
    </w:r>
    <w:r w:rsidRPr="005E51AF">
      <w:rPr>
        <w:rFonts w:ascii="Arial" w:hAnsi="Arial" w:cs="Arial"/>
      </w:rPr>
      <w:instrText xml:space="preserve"> PAGE   \* MERGEFORMAT </w:instrText>
    </w:r>
    <w:r w:rsidRPr="005E51AF">
      <w:rPr>
        <w:rFonts w:ascii="Arial" w:hAnsi="Arial" w:cs="Arial"/>
      </w:rPr>
      <w:fldChar w:fldCharType="separate"/>
    </w:r>
    <w:r w:rsidR="00934BCA">
      <w:rPr>
        <w:rFonts w:ascii="Arial" w:hAnsi="Arial" w:cs="Arial"/>
        <w:noProof/>
      </w:rPr>
      <w:t>7</w:t>
    </w:r>
    <w:r w:rsidRPr="005E51AF">
      <w:rPr>
        <w:rFonts w:ascii="Arial" w:hAnsi="Arial" w:cs="Arial"/>
        <w:noProof/>
      </w:rPr>
      <w:fldChar w:fldCharType="end"/>
    </w:r>
    <w:r>
      <w:rPr>
        <w:rFonts w:ascii="Arial" w:hAnsi="Arial" w:cs="Arial"/>
        <w:noProof/>
      </w:rPr>
      <w:tab/>
    </w:r>
    <w:r w:rsidRPr="00285AD7">
      <w:rPr>
        <w:rFonts w:ascii="Arial" w:hAnsi="Arial" w:cs="Arial"/>
      </w:rPr>
      <w:t xml:space="preserve"> </w:t>
    </w:r>
    <w:r w:rsidR="00B63F18">
      <w:rPr>
        <w:rFonts w:ascii="Arial" w:hAnsi="Arial" w:cs="Arial"/>
      </w:rPr>
      <w:tab/>
    </w:r>
    <w:r w:rsidRPr="00285AD7">
      <w:rPr>
        <w:rFonts w:ascii="Arial" w:hAnsi="Arial" w:cs="Arial"/>
      </w:rPr>
      <w:t xml:space="preserve"> </w:t>
    </w:r>
    <w:r w:rsidR="00B63F18">
      <w:rPr>
        <w:rFonts w:ascii="Arial" w:hAnsi="Arial" w:cs="Arial"/>
        <w:lang w:val="en-CA"/>
      </w:rPr>
      <w:t>PL180878</w:t>
    </w:r>
  </w:p>
  <w:p w:rsidR="00271DA2" w:rsidRDefault="00271DA2" w:rsidP="002D2254">
    <w:pPr>
      <w:pStyle w:val="Header"/>
      <w:tabs>
        <w:tab w:val="clear" w:pos="8640"/>
        <w:tab w:val="center" w:pos="4680"/>
        <w:tab w:val="left" w:pos="6804"/>
        <w:tab w:val="right" w:pos="9360"/>
      </w:tabs>
      <w:rPr>
        <w:rFonts w:ascii="Arial" w:hAnsi="Arial" w:cs="Arial"/>
        <w:noProof/>
      </w:rPr>
    </w:pPr>
  </w:p>
  <w:p w:rsidR="00271DA2" w:rsidRPr="005E51AF" w:rsidRDefault="00271DA2" w:rsidP="002D2254">
    <w:pPr>
      <w:pStyle w:val="Header"/>
      <w:tabs>
        <w:tab w:val="clear" w:pos="8640"/>
        <w:tab w:val="center" w:pos="4680"/>
        <w:tab w:val="left" w:pos="6804"/>
        <w:tab w:val="right" w:pos="936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B64"/>
    <w:multiLevelType w:val="hybridMultilevel"/>
    <w:tmpl w:val="D2A226C8"/>
    <w:lvl w:ilvl="0" w:tplc="0F965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A0516C0"/>
    <w:multiLevelType w:val="hybridMultilevel"/>
    <w:tmpl w:val="07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47372"/>
    <w:multiLevelType w:val="hybridMultilevel"/>
    <w:tmpl w:val="C8E0C6B4"/>
    <w:lvl w:ilvl="0" w:tplc="97B6B7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0E230A9A"/>
    <w:multiLevelType w:val="hybridMultilevel"/>
    <w:tmpl w:val="73EA5784"/>
    <w:lvl w:ilvl="0" w:tplc="F2C86DDE">
      <w:start w:val="1"/>
      <w:numFmt w:val="decimal"/>
      <w:lvlText w:val="%1."/>
      <w:lvlJc w:val="left"/>
      <w:pPr>
        <w:ind w:left="1815" w:hanging="360"/>
      </w:pPr>
      <w:rPr>
        <w:rFonts w:hint="default"/>
      </w:rPr>
    </w:lvl>
    <w:lvl w:ilvl="1" w:tplc="10090019" w:tentative="1">
      <w:start w:val="1"/>
      <w:numFmt w:val="lowerLetter"/>
      <w:lvlText w:val="%2."/>
      <w:lvlJc w:val="left"/>
      <w:pPr>
        <w:ind w:left="2535" w:hanging="360"/>
      </w:pPr>
    </w:lvl>
    <w:lvl w:ilvl="2" w:tplc="1009001B" w:tentative="1">
      <w:start w:val="1"/>
      <w:numFmt w:val="lowerRoman"/>
      <w:lvlText w:val="%3."/>
      <w:lvlJc w:val="right"/>
      <w:pPr>
        <w:ind w:left="3255" w:hanging="180"/>
      </w:pPr>
    </w:lvl>
    <w:lvl w:ilvl="3" w:tplc="1009000F" w:tentative="1">
      <w:start w:val="1"/>
      <w:numFmt w:val="decimal"/>
      <w:lvlText w:val="%4."/>
      <w:lvlJc w:val="left"/>
      <w:pPr>
        <w:ind w:left="3975" w:hanging="360"/>
      </w:pPr>
    </w:lvl>
    <w:lvl w:ilvl="4" w:tplc="10090019" w:tentative="1">
      <w:start w:val="1"/>
      <w:numFmt w:val="lowerLetter"/>
      <w:lvlText w:val="%5."/>
      <w:lvlJc w:val="left"/>
      <w:pPr>
        <w:ind w:left="4695" w:hanging="360"/>
      </w:pPr>
    </w:lvl>
    <w:lvl w:ilvl="5" w:tplc="1009001B" w:tentative="1">
      <w:start w:val="1"/>
      <w:numFmt w:val="lowerRoman"/>
      <w:lvlText w:val="%6."/>
      <w:lvlJc w:val="right"/>
      <w:pPr>
        <w:ind w:left="5415" w:hanging="180"/>
      </w:pPr>
    </w:lvl>
    <w:lvl w:ilvl="6" w:tplc="1009000F" w:tentative="1">
      <w:start w:val="1"/>
      <w:numFmt w:val="decimal"/>
      <w:lvlText w:val="%7."/>
      <w:lvlJc w:val="left"/>
      <w:pPr>
        <w:ind w:left="6135" w:hanging="360"/>
      </w:pPr>
    </w:lvl>
    <w:lvl w:ilvl="7" w:tplc="10090019" w:tentative="1">
      <w:start w:val="1"/>
      <w:numFmt w:val="lowerLetter"/>
      <w:lvlText w:val="%8."/>
      <w:lvlJc w:val="left"/>
      <w:pPr>
        <w:ind w:left="6855" w:hanging="360"/>
      </w:pPr>
    </w:lvl>
    <w:lvl w:ilvl="8" w:tplc="1009001B" w:tentative="1">
      <w:start w:val="1"/>
      <w:numFmt w:val="lowerRoman"/>
      <w:lvlText w:val="%9."/>
      <w:lvlJc w:val="right"/>
      <w:pPr>
        <w:ind w:left="7575" w:hanging="180"/>
      </w:pPr>
    </w:lvl>
  </w:abstractNum>
  <w:abstractNum w:abstractNumId="4">
    <w:nsid w:val="16BF5028"/>
    <w:multiLevelType w:val="hybridMultilevel"/>
    <w:tmpl w:val="5B90020E"/>
    <w:lvl w:ilvl="0" w:tplc="320EB60C">
      <w:start w:val="2"/>
      <w:numFmt w:val="decimal"/>
      <w:lvlText w:val="[%1]"/>
      <w:lvlJc w:val="left"/>
      <w:pPr>
        <w:ind w:left="360" w:hanging="360"/>
      </w:pPr>
      <w:rPr>
        <w:rFonts w:ascii="Arial" w:hAnsi="Arial"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17E67A74"/>
    <w:multiLevelType w:val="hybridMultilevel"/>
    <w:tmpl w:val="E90C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0F1F60"/>
    <w:multiLevelType w:val="hybridMultilevel"/>
    <w:tmpl w:val="D0DC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E3260E"/>
    <w:multiLevelType w:val="hybridMultilevel"/>
    <w:tmpl w:val="4FCE1E12"/>
    <w:lvl w:ilvl="0" w:tplc="C4C2FB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F937D4B"/>
    <w:multiLevelType w:val="hybridMultilevel"/>
    <w:tmpl w:val="F2D812E8"/>
    <w:lvl w:ilvl="0" w:tplc="C8AAA2F0">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12786A"/>
    <w:multiLevelType w:val="hybridMultilevel"/>
    <w:tmpl w:val="34A2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557F62"/>
    <w:multiLevelType w:val="hybridMultilevel"/>
    <w:tmpl w:val="32487B86"/>
    <w:lvl w:ilvl="0" w:tplc="F0824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EB7648F"/>
    <w:multiLevelType w:val="hybridMultilevel"/>
    <w:tmpl w:val="29364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8B82D88"/>
    <w:multiLevelType w:val="hybridMultilevel"/>
    <w:tmpl w:val="E68C454E"/>
    <w:lvl w:ilvl="0" w:tplc="8BB6449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FA44A38"/>
    <w:multiLevelType w:val="hybridMultilevel"/>
    <w:tmpl w:val="146E0010"/>
    <w:lvl w:ilvl="0" w:tplc="06D810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FDA525C"/>
    <w:multiLevelType w:val="hybridMultilevel"/>
    <w:tmpl w:val="924605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40774E68"/>
    <w:multiLevelType w:val="hybridMultilevel"/>
    <w:tmpl w:val="02863DF2"/>
    <w:lvl w:ilvl="0" w:tplc="09CC1668">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76A6F49"/>
    <w:multiLevelType w:val="hybridMultilevel"/>
    <w:tmpl w:val="28AE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6458B6"/>
    <w:multiLevelType w:val="hybridMultilevel"/>
    <w:tmpl w:val="28803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177116"/>
    <w:multiLevelType w:val="hybridMultilevel"/>
    <w:tmpl w:val="2DE62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192E59"/>
    <w:multiLevelType w:val="hybridMultilevel"/>
    <w:tmpl w:val="FD6A7990"/>
    <w:lvl w:ilvl="0" w:tplc="E74E5A44">
      <w:start w:val="1"/>
      <w:numFmt w:val="decimal"/>
      <w:lvlText w:val="[%1]"/>
      <w:lvlJc w:val="left"/>
      <w:pPr>
        <w:ind w:left="502"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31D5032"/>
    <w:multiLevelType w:val="hybridMultilevel"/>
    <w:tmpl w:val="AB348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A12260"/>
    <w:multiLevelType w:val="hybridMultilevel"/>
    <w:tmpl w:val="D2882F00"/>
    <w:lvl w:ilvl="0" w:tplc="921E247A">
      <w:start w:val="1"/>
      <w:numFmt w:val="decimal"/>
      <w:lvlText w:val="[%1]"/>
      <w:lvlJc w:val="left"/>
      <w:pPr>
        <w:ind w:left="360"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2">
    <w:nsid w:val="5B9239C2"/>
    <w:multiLevelType w:val="hybridMultilevel"/>
    <w:tmpl w:val="249CEDA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nsid w:val="5C6275A3"/>
    <w:multiLevelType w:val="hybridMultilevel"/>
    <w:tmpl w:val="805A8E62"/>
    <w:lvl w:ilvl="0" w:tplc="01DC8C16">
      <w:start w:val="1"/>
      <w:numFmt w:val="decimal"/>
      <w:lvlText w:val="[%1]"/>
      <w:lvlJc w:val="left"/>
      <w:pPr>
        <w:ind w:left="720" w:hanging="360"/>
      </w:pPr>
      <w:rPr>
        <w:rFonts w:ascii="Arial" w:hAnsi="Arial"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4AA120A"/>
    <w:multiLevelType w:val="hybridMultilevel"/>
    <w:tmpl w:val="9FA4C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6B6A22"/>
    <w:multiLevelType w:val="hybridMultilevel"/>
    <w:tmpl w:val="8E221DE4"/>
    <w:lvl w:ilvl="0" w:tplc="80BC16C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66E41154"/>
    <w:multiLevelType w:val="hybridMultilevel"/>
    <w:tmpl w:val="3EEC5B7E"/>
    <w:lvl w:ilvl="0" w:tplc="FF8AF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93A3642"/>
    <w:multiLevelType w:val="hybridMultilevel"/>
    <w:tmpl w:val="0824A6D2"/>
    <w:lvl w:ilvl="0" w:tplc="CD6A13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7CD52EC"/>
    <w:multiLevelType w:val="hybridMultilevel"/>
    <w:tmpl w:val="E5E4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A920F07"/>
    <w:multiLevelType w:val="hybridMultilevel"/>
    <w:tmpl w:val="634A90FE"/>
    <w:lvl w:ilvl="0" w:tplc="C53065C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7A956977"/>
    <w:multiLevelType w:val="hybridMultilevel"/>
    <w:tmpl w:val="94C03168"/>
    <w:lvl w:ilvl="0" w:tplc="B53435BE">
      <w:start w:val="1"/>
      <w:numFmt w:val="decimal"/>
      <w:pStyle w:val="DecisionBody"/>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F2C0661"/>
    <w:multiLevelType w:val="hybridMultilevel"/>
    <w:tmpl w:val="68A0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
  </w:num>
  <w:num w:numId="3">
    <w:abstractNumId w:val="28"/>
  </w:num>
  <w:num w:numId="4">
    <w:abstractNumId w:val="9"/>
  </w:num>
  <w:num w:numId="5">
    <w:abstractNumId w:val="31"/>
  </w:num>
  <w:num w:numId="6">
    <w:abstractNumId w:val="5"/>
  </w:num>
  <w:num w:numId="7">
    <w:abstractNumId w:val="1"/>
  </w:num>
  <w:num w:numId="8">
    <w:abstractNumId w:val="26"/>
  </w:num>
  <w:num w:numId="9">
    <w:abstractNumId w:val="16"/>
  </w:num>
  <w:num w:numId="10">
    <w:abstractNumId w:val="14"/>
  </w:num>
  <w:num w:numId="11">
    <w:abstractNumId w:val="21"/>
  </w:num>
  <w:num w:numId="12">
    <w:abstractNumId w:val="29"/>
  </w:num>
  <w:num w:numId="13">
    <w:abstractNumId w:val="4"/>
  </w:num>
  <w:num w:numId="14">
    <w:abstractNumId w:val="17"/>
  </w:num>
  <w:num w:numId="15">
    <w:abstractNumId w:val="24"/>
  </w:num>
  <w:num w:numId="16">
    <w:abstractNumId w:val="20"/>
  </w:num>
  <w:num w:numId="17">
    <w:abstractNumId w:val="8"/>
  </w:num>
  <w:num w:numId="18">
    <w:abstractNumId w:val="10"/>
  </w:num>
  <w:num w:numId="19">
    <w:abstractNumId w:val="2"/>
  </w:num>
  <w:num w:numId="20">
    <w:abstractNumId w:val="0"/>
  </w:num>
  <w:num w:numId="21">
    <w:abstractNumId w:val="7"/>
  </w:num>
  <w:num w:numId="22">
    <w:abstractNumId w:val="3"/>
  </w:num>
  <w:num w:numId="23">
    <w:abstractNumId w:val="13"/>
  </w:num>
  <w:num w:numId="24">
    <w:abstractNumId w:val="25"/>
  </w:num>
  <w:num w:numId="25">
    <w:abstractNumId w:val="12"/>
  </w:num>
  <w:num w:numId="26">
    <w:abstractNumId w:val="27"/>
  </w:num>
  <w:num w:numId="27">
    <w:abstractNumId w:val="11"/>
  </w:num>
  <w:num w:numId="28">
    <w:abstractNumId w:val="22"/>
  </w:num>
  <w:num w:numId="29">
    <w:abstractNumId w:val="15"/>
  </w:num>
  <w:num w:numId="30">
    <w:abstractNumId w:val="23"/>
  </w:num>
  <w:num w:numId="31">
    <w:abstractNumId w:val="3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C4"/>
    <w:rsid w:val="0001398A"/>
    <w:rsid w:val="000170F3"/>
    <w:rsid w:val="00017DFC"/>
    <w:rsid w:val="00022EAD"/>
    <w:rsid w:val="00031C6E"/>
    <w:rsid w:val="0003783B"/>
    <w:rsid w:val="000424A6"/>
    <w:rsid w:val="00054A9F"/>
    <w:rsid w:val="00056F73"/>
    <w:rsid w:val="00065064"/>
    <w:rsid w:val="0006526A"/>
    <w:rsid w:val="00075342"/>
    <w:rsid w:val="00076196"/>
    <w:rsid w:val="0008105B"/>
    <w:rsid w:val="00081B93"/>
    <w:rsid w:val="00094E62"/>
    <w:rsid w:val="000A25D4"/>
    <w:rsid w:val="000A5BAE"/>
    <w:rsid w:val="000B4BFB"/>
    <w:rsid w:val="000C21BB"/>
    <w:rsid w:val="000C25F1"/>
    <w:rsid w:val="000C480C"/>
    <w:rsid w:val="000C7608"/>
    <w:rsid w:val="000D09B3"/>
    <w:rsid w:val="000D6F9D"/>
    <w:rsid w:val="000D7BBD"/>
    <w:rsid w:val="000F29E9"/>
    <w:rsid w:val="000F6357"/>
    <w:rsid w:val="00100AF6"/>
    <w:rsid w:val="0010191A"/>
    <w:rsid w:val="00104001"/>
    <w:rsid w:val="001220E4"/>
    <w:rsid w:val="0013161B"/>
    <w:rsid w:val="00137797"/>
    <w:rsid w:val="001551CC"/>
    <w:rsid w:val="001562BE"/>
    <w:rsid w:val="001634FB"/>
    <w:rsid w:val="001656BC"/>
    <w:rsid w:val="001702F3"/>
    <w:rsid w:val="00172CE7"/>
    <w:rsid w:val="001765FB"/>
    <w:rsid w:val="001808B6"/>
    <w:rsid w:val="00182765"/>
    <w:rsid w:val="00182B0E"/>
    <w:rsid w:val="00185E46"/>
    <w:rsid w:val="00190DF3"/>
    <w:rsid w:val="001A3C06"/>
    <w:rsid w:val="001B5CE4"/>
    <w:rsid w:val="001C050F"/>
    <w:rsid w:val="001D67CE"/>
    <w:rsid w:val="001D6F93"/>
    <w:rsid w:val="001E4280"/>
    <w:rsid w:val="001E764F"/>
    <w:rsid w:val="001F179F"/>
    <w:rsid w:val="0020298E"/>
    <w:rsid w:val="00205167"/>
    <w:rsid w:val="002159B4"/>
    <w:rsid w:val="0021608D"/>
    <w:rsid w:val="00220639"/>
    <w:rsid w:val="0022133C"/>
    <w:rsid w:val="00225203"/>
    <w:rsid w:val="0022579A"/>
    <w:rsid w:val="00226115"/>
    <w:rsid w:val="002315A3"/>
    <w:rsid w:val="002346B3"/>
    <w:rsid w:val="00235236"/>
    <w:rsid w:val="002419BB"/>
    <w:rsid w:val="002433A2"/>
    <w:rsid w:val="002446DE"/>
    <w:rsid w:val="00246A65"/>
    <w:rsid w:val="00250221"/>
    <w:rsid w:val="00257414"/>
    <w:rsid w:val="0026320F"/>
    <w:rsid w:val="00270AAE"/>
    <w:rsid w:val="00271DA2"/>
    <w:rsid w:val="0027284D"/>
    <w:rsid w:val="002751B8"/>
    <w:rsid w:val="00277F40"/>
    <w:rsid w:val="00280925"/>
    <w:rsid w:val="00283370"/>
    <w:rsid w:val="00285AD7"/>
    <w:rsid w:val="00290FEC"/>
    <w:rsid w:val="00293E85"/>
    <w:rsid w:val="002959D2"/>
    <w:rsid w:val="002A393B"/>
    <w:rsid w:val="002B47E9"/>
    <w:rsid w:val="002C00E1"/>
    <w:rsid w:val="002C7CBA"/>
    <w:rsid w:val="002D2254"/>
    <w:rsid w:val="002D23D0"/>
    <w:rsid w:val="002D38E7"/>
    <w:rsid w:val="002E7C9F"/>
    <w:rsid w:val="002F2B55"/>
    <w:rsid w:val="002F37EF"/>
    <w:rsid w:val="002F4E11"/>
    <w:rsid w:val="002F73E5"/>
    <w:rsid w:val="003051EA"/>
    <w:rsid w:val="00307DEE"/>
    <w:rsid w:val="00316394"/>
    <w:rsid w:val="00323369"/>
    <w:rsid w:val="00324440"/>
    <w:rsid w:val="00340879"/>
    <w:rsid w:val="00345480"/>
    <w:rsid w:val="003506EA"/>
    <w:rsid w:val="00350E1B"/>
    <w:rsid w:val="00353F52"/>
    <w:rsid w:val="00354C2E"/>
    <w:rsid w:val="00355E6E"/>
    <w:rsid w:val="003620BF"/>
    <w:rsid w:val="00367CB0"/>
    <w:rsid w:val="00375F31"/>
    <w:rsid w:val="0038484F"/>
    <w:rsid w:val="00385FC9"/>
    <w:rsid w:val="00391DD7"/>
    <w:rsid w:val="003B236D"/>
    <w:rsid w:val="003B298B"/>
    <w:rsid w:val="003B7CE2"/>
    <w:rsid w:val="003C6DCC"/>
    <w:rsid w:val="003D1234"/>
    <w:rsid w:val="003F266C"/>
    <w:rsid w:val="00401F7B"/>
    <w:rsid w:val="00403715"/>
    <w:rsid w:val="00420FFD"/>
    <w:rsid w:val="004233D2"/>
    <w:rsid w:val="00441A9B"/>
    <w:rsid w:val="004507E6"/>
    <w:rsid w:val="00452228"/>
    <w:rsid w:val="004539BB"/>
    <w:rsid w:val="004568CC"/>
    <w:rsid w:val="00460B87"/>
    <w:rsid w:val="004662FE"/>
    <w:rsid w:val="0047658F"/>
    <w:rsid w:val="004850D0"/>
    <w:rsid w:val="004A4461"/>
    <w:rsid w:val="004A587D"/>
    <w:rsid w:val="004B3247"/>
    <w:rsid w:val="004B6547"/>
    <w:rsid w:val="004B7E92"/>
    <w:rsid w:val="004C06AB"/>
    <w:rsid w:val="004C3B19"/>
    <w:rsid w:val="004C5ADC"/>
    <w:rsid w:val="004E03A4"/>
    <w:rsid w:val="004E31D7"/>
    <w:rsid w:val="004E4C91"/>
    <w:rsid w:val="004E4CD6"/>
    <w:rsid w:val="004F13B0"/>
    <w:rsid w:val="004F1B46"/>
    <w:rsid w:val="00505DF1"/>
    <w:rsid w:val="005064E9"/>
    <w:rsid w:val="00513CCD"/>
    <w:rsid w:val="005176E6"/>
    <w:rsid w:val="00522256"/>
    <w:rsid w:val="00530917"/>
    <w:rsid w:val="0053773B"/>
    <w:rsid w:val="0055024F"/>
    <w:rsid w:val="005554F9"/>
    <w:rsid w:val="00575802"/>
    <w:rsid w:val="00581834"/>
    <w:rsid w:val="00581FFB"/>
    <w:rsid w:val="005826C8"/>
    <w:rsid w:val="005832B8"/>
    <w:rsid w:val="00585632"/>
    <w:rsid w:val="0058684A"/>
    <w:rsid w:val="005A6B29"/>
    <w:rsid w:val="005A767F"/>
    <w:rsid w:val="005B0EFC"/>
    <w:rsid w:val="005B2223"/>
    <w:rsid w:val="005C46AA"/>
    <w:rsid w:val="005C7251"/>
    <w:rsid w:val="005C7AA9"/>
    <w:rsid w:val="005D1ED7"/>
    <w:rsid w:val="005E51AF"/>
    <w:rsid w:val="005E6E45"/>
    <w:rsid w:val="005F182A"/>
    <w:rsid w:val="005F7A16"/>
    <w:rsid w:val="006002DC"/>
    <w:rsid w:val="0060505C"/>
    <w:rsid w:val="00611B55"/>
    <w:rsid w:val="00614648"/>
    <w:rsid w:val="00616822"/>
    <w:rsid w:val="00627521"/>
    <w:rsid w:val="006306A8"/>
    <w:rsid w:val="00633F2C"/>
    <w:rsid w:val="0063575A"/>
    <w:rsid w:val="00640174"/>
    <w:rsid w:val="006419E7"/>
    <w:rsid w:val="00641AD3"/>
    <w:rsid w:val="00646BFB"/>
    <w:rsid w:val="00647B4B"/>
    <w:rsid w:val="00647ECC"/>
    <w:rsid w:val="006510E9"/>
    <w:rsid w:val="00653B50"/>
    <w:rsid w:val="00655F95"/>
    <w:rsid w:val="00656CC7"/>
    <w:rsid w:val="00657E0B"/>
    <w:rsid w:val="00663C56"/>
    <w:rsid w:val="00665DAE"/>
    <w:rsid w:val="006664C3"/>
    <w:rsid w:val="00677294"/>
    <w:rsid w:val="006A119C"/>
    <w:rsid w:val="006A19B7"/>
    <w:rsid w:val="006A2B5B"/>
    <w:rsid w:val="006A6356"/>
    <w:rsid w:val="006C6D4C"/>
    <w:rsid w:val="006D09B4"/>
    <w:rsid w:val="006D1DFD"/>
    <w:rsid w:val="006E6454"/>
    <w:rsid w:val="006F214C"/>
    <w:rsid w:val="006F2DF2"/>
    <w:rsid w:val="006F3415"/>
    <w:rsid w:val="006F6F82"/>
    <w:rsid w:val="007057F0"/>
    <w:rsid w:val="00706196"/>
    <w:rsid w:val="00707B3B"/>
    <w:rsid w:val="00715DD1"/>
    <w:rsid w:val="00716030"/>
    <w:rsid w:val="007342E5"/>
    <w:rsid w:val="007353C0"/>
    <w:rsid w:val="00735538"/>
    <w:rsid w:val="0076119A"/>
    <w:rsid w:val="00765C2D"/>
    <w:rsid w:val="00776CE0"/>
    <w:rsid w:val="007A1709"/>
    <w:rsid w:val="007A2C3D"/>
    <w:rsid w:val="007C08BD"/>
    <w:rsid w:val="007E0C30"/>
    <w:rsid w:val="007E0C3D"/>
    <w:rsid w:val="007F7583"/>
    <w:rsid w:val="00802055"/>
    <w:rsid w:val="008046EB"/>
    <w:rsid w:val="0080724D"/>
    <w:rsid w:val="008173CF"/>
    <w:rsid w:val="00823753"/>
    <w:rsid w:val="008316DB"/>
    <w:rsid w:val="0083211C"/>
    <w:rsid w:val="00835A80"/>
    <w:rsid w:val="00837AE6"/>
    <w:rsid w:val="008556D6"/>
    <w:rsid w:val="00865727"/>
    <w:rsid w:val="00866681"/>
    <w:rsid w:val="00890E5D"/>
    <w:rsid w:val="0089782A"/>
    <w:rsid w:val="008A1A0C"/>
    <w:rsid w:val="008A3586"/>
    <w:rsid w:val="008B3EB4"/>
    <w:rsid w:val="008B667D"/>
    <w:rsid w:val="008C09C4"/>
    <w:rsid w:val="008C56B8"/>
    <w:rsid w:val="008C7470"/>
    <w:rsid w:val="008D3B01"/>
    <w:rsid w:val="008E147D"/>
    <w:rsid w:val="008E5B11"/>
    <w:rsid w:val="00900C5B"/>
    <w:rsid w:val="00902134"/>
    <w:rsid w:val="00907DA4"/>
    <w:rsid w:val="009148E3"/>
    <w:rsid w:val="0092760B"/>
    <w:rsid w:val="00930FD3"/>
    <w:rsid w:val="009333AA"/>
    <w:rsid w:val="00934BCA"/>
    <w:rsid w:val="00935095"/>
    <w:rsid w:val="00935ABA"/>
    <w:rsid w:val="009360FC"/>
    <w:rsid w:val="009502CA"/>
    <w:rsid w:val="00951EE2"/>
    <w:rsid w:val="0095571C"/>
    <w:rsid w:val="0096422B"/>
    <w:rsid w:val="009650D8"/>
    <w:rsid w:val="009748FB"/>
    <w:rsid w:val="00976AA8"/>
    <w:rsid w:val="009773EC"/>
    <w:rsid w:val="00981E7A"/>
    <w:rsid w:val="00990F55"/>
    <w:rsid w:val="009A1884"/>
    <w:rsid w:val="009A31C9"/>
    <w:rsid w:val="009A34A1"/>
    <w:rsid w:val="009A6D63"/>
    <w:rsid w:val="009A73F6"/>
    <w:rsid w:val="009C20B2"/>
    <w:rsid w:val="009C4D62"/>
    <w:rsid w:val="009D0B82"/>
    <w:rsid w:val="009D5078"/>
    <w:rsid w:val="009E0DF7"/>
    <w:rsid w:val="009E1C08"/>
    <w:rsid w:val="009E202F"/>
    <w:rsid w:val="009E40F3"/>
    <w:rsid w:val="009E6983"/>
    <w:rsid w:val="009F040C"/>
    <w:rsid w:val="009F2C6C"/>
    <w:rsid w:val="009F3047"/>
    <w:rsid w:val="00A07D8A"/>
    <w:rsid w:val="00A11CE2"/>
    <w:rsid w:val="00A20E8C"/>
    <w:rsid w:val="00A33D9C"/>
    <w:rsid w:val="00A4162B"/>
    <w:rsid w:val="00A45D63"/>
    <w:rsid w:val="00A47406"/>
    <w:rsid w:val="00A550FC"/>
    <w:rsid w:val="00A7018C"/>
    <w:rsid w:val="00A70B89"/>
    <w:rsid w:val="00A70E2F"/>
    <w:rsid w:val="00A76E5B"/>
    <w:rsid w:val="00A81716"/>
    <w:rsid w:val="00A81DB3"/>
    <w:rsid w:val="00A84EF0"/>
    <w:rsid w:val="00A86E97"/>
    <w:rsid w:val="00A955CF"/>
    <w:rsid w:val="00AA1090"/>
    <w:rsid w:val="00AA1241"/>
    <w:rsid w:val="00AA432A"/>
    <w:rsid w:val="00AA607D"/>
    <w:rsid w:val="00AA6E2C"/>
    <w:rsid w:val="00AB07FC"/>
    <w:rsid w:val="00AB519E"/>
    <w:rsid w:val="00AB6DC4"/>
    <w:rsid w:val="00AB7E2E"/>
    <w:rsid w:val="00AC517A"/>
    <w:rsid w:val="00AC548D"/>
    <w:rsid w:val="00AC630B"/>
    <w:rsid w:val="00AD29BF"/>
    <w:rsid w:val="00AE075F"/>
    <w:rsid w:val="00AE1098"/>
    <w:rsid w:val="00AE1446"/>
    <w:rsid w:val="00B12A97"/>
    <w:rsid w:val="00B13C3D"/>
    <w:rsid w:val="00B157E1"/>
    <w:rsid w:val="00B16A05"/>
    <w:rsid w:val="00B17BED"/>
    <w:rsid w:val="00B225A1"/>
    <w:rsid w:val="00B25ACB"/>
    <w:rsid w:val="00B25ECF"/>
    <w:rsid w:val="00B268A7"/>
    <w:rsid w:val="00B35686"/>
    <w:rsid w:val="00B51EB2"/>
    <w:rsid w:val="00B51EBA"/>
    <w:rsid w:val="00B5261C"/>
    <w:rsid w:val="00B5585B"/>
    <w:rsid w:val="00B5628D"/>
    <w:rsid w:val="00B62606"/>
    <w:rsid w:val="00B63F18"/>
    <w:rsid w:val="00B6431E"/>
    <w:rsid w:val="00B67AB9"/>
    <w:rsid w:val="00B70285"/>
    <w:rsid w:val="00B702CE"/>
    <w:rsid w:val="00B721A7"/>
    <w:rsid w:val="00B73739"/>
    <w:rsid w:val="00B77B07"/>
    <w:rsid w:val="00B818DE"/>
    <w:rsid w:val="00B92BA3"/>
    <w:rsid w:val="00BA28A5"/>
    <w:rsid w:val="00BA5F87"/>
    <w:rsid w:val="00BA79F7"/>
    <w:rsid w:val="00BB1683"/>
    <w:rsid w:val="00BB6613"/>
    <w:rsid w:val="00BB66A5"/>
    <w:rsid w:val="00BC66D9"/>
    <w:rsid w:val="00BE0FA0"/>
    <w:rsid w:val="00BF23CB"/>
    <w:rsid w:val="00BF3612"/>
    <w:rsid w:val="00BF497A"/>
    <w:rsid w:val="00BF7426"/>
    <w:rsid w:val="00C02B28"/>
    <w:rsid w:val="00C1171C"/>
    <w:rsid w:val="00C237CD"/>
    <w:rsid w:val="00C300F2"/>
    <w:rsid w:val="00C5671C"/>
    <w:rsid w:val="00C801A0"/>
    <w:rsid w:val="00C838B9"/>
    <w:rsid w:val="00C92977"/>
    <w:rsid w:val="00C940BC"/>
    <w:rsid w:val="00CC269B"/>
    <w:rsid w:val="00CC29F3"/>
    <w:rsid w:val="00CC5C59"/>
    <w:rsid w:val="00CD235D"/>
    <w:rsid w:val="00CD5591"/>
    <w:rsid w:val="00CE10CC"/>
    <w:rsid w:val="00CF2AB8"/>
    <w:rsid w:val="00CF3F96"/>
    <w:rsid w:val="00CF4C37"/>
    <w:rsid w:val="00CF55CF"/>
    <w:rsid w:val="00D008AB"/>
    <w:rsid w:val="00D01696"/>
    <w:rsid w:val="00D1563D"/>
    <w:rsid w:val="00D26385"/>
    <w:rsid w:val="00D265BD"/>
    <w:rsid w:val="00D30F49"/>
    <w:rsid w:val="00D31486"/>
    <w:rsid w:val="00D32294"/>
    <w:rsid w:val="00D35322"/>
    <w:rsid w:val="00D35B18"/>
    <w:rsid w:val="00D36525"/>
    <w:rsid w:val="00D42D9F"/>
    <w:rsid w:val="00D50C1C"/>
    <w:rsid w:val="00D53BDA"/>
    <w:rsid w:val="00D66856"/>
    <w:rsid w:val="00D76186"/>
    <w:rsid w:val="00D76968"/>
    <w:rsid w:val="00D83C03"/>
    <w:rsid w:val="00D84899"/>
    <w:rsid w:val="00D8571F"/>
    <w:rsid w:val="00D91064"/>
    <w:rsid w:val="00D9357D"/>
    <w:rsid w:val="00DA3393"/>
    <w:rsid w:val="00DB023D"/>
    <w:rsid w:val="00DB16DE"/>
    <w:rsid w:val="00DB45DF"/>
    <w:rsid w:val="00DB49FE"/>
    <w:rsid w:val="00DD35F5"/>
    <w:rsid w:val="00DD6665"/>
    <w:rsid w:val="00DE62BC"/>
    <w:rsid w:val="00DF1772"/>
    <w:rsid w:val="00DF75FB"/>
    <w:rsid w:val="00E06453"/>
    <w:rsid w:val="00E11D71"/>
    <w:rsid w:val="00E12DE7"/>
    <w:rsid w:val="00E15446"/>
    <w:rsid w:val="00E35874"/>
    <w:rsid w:val="00E40778"/>
    <w:rsid w:val="00E4342D"/>
    <w:rsid w:val="00E45C87"/>
    <w:rsid w:val="00E462E0"/>
    <w:rsid w:val="00E5336E"/>
    <w:rsid w:val="00E65759"/>
    <w:rsid w:val="00E73226"/>
    <w:rsid w:val="00E743D2"/>
    <w:rsid w:val="00E77E48"/>
    <w:rsid w:val="00E8779D"/>
    <w:rsid w:val="00E87A9B"/>
    <w:rsid w:val="00E97D24"/>
    <w:rsid w:val="00E97F04"/>
    <w:rsid w:val="00EA73B7"/>
    <w:rsid w:val="00EB3E73"/>
    <w:rsid w:val="00EC181A"/>
    <w:rsid w:val="00EC2949"/>
    <w:rsid w:val="00EE4BA3"/>
    <w:rsid w:val="00EE62E6"/>
    <w:rsid w:val="00EF4FA7"/>
    <w:rsid w:val="00EF6354"/>
    <w:rsid w:val="00F13970"/>
    <w:rsid w:val="00F206C1"/>
    <w:rsid w:val="00F20B8D"/>
    <w:rsid w:val="00F217D3"/>
    <w:rsid w:val="00F3487C"/>
    <w:rsid w:val="00F376E5"/>
    <w:rsid w:val="00F404B1"/>
    <w:rsid w:val="00F408C2"/>
    <w:rsid w:val="00F46275"/>
    <w:rsid w:val="00F5297F"/>
    <w:rsid w:val="00F548C9"/>
    <w:rsid w:val="00F62C56"/>
    <w:rsid w:val="00F71AB8"/>
    <w:rsid w:val="00F76E36"/>
    <w:rsid w:val="00F801FB"/>
    <w:rsid w:val="00F82F6D"/>
    <w:rsid w:val="00F90029"/>
    <w:rsid w:val="00F9597B"/>
    <w:rsid w:val="00FA016B"/>
    <w:rsid w:val="00FA6295"/>
    <w:rsid w:val="00FD10D9"/>
    <w:rsid w:val="00FD395A"/>
    <w:rsid w:val="00FD4182"/>
    <w:rsid w:val="00FE1AB5"/>
    <w:rsid w:val="00FE3524"/>
    <w:rsid w:val="00FE478E"/>
    <w:rsid w:val="00FE4D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27284D"/>
    <w:pPr>
      <w:pBdr>
        <w:bottom w:val="single" w:sz="4" w:space="1" w:color="auto"/>
      </w:pBdr>
      <w:ind w:right="4"/>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autoRedefine/>
    <w:rsid w:val="00C5671C"/>
    <w:pPr>
      <w:widowControl w:val="0"/>
      <w:numPr>
        <w:numId w:val="31"/>
      </w:numPr>
      <w:spacing w:after="24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basedOn w:val="DefaultParagraphFont"/>
    <w:uiPriority w:val="99"/>
    <w:semiHidden/>
    <w:rsid w:val="00F206C1"/>
    <w:rPr>
      <w:color w:val="808080"/>
    </w:rPr>
  </w:style>
  <w:style w:type="paragraph" w:customStyle="1" w:styleId="AttachmentTextaboveFooter">
    <w:name w:val="Attachment Text above Footer"/>
    <w:basedOn w:val="Footer"/>
    <w:qFormat/>
    <w:rsid w:val="00485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27284D"/>
    <w:pPr>
      <w:pBdr>
        <w:bottom w:val="single" w:sz="4" w:space="1" w:color="auto"/>
      </w:pBdr>
      <w:ind w:right="4"/>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autoRedefine/>
    <w:rsid w:val="00C5671C"/>
    <w:pPr>
      <w:widowControl w:val="0"/>
      <w:numPr>
        <w:numId w:val="31"/>
      </w:numPr>
      <w:spacing w:after="24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basedOn w:val="DefaultParagraphFont"/>
    <w:uiPriority w:val="99"/>
    <w:semiHidden/>
    <w:rsid w:val="00F206C1"/>
    <w:rPr>
      <w:color w:val="808080"/>
    </w:rPr>
  </w:style>
  <w:style w:type="paragraph" w:customStyle="1" w:styleId="AttachmentTextaboveFooter">
    <w:name w:val="Attachment Text above Footer"/>
    <w:basedOn w:val="Footer"/>
    <w:qFormat/>
    <w:rsid w:val="00485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5497">
      <w:bodyDiv w:val="1"/>
      <w:marLeft w:val="0"/>
      <w:marRight w:val="0"/>
      <w:marTop w:val="0"/>
      <w:marBottom w:val="0"/>
      <w:divBdr>
        <w:top w:val="none" w:sz="0" w:space="0" w:color="auto"/>
        <w:left w:val="none" w:sz="0" w:space="0" w:color="auto"/>
        <w:bottom w:val="none" w:sz="0" w:space="0" w:color="auto"/>
        <w:right w:val="none" w:sz="0" w:space="0" w:color="auto"/>
      </w:divBdr>
    </w:div>
    <w:div w:id="308294427">
      <w:bodyDiv w:val="1"/>
      <w:marLeft w:val="0"/>
      <w:marRight w:val="0"/>
      <w:marTop w:val="0"/>
      <w:marBottom w:val="0"/>
      <w:divBdr>
        <w:top w:val="none" w:sz="0" w:space="0" w:color="auto"/>
        <w:left w:val="none" w:sz="0" w:space="0" w:color="auto"/>
        <w:bottom w:val="none" w:sz="0" w:space="0" w:color="auto"/>
        <w:right w:val="none" w:sz="0" w:space="0" w:color="auto"/>
      </w:divBdr>
    </w:div>
    <w:div w:id="448474643">
      <w:bodyDiv w:val="1"/>
      <w:marLeft w:val="0"/>
      <w:marRight w:val="0"/>
      <w:marTop w:val="0"/>
      <w:marBottom w:val="0"/>
      <w:divBdr>
        <w:top w:val="none" w:sz="0" w:space="0" w:color="auto"/>
        <w:left w:val="none" w:sz="0" w:space="0" w:color="auto"/>
        <w:bottom w:val="none" w:sz="0" w:space="0" w:color="auto"/>
        <w:right w:val="none" w:sz="0" w:space="0" w:color="auto"/>
      </w:divBdr>
    </w:div>
    <w:div w:id="515576386">
      <w:bodyDiv w:val="1"/>
      <w:marLeft w:val="0"/>
      <w:marRight w:val="0"/>
      <w:marTop w:val="0"/>
      <w:marBottom w:val="0"/>
      <w:divBdr>
        <w:top w:val="none" w:sz="0" w:space="0" w:color="auto"/>
        <w:left w:val="none" w:sz="0" w:space="0" w:color="auto"/>
        <w:bottom w:val="none" w:sz="0" w:space="0" w:color="auto"/>
        <w:right w:val="none" w:sz="0" w:space="0" w:color="auto"/>
      </w:divBdr>
    </w:div>
    <w:div w:id="526598114">
      <w:bodyDiv w:val="1"/>
      <w:marLeft w:val="0"/>
      <w:marRight w:val="0"/>
      <w:marTop w:val="0"/>
      <w:marBottom w:val="0"/>
      <w:divBdr>
        <w:top w:val="none" w:sz="0" w:space="0" w:color="auto"/>
        <w:left w:val="none" w:sz="0" w:space="0" w:color="auto"/>
        <w:bottom w:val="none" w:sz="0" w:space="0" w:color="auto"/>
        <w:right w:val="none" w:sz="0" w:space="0" w:color="auto"/>
      </w:divBdr>
    </w:div>
    <w:div w:id="977341194">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80677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F5577-6166-420F-8043-F1172072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1737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10819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creator>Authorized User</dc:creator>
  <cp:lastModifiedBy>Pilon, Kelly (MAG)</cp:lastModifiedBy>
  <cp:revision>3</cp:revision>
  <cp:lastPrinted>2019-05-17T12:20:00Z</cp:lastPrinted>
  <dcterms:created xsi:type="dcterms:W3CDTF">2019-05-17T12:20:00Z</dcterms:created>
  <dcterms:modified xsi:type="dcterms:W3CDTF">2019-05-17T12:24:00Z</dcterms:modified>
</cp:coreProperties>
</file>