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33238D3E" w14:textId="77777777" w:rsidTr="00FA326B">
        <w:trPr>
          <w:trHeight w:val="281"/>
        </w:trPr>
        <w:tc>
          <w:tcPr>
            <w:tcW w:w="5778" w:type="dxa"/>
          </w:tcPr>
          <w:p w14:paraId="0A646F22" w14:textId="77777777" w:rsidR="006D09B4" w:rsidRPr="001E764F" w:rsidRDefault="006D09B4" w:rsidP="006D09B4">
            <w:pPr>
              <w:rPr>
                <w:rFonts w:ascii="Arial" w:hAnsi="Arial" w:cs="Arial"/>
                <w:b/>
                <w:sz w:val="16"/>
                <w:szCs w:val="16"/>
              </w:rPr>
            </w:pPr>
          </w:p>
        </w:tc>
        <w:tc>
          <w:tcPr>
            <w:tcW w:w="3828" w:type="dxa"/>
            <w:vMerge w:val="restart"/>
          </w:tcPr>
          <w:p w14:paraId="4A08153C"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333A3AFF" wp14:editId="5BF62000">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2971168C" w14:textId="77777777" w:rsidTr="00FA326B">
        <w:tc>
          <w:tcPr>
            <w:tcW w:w="5778" w:type="dxa"/>
          </w:tcPr>
          <w:p w14:paraId="75EE5352"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52FF5BC9" w14:textId="77777777" w:rsidR="006D09B4" w:rsidRPr="001E764F" w:rsidRDefault="006D09B4" w:rsidP="006D09B4">
            <w:pPr>
              <w:rPr>
                <w:rFonts w:ascii="Arial" w:hAnsi="Arial" w:cs="Arial"/>
                <w:b/>
                <w:sz w:val="32"/>
                <w:szCs w:val="32"/>
              </w:rPr>
            </w:pPr>
          </w:p>
        </w:tc>
      </w:tr>
      <w:tr w:rsidR="006D09B4" w:rsidRPr="001E764F" w14:paraId="4CDF6F3B" w14:textId="77777777" w:rsidTr="00FA326B">
        <w:tc>
          <w:tcPr>
            <w:tcW w:w="5778" w:type="dxa"/>
          </w:tcPr>
          <w:p w14:paraId="727ABB3E"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96E372D" w14:textId="77777777" w:rsidR="006D09B4" w:rsidRPr="001E764F" w:rsidRDefault="006D09B4" w:rsidP="006D09B4">
            <w:pPr>
              <w:rPr>
                <w:rFonts w:ascii="Arial" w:hAnsi="Arial" w:cs="Arial"/>
                <w:sz w:val="32"/>
                <w:szCs w:val="32"/>
                <w:lang w:val="fr-CA"/>
              </w:rPr>
            </w:pPr>
          </w:p>
          <w:p w14:paraId="4447AAB7" w14:textId="77777777" w:rsidR="006D09B4" w:rsidRPr="001E764F" w:rsidRDefault="006D09B4" w:rsidP="006D09B4">
            <w:pPr>
              <w:rPr>
                <w:rFonts w:ascii="Arial" w:hAnsi="Arial" w:cs="Arial"/>
                <w:sz w:val="32"/>
                <w:szCs w:val="32"/>
                <w:lang w:val="fr-CA"/>
              </w:rPr>
            </w:pPr>
          </w:p>
        </w:tc>
        <w:tc>
          <w:tcPr>
            <w:tcW w:w="3828" w:type="dxa"/>
            <w:vMerge/>
          </w:tcPr>
          <w:p w14:paraId="0C6D0181" w14:textId="77777777" w:rsidR="006D09B4" w:rsidRPr="001E764F" w:rsidRDefault="006D09B4" w:rsidP="006D09B4">
            <w:pPr>
              <w:rPr>
                <w:rFonts w:ascii="Arial" w:hAnsi="Arial" w:cs="Arial"/>
                <w:sz w:val="32"/>
                <w:szCs w:val="32"/>
                <w:lang w:val="fr-CA"/>
              </w:rPr>
            </w:pPr>
          </w:p>
        </w:tc>
      </w:tr>
    </w:tbl>
    <w:p w14:paraId="32BAFB35"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20E0B222" w14:textId="77777777" w:rsidTr="00FA326B">
        <w:tc>
          <w:tcPr>
            <w:tcW w:w="1818" w:type="dxa"/>
            <w:shd w:val="clear" w:color="auto" w:fill="auto"/>
            <w:vAlign w:val="center"/>
          </w:tcPr>
          <w:p w14:paraId="4A43F2C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2BC48911" w14:textId="484C7AFA" w:rsidR="00EA73B7" w:rsidRPr="001D67CE" w:rsidRDefault="001F57FD" w:rsidP="002159B4">
            <w:pPr>
              <w:rPr>
                <w:rFonts w:ascii="Arial" w:hAnsi="Arial" w:cs="Arial"/>
              </w:rPr>
            </w:pPr>
            <w:r>
              <w:rPr>
                <w:rFonts w:ascii="Arial" w:hAnsi="Arial" w:cs="Arial"/>
              </w:rPr>
              <w:t>December 06, 2019</w:t>
            </w:r>
          </w:p>
        </w:tc>
        <w:tc>
          <w:tcPr>
            <w:tcW w:w="1890" w:type="dxa"/>
            <w:shd w:val="clear" w:color="auto" w:fill="auto"/>
            <w:vAlign w:val="center"/>
          </w:tcPr>
          <w:p w14:paraId="2DCB186F" w14:textId="7777777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63752A32" w14:textId="77777777" w:rsidR="00EA73B7" w:rsidRPr="001E764F" w:rsidRDefault="000E609E" w:rsidP="00280925">
            <w:pPr>
              <w:jc w:val="right"/>
              <w:rPr>
                <w:rFonts w:ascii="Arial" w:hAnsi="Arial" w:cs="Arial"/>
              </w:rPr>
            </w:pPr>
            <w:r>
              <w:rPr>
                <w:rFonts w:ascii="Arial" w:hAnsi="Arial" w:cs="Arial"/>
              </w:rPr>
              <w:t>PL180889</w:t>
            </w:r>
          </w:p>
        </w:tc>
      </w:tr>
    </w:tbl>
    <w:p w14:paraId="671E8064"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13B0E6EA" w14:textId="77777777" w:rsidTr="00FA326B">
        <w:tc>
          <w:tcPr>
            <w:tcW w:w="9606" w:type="dxa"/>
          </w:tcPr>
          <w:p w14:paraId="18306575"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04975556" w14:textId="77777777" w:rsidR="001D67CE" w:rsidRDefault="001D67CE" w:rsidP="00270AAE">
      <w:pPr>
        <w:rPr>
          <w:rFonts w:ascii="Arial" w:hAnsi="Arial" w:cs="Arial"/>
          <w:highlight w:val="yellow"/>
        </w:rPr>
      </w:pPr>
    </w:p>
    <w:p w14:paraId="3CB16BCE" w14:textId="77777777" w:rsidR="001D67CE" w:rsidRDefault="001D67CE" w:rsidP="00270AAE">
      <w:pPr>
        <w:rPr>
          <w:rFonts w:ascii="Arial" w:hAnsi="Arial" w:cs="Arial"/>
          <w:highlight w:val="yellow"/>
        </w:rPr>
      </w:pPr>
    </w:p>
    <w:tbl>
      <w:tblPr>
        <w:tblW w:w="9540" w:type="dxa"/>
        <w:tblLook w:val="04A0" w:firstRow="1" w:lastRow="0" w:firstColumn="1" w:lastColumn="0" w:noHBand="0" w:noVBand="1"/>
      </w:tblPr>
      <w:tblGrid>
        <w:gridCol w:w="4320"/>
        <w:gridCol w:w="5220"/>
      </w:tblGrid>
      <w:tr w:rsidR="00FA326B" w14:paraId="6F1A9FB9" w14:textId="77777777" w:rsidTr="001F57FD">
        <w:trPr>
          <w:cantSplit/>
          <w:trHeight w:val="732"/>
        </w:trPr>
        <w:tc>
          <w:tcPr>
            <w:tcW w:w="9540" w:type="dxa"/>
            <w:gridSpan w:val="2"/>
            <w:hideMark/>
          </w:tcPr>
          <w:p w14:paraId="7D819413" w14:textId="77777777" w:rsidR="00FA326B" w:rsidRDefault="00FA326B">
            <w:pPr>
              <w:rPr>
                <w:rFonts w:ascii="Arial" w:hAnsi="Arial" w:cs="Arial"/>
                <w:lang w:val="en-CA"/>
              </w:rPr>
            </w:pPr>
            <w:r>
              <w:rPr>
                <w:rFonts w:ascii="Arial" w:hAnsi="Arial" w:cs="Arial"/>
                <w:b/>
              </w:rPr>
              <w:t xml:space="preserve">PROCEEDING COMMENCED UNDER </w:t>
            </w:r>
            <w:r>
              <w:rPr>
                <w:rFonts w:ascii="Arial" w:hAnsi="Arial" w:cs="Arial"/>
              </w:rPr>
              <w:t xml:space="preserve">subsection 45(12) of the </w:t>
            </w:r>
            <w:r>
              <w:rPr>
                <w:rFonts w:ascii="Arial" w:hAnsi="Arial" w:cs="Arial"/>
                <w:i/>
              </w:rPr>
              <w:t>Planning Act</w:t>
            </w:r>
            <w:r>
              <w:rPr>
                <w:rFonts w:ascii="Arial" w:hAnsi="Arial" w:cs="Arial"/>
              </w:rPr>
              <w:t>, R.S.O. 1990, c. P.13, as amended</w:t>
            </w:r>
          </w:p>
        </w:tc>
      </w:tr>
      <w:tr w:rsidR="00FA326B" w14:paraId="5DAF0FF3" w14:textId="77777777" w:rsidTr="001F57FD">
        <w:tc>
          <w:tcPr>
            <w:tcW w:w="4320" w:type="dxa"/>
            <w:hideMark/>
          </w:tcPr>
          <w:p w14:paraId="6B6E821A" w14:textId="77777777" w:rsidR="00FA326B" w:rsidRDefault="00FA326B">
            <w:pPr>
              <w:rPr>
                <w:rFonts w:ascii="Arial" w:hAnsi="Arial" w:cs="Arial"/>
              </w:rPr>
            </w:pPr>
            <w:r>
              <w:rPr>
                <w:rFonts w:ascii="Arial" w:hAnsi="Arial" w:cs="Arial"/>
              </w:rPr>
              <w:t>Applicant and Appellant:</w:t>
            </w:r>
          </w:p>
        </w:tc>
        <w:tc>
          <w:tcPr>
            <w:tcW w:w="5220" w:type="dxa"/>
            <w:hideMark/>
          </w:tcPr>
          <w:p w14:paraId="09821011" w14:textId="77777777" w:rsidR="00FA326B" w:rsidRDefault="00FA326B">
            <w:pPr>
              <w:rPr>
                <w:rFonts w:ascii="Arial" w:hAnsi="Arial" w:cs="Arial"/>
              </w:rPr>
            </w:pPr>
            <w:r>
              <w:rPr>
                <w:rFonts w:ascii="Arial" w:hAnsi="Arial" w:cs="Arial"/>
              </w:rPr>
              <w:t>2581576 Ontario Inc.</w:t>
            </w:r>
          </w:p>
        </w:tc>
      </w:tr>
      <w:tr w:rsidR="00FA326B" w14:paraId="36A942AC" w14:textId="77777777" w:rsidTr="001F57FD">
        <w:tc>
          <w:tcPr>
            <w:tcW w:w="4320" w:type="dxa"/>
            <w:hideMark/>
          </w:tcPr>
          <w:p w14:paraId="2003CAD3" w14:textId="77777777" w:rsidR="00FA326B" w:rsidRDefault="00FA326B">
            <w:pPr>
              <w:rPr>
                <w:rFonts w:ascii="Arial" w:hAnsi="Arial" w:cs="Arial"/>
              </w:rPr>
            </w:pPr>
            <w:r>
              <w:rPr>
                <w:rFonts w:ascii="Arial" w:hAnsi="Arial" w:cs="Arial"/>
              </w:rPr>
              <w:t>Subject:</w:t>
            </w:r>
          </w:p>
        </w:tc>
        <w:tc>
          <w:tcPr>
            <w:tcW w:w="5220" w:type="dxa"/>
            <w:hideMark/>
          </w:tcPr>
          <w:p w14:paraId="4C88C98F" w14:textId="77777777" w:rsidR="00FA326B" w:rsidRDefault="00FA326B">
            <w:pPr>
              <w:rPr>
                <w:rFonts w:ascii="Arial" w:hAnsi="Arial" w:cs="Arial"/>
              </w:rPr>
            </w:pPr>
            <w:r>
              <w:rPr>
                <w:rFonts w:ascii="Arial" w:hAnsi="Arial" w:cs="Arial"/>
              </w:rPr>
              <w:t>Minor Variance</w:t>
            </w:r>
          </w:p>
        </w:tc>
      </w:tr>
      <w:tr w:rsidR="00FA326B" w14:paraId="30B9402C" w14:textId="77777777" w:rsidTr="001F57FD">
        <w:tc>
          <w:tcPr>
            <w:tcW w:w="4320" w:type="dxa"/>
            <w:hideMark/>
          </w:tcPr>
          <w:p w14:paraId="166FA484" w14:textId="77777777" w:rsidR="00FA326B" w:rsidRDefault="00FA326B">
            <w:pPr>
              <w:rPr>
                <w:rFonts w:ascii="Arial" w:hAnsi="Arial" w:cs="Arial"/>
              </w:rPr>
            </w:pPr>
            <w:r>
              <w:rPr>
                <w:rFonts w:ascii="Arial" w:hAnsi="Arial" w:cs="Arial"/>
              </w:rPr>
              <w:t>Variance from By-law No.:</w:t>
            </w:r>
          </w:p>
        </w:tc>
        <w:tc>
          <w:tcPr>
            <w:tcW w:w="5220" w:type="dxa"/>
            <w:hideMark/>
          </w:tcPr>
          <w:p w14:paraId="5407223C" w14:textId="77777777" w:rsidR="00FA326B" w:rsidRDefault="00FA326B">
            <w:pPr>
              <w:rPr>
                <w:rFonts w:ascii="Arial" w:hAnsi="Arial" w:cs="Arial"/>
              </w:rPr>
            </w:pPr>
            <w:r>
              <w:rPr>
                <w:rFonts w:ascii="Arial" w:hAnsi="Arial" w:cs="Arial"/>
              </w:rPr>
              <w:t>79-200</w:t>
            </w:r>
          </w:p>
        </w:tc>
      </w:tr>
      <w:tr w:rsidR="00FA326B" w14:paraId="05C05320" w14:textId="77777777" w:rsidTr="001F57FD">
        <w:tc>
          <w:tcPr>
            <w:tcW w:w="4320" w:type="dxa"/>
            <w:hideMark/>
          </w:tcPr>
          <w:p w14:paraId="4DDFB2CC" w14:textId="77777777" w:rsidR="00FA326B" w:rsidRDefault="00FA326B">
            <w:pPr>
              <w:rPr>
                <w:rFonts w:ascii="Arial" w:hAnsi="Arial" w:cs="Arial"/>
              </w:rPr>
            </w:pPr>
            <w:r>
              <w:rPr>
                <w:rFonts w:ascii="Arial" w:hAnsi="Arial" w:cs="Arial"/>
              </w:rPr>
              <w:t xml:space="preserve">Property Address/Description: </w:t>
            </w:r>
          </w:p>
        </w:tc>
        <w:tc>
          <w:tcPr>
            <w:tcW w:w="5220" w:type="dxa"/>
            <w:hideMark/>
          </w:tcPr>
          <w:p w14:paraId="19DB1BA5" w14:textId="77777777" w:rsidR="00FA326B" w:rsidRDefault="00FA326B">
            <w:pPr>
              <w:rPr>
                <w:rFonts w:ascii="Arial" w:hAnsi="Arial" w:cs="Arial"/>
              </w:rPr>
            </w:pPr>
            <w:r>
              <w:rPr>
                <w:rFonts w:ascii="Arial" w:hAnsi="Arial" w:cs="Arial"/>
              </w:rPr>
              <w:t>5881 Thorold Stone Road</w:t>
            </w:r>
          </w:p>
        </w:tc>
      </w:tr>
      <w:tr w:rsidR="00FA326B" w14:paraId="59A5EF21" w14:textId="77777777" w:rsidTr="001F57FD">
        <w:tc>
          <w:tcPr>
            <w:tcW w:w="4320" w:type="dxa"/>
            <w:hideMark/>
          </w:tcPr>
          <w:p w14:paraId="3E419F5C" w14:textId="77777777" w:rsidR="00FA326B" w:rsidRDefault="00FA326B">
            <w:pPr>
              <w:rPr>
                <w:rFonts w:ascii="Arial" w:hAnsi="Arial" w:cs="Arial"/>
              </w:rPr>
            </w:pPr>
            <w:r>
              <w:rPr>
                <w:rFonts w:ascii="Arial" w:hAnsi="Arial" w:cs="Arial"/>
              </w:rPr>
              <w:t xml:space="preserve">Municipality: </w:t>
            </w:r>
          </w:p>
        </w:tc>
        <w:tc>
          <w:tcPr>
            <w:tcW w:w="5220" w:type="dxa"/>
            <w:hideMark/>
          </w:tcPr>
          <w:p w14:paraId="768B50C1" w14:textId="77777777" w:rsidR="00FA326B" w:rsidRDefault="00FA326B">
            <w:pPr>
              <w:rPr>
                <w:rFonts w:ascii="Arial" w:hAnsi="Arial" w:cs="Arial"/>
              </w:rPr>
            </w:pPr>
            <w:r>
              <w:rPr>
                <w:rFonts w:ascii="Arial" w:hAnsi="Arial" w:cs="Arial"/>
              </w:rPr>
              <w:t>City of Niagara Falls</w:t>
            </w:r>
          </w:p>
        </w:tc>
      </w:tr>
      <w:tr w:rsidR="00FA326B" w14:paraId="301CB763" w14:textId="77777777" w:rsidTr="001F57FD">
        <w:tc>
          <w:tcPr>
            <w:tcW w:w="4320" w:type="dxa"/>
            <w:hideMark/>
          </w:tcPr>
          <w:p w14:paraId="4DD397EF" w14:textId="77777777" w:rsidR="00FA326B" w:rsidRDefault="00FA326B">
            <w:pPr>
              <w:rPr>
                <w:rFonts w:ascii="Arial" w:hAnsi="Arial" w:cs="Arial"/>
              </w:rPr>
            </w:pPr>
            <w:r>
              <w:rPr>
                <w:rFonts w:ascii="Arial" w:hAnsi="Arial" w:cs="Arial"/>
              </w:rPr>
              <w:t xml:space="preserve">Municipal File No.: </w:t>
            </w:r>
          </w:p>
        </w:tc>
        <w:tc>
          <w:tcPr>
            <w:tcW w:w="5220" w:type="dxa"/>
            <w:hideMark/>
          </w:tcPr>
          <w:p w14:paraId="49788896" w14:textId="77777777" w:rsidR="00FA326B" w:rsidRDefault="00FA326B">
            <w:pPr>
              <w:rPr>
                <w:rFonts w:ascii="Arial" w:hAnsi="Arial" w:cs="Arial"/>
              </w:rPr>
            </w:pPr>
            <w:r>
              <w:rPr>
                <w:rFonts w:ascii="Arial" w:hAnsi="Arial" w:cs="Arial"/>
              </w:rPr>
              <w:t>A-2018-031</w:t>
            </w:r>
          </w:p>
        </w:tc>
      </w:tr>
      <w:tr w:rsidR="00FA326B" w14:paraId="1641A3E1" w14:textId="77777777" w:rsidTr="001F57FD">
        <w:tc>
          <w:tcPr>
            <w:tcW w:w="4320" w:type="dxa"/>
            <w:hideMark/>
          </w:tcPr>
          <w:p w14:paraId="58B42316" w14:textId="77777777" w:rsidR="00FA326B" w:rsidRDefault="00FA326B">
            <w:pPr>
              <w:rPr>
                <w:rFonts w:ascii="Arial" w:hAnsi="Arial" w:cs="Arial"/>
              </w:rPr>
            </w:pPr>
            <w:r>
              <w:rPr>
                <w:rFonts w:ascii="Arial" w:hAnsi="Arial" w:cs="Arial"/>
              </w:rPr>
              <w:t xml:space="preserve">OMB Case No.: </w:t>
            </w:r>
          </w:p>
        </w:tc>
        <w:tc>
          <w:tcPr>
            <w:tcW w:w="5220" w:type="dxa"/>
            <w:hideMark/>
          </w:tcPr>
          <w:p w14:paraId="11B2DFD5" w14:textId="77777777" w:rsidR="00FA326B" w:rsidRDefault="00FA326B">
            <w:pPr>
              <w:rPr>
                <w:rFonts w:ascii="Arial" w:hAnsi="Arial" w:cs="Arial"/>
              </w:rPr>
            </w:pPr>
            <w:r>
              <w:rPr>
                <w:rFonts w:ascii="Arial" w:hAnsi="Arial" w:cs="Arial"/>
              </w:rPr>
              <w:t>PL180889</w:t>
            </w:r>
          </w:p>
        </w:tc>
      </w:tr>
      <w:tr w:rsidR="00FA326B" w14:paraId="1075F25B" w14:textId="77777777" w:rsidTr="001F57FD">
        <w:tc>
          <w:tcPr>
            <w:tcW w:w="4320" w:type="dxa"/>
            <w:hideMark/>
          </w:tcPr>
          <w:p w14:paraId="6F38BCBC" w14:textId="77777777" w:rsidR="00FA326B" w:rsidRDefault="00FA326B">
            <w:pPr>
              <w:rPr>
                <w:rFonts w:ascii="Arial" w:hAnsi="Arial" w:cs="Arial"/>
              </w:rPr>
            </w:pPr>
            <w:r>
              <w:rPr>
                <w:rFonts w:ascii="Arial" w:hAnsi="Arial" w:cs="Arial"/>
              </w:rPr>
              <w:t xml:space="preserve">OMB File No.: </w:t>
            </w:r>
          </w:p>
        </w:tc>
        <w:tc>
          <w:tcPr>
            <w:tcW w:w="5220" w:type="dxa"/>
            <w:hideMark/>
          </w:tcPr>
          <w:p w14:paraId="6EAD7BDE" w14:textId="77777777" w:rsidR="00FA326B" w:rsidRDefault="00FA326B">
            <w:pPr>
              <w:rPr>
                <w:rFonts w:ascii="Arial" w:hAnsi="Arial" w:cs="Arial"/>
              </w:rPr>
            </w:pPr>
            <w:r>
              <w:rPr>
                <w:rFonts w:ascii="Arial" w:hAnsi="Arial" w:cs="Arial"/>
              </w:rPr>
              <w:t>PL180889</w:t>
            </w:r>
          </w:p>
        </w:tc>
      </w:tr>
      <w:tr w:rsidR="00FA326B" w14:paraId="2FFB74B2" w14:textId="77777777" w:rsidTr="001F57FD">
        <w:tc>
          <w:tcPr>
            <w:tcW w:w="4320" w:type="dxa"/>
            <w:hideMark/>
          </w:tcPr>
          <w:p w14:paraId="17DF4688" w14:textId="77777777" w:rsidR="00FA326B" w:rsidRDefault="00FA326B">
            <w:pPr>
              <w:rPr>
                <w:rFonts w:ascii="Arial" w:hAnsi="Arial" w:cs="Arial"/>
              </w:rPr>
            </w:pPr>
            <w:r>
              <w:rPr>
                <w:rFonts w:ascii="Arial" w:hAnsi="Arial" w:cs="Arial"/>
              </w:rPr>
              <w:t xml:space="preserve">OMB Case Name: </w:t>
            </w:r>
          </w:p>
        </w:tc>
        <w:tc>
          <w:tcPr>
            <w:tcW w:w="5220" w:type="dxa"/>
            <w:hideMark/>
          </w:tcPr>
          <w:p w14:paraId="6BA18F18" w14:textId="77777777" w:rsidR="00FA326B" w:rsidRDefault="00FA326B">
            <w:pPr>
              <w:rPr>
                <w:rFonts w:ascii="Arial" w:hAnsi="Arial" w:cs="Arial"/>
              </w:rPr>
            </w:pPr>
            <w:r>
              <w:rPr>
                <w:rFonts w:ascii="Arial" w:hAnsi="Arial" w:cs="Arial"/>
              </w:rPr>
              <w:t>2581576 Ontario Inc. v. Niagara Falls (City)</w:t>
            </w:r>
          </w:p>
        </w:tc>
      </w:tr>
    </w:tbl>
    <w:p w14:paraId="5CB89692" w14:textId="77777777" w:rsidR="001D67CE" w:rsidRPr="001E764F" w:rsidRDefault="001D67CE" w:rsidP="00270AAE">
      <w:pPr>
        <w:rPr>
          <w:rFonts w:ascii="Arial" w:hAnsi="Arial" w:cs="Arial"/>
        </w:rPr>
      </w:pPr>
    </w:p>
    <w:p w14:paraId="30754AF0" w14:textId="77777777" w:rsidR="00F46275" w:rsidRDefault="00F46275" w:rsidP="00270AAE">
      <w:pPr>
        <w:rPr>
          <w:rFonts w:ascii="Arial" w:hAnsi="Arial" w:cs="Arial"/>
        </w:rPr>
      </w:pPr>
    </w:p>
    <w:p w14:paraId="1EC8A23F"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3BF50551" w14:textId="77777777" w:rsidTr="00FA326B">
        <w:tc>
          <w:tcPr>
            <w:tcW w:w="4338" w:type="dxa"/>
          </w:tcPr>
          <w:p w14:paraId="12050230" w14:textId="77777777" w:rsidR="00B268A7" w:rsidRPr="00C940BC" w:rsidRDefault="00B268A7" w:rsidP="00270AAE">
            <w:pPr>
              <w:rPr>
                <w:rFonts w:ascii="Arial" w:hAnsi="Arial" w:cs="Arial"/>
              </w:rPr>
            </w:pPr>
            <w:r w:rsidRPr="001E764F">
              <w:rPr>
                <w:rFonts w:ascii="Arial" w:hAnsi="Arial" w:cs="Arial"/>
                <w:b/>
              </w:rPr>
              <w:t>Heard:</w:t>
            </w:r>
          </w:p>
        </w:tc>
        <w:tc>
          <w:tcPr>
            <w:tcW w:w="5238" w:type="dxa"/>
          </w:tcPr>
          <w:p w14:paraId="6531A0DC" w14:textId="2E6274FA" w:rsidR="00B268A7" w:rsidRPr="001E764F" w:rsidRDefault="000E609E" w:rsidP="00270AAE">
            <w:pPr>
              <w:rPr>
                <w:rFonts w:ascii="Arial" w:hAnsi="Arial" w:cs="Arial"/>
              </w:rPr>
            </w:pPr>
            <w:r>
              <w:rPr>
                <w:rFonts w:ascii="Arial" w:hAnsi="Arial" w:cs="Arial"/>
              </w:rPr>
              <w:t xml:space="preserve">March 26, 2019 in </w:t>
            </w:r>
            <w:r w:rsidR="00740044">
              <w:rPr>
                <w:rFonts w:ascii="Arial" w:hAnsi="Arial" w:cs="Arial"/>
              </w:rPr>
              <w:t>Niagara Falls,</w:t>
            </w:r>
            <w:r>
              <w:rPr>
                <w:rFonts w:ascii="Arial" w:hAnsi="Arial" w:cs="Arial"/>
              </w:rPr>
              <w:t xml:space="preserve"> Ontario</w:t>
            </w:r>
          </w:p>
        </w:tc>
      </w:tr>
    </w:tbl>
    <w:p w14:paraId="41D9D5C2"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14:paraId="446EB734" w14:textId="77777777" w:rsidTr="00FA326B">
        <w:tc>
          <w:tcPr>
            <w:tcW w:w="4361" w:type="dxa"/>
          </w:tcPr>
          <w:bookmarkEnd w:id="0"/>
          <w:p w14:paraId="5CEA4B71"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235D1155" w14:textId="77777777" w:rsidR="0089782A" w:rsidRPr="001E764F" w:rsidRDefault="0089782A" w:rsidP="00270AAE">
            <w:pPr>
              <w:rPr>
                <w:rFonts w:ascii="Arial" w:hAnsi="Arial" w:cs="Arial"/>
              </w:rPr>
            </w:pPr>
          </w:p>
        </w:tc>
      </w:tr>
      <w:tr w:rsidR="0089782A" w:rsidRPr="001E764F" w14:paraId="7F1E7C54" w14:textId="77777777" w:rsidTr="00FA326B">
        <w:tc>
          <w:tcPr>
            <w:tcW w:w="4361" w:type="dxa"/>
          </w:tcPr>
          <w:p w14:paraId="6677311C" w14:textId="77777777" w:rsidR="0089782A" w:rsidRPr="001E764F" w:rsidRDefault="0089782A" w:rsidP="00270AAE">
            <w:pPr>
              <w:rPr>
                <w:rFonts w:ascii="Arial" w:hAnsi="Arial" w:cs="Arial"/>
              </w:rPr>
            </w:pPr>
          </w:p>
        </w:tc>
        <w:tc>
          <w:tcPr>
            <w:tcW w:w="5245" w:type="dxa"/>
          </w:tcPr>
          <w:p w14:paraId="05A3FC9B" w14:textId="77777777" w:rsidR="0089782A" w:rsidRPr="001E764F" w:rsidRDefault="0089782A" w:rsidP="00270AAE">
            <w:pPr>
              <w:rPr>
                <w:rFonts w:ascii="Arial" w:hAnsi="Arial" w:cs="Arial"/>
              </w:rPr>
            </w:pPr>
          </w:p>
        </w:tc>
      </w:tr>
      <w:tr w:rsidR="008046EB" w:rsidRPr="001E764F" w14:paraId="5DB84B6B" w14:textId="77777777" w:rsidTr="00FA326B">
        <w:tc>
          <w:tcPr>
            <w:tcW w:w="4361" w:type="dxa"/>
          </w:tcPr>
          <w:p w14:paraId="4F94A14B" w14:textId="77777777" w:rsidR="008046EB" w:rsidRPr="00C940BC" w:rsidRDefault="008046EB" w:rsidP="00270AAE">
            <w:pPr>
              <w:rPr>
                <w:rFonts w:ascii="Arial" w:hAnsi="Arial" w:cs="Arial"/>
              </w:rPr>
            </w:pPr>
            <w:bookmarkStart w:id="1" w:name="Parties"/>
            <w:r w:rsidRPr="00C300F2">
              <w:rPr>
                <w:rFonts w:ascii="Arial" w:hAnsi="Arial" w:cs="Arial"/>
                <w:b/>
                <w:u w:val="single"/>
              </w:rPr>
              <w:t>Parties</w:t>
            </w:r>
            <w:bookmarkEnd w:id="1"/>
          </w:p>
        </w:tc>
        <w:tc>
          <w:tcPr>
            <w:tcW w:w="5245" w:type="dxa"/>
          </w:tcPr>
          <w:p w14:paraId="13FCA0FA" w14:textId="77777777" w:rsidR="008046EB" w:rsidRPr="00C940BC" w:rsidRDefault="008046EB" w:rsidP="00270AAE">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bookmarkEnd w:id="2"/>
            <w:r w:rsidR="008E4BDD">
              <w:rPr>
                <w:rFonts w:ascii="Arial" w:hAnsi="Arial" w:cs="Arial"/>
                <w:b/>
                <w:u w:val="single"/>
              </w:rPr>
              <w:t>/Representative*</w:t>
            </w:r>
          </w:p>
        </w:tc>
      </w:tr>
      <w:tr w:rsidR="00CF3F96" w:rsidRPr="001E764F" w14:paraId="22EEC221" w14:textId="77777777" w:rsidTr="00FA326B">
        <w:tc>
          <w:tcPr>
            <w:tcW w:w="4361" w:type="dxa"/>
          </w:tcPr>
          <w:p w14:paraId="02323558" w14:textId="77777777" w:rsidR="00CF3F96" w:rsidRPr="001E764F" w:rsidRDefault="00CF3F96" w:rsidP="00270AAE">
            <w:pPr>
              <w:rPr>
                <w:rFonts w:ascii="Arial" w:hAnsi="Arial" w:cs="Arial"/>
              </w:rPr>
            </w:pPr>
          </w:p>
        </w:tc>
        <w:tc>
          <w:tcPr>
            <w:tcW w:w="5245" w:type="dxa"/>
          </w:tcPr>
          <w:p w14:paraId="5B3532E8" w14:textId="77777777" w:rsidR="00CF3F96" w:rsidRPr="001D67CE" w:rsidRDefault="00CF3F96" w:rsidP="00270AAE">
            <w:pPr>
              <w:rPr>
                <w:rFonts w:ascii="Arial" w:hAnsi="Arial" w:cs="Arial"/>
              </w:rPr>
            </w:pPr>
          </w:p>
        </w:tc>
      </w:tr>
      <w:tr w:rsidR="001D67CE" w:rsidRPr="001E764F" w14:paraId="2D54486B" w14:textId="77777777" w:rsidTr="00FA326B">
        <w:tc>
          <w:tcPr>
            <w:tcW w:w="4361" w:type="dxa"/>
          </w:tcPr>
          <w:p w14:paraId="3C9A4048" w14:textId="77777777" w:rsidR="001D67CE" w:rsidRPr="001E764F" w:rsidRDefault="000E609E" w:rsidP="00270AAE">
            <w:pPr>
              <w:rPr>
                <w:rFonts w:ascii="Arial" w:hAnsi="Arial" w:cs="Arial"/>
              </w:rPr>
            </w:pPr>
            <w:r>
              <w:rPr>
                <w:rFonts w:ascii="Arial" w:hAnsi="Arial" w:cs="Arial"/>
              </w:rPr>
              <w:t>2581576 Ontario Inc.</w:t>
            </w:r>
          </w:p>
        </w:tc>
        <w:tc>
          <w:tcPr>
            <w:tcW w:w="5245" w:type="dxa"/>
          </w:tcPr>
          <w:p w14:paraId="04A0F143" w14:textId="77777777" w:rsidR="001D67CE" w:rsidRPr="001D67CE" w:rsidRDefault="000E609E" w:rsidP="00270AAE">
            <w:pPr>
              <w:rPr>
                <w:rFonts w:ascii="Arial" w:hAnsi="Arial" w:cs="Arial"/>
              </w:rPr>
            </w:pPr>
            <w:r>
              <w:rPr>
                <w:rFonts w:ascii="Arial" w:hAnsi="Arial" w:cs="Arial"/>
              </w:rPr>
              <w:t>Ping Zhang</w:t>
            </w:r>
            <w:r w:rsidR="008E4BDD">
              <w:rPr>
                <w:rFonts w:ascii="Arial" w:hAnsi="Arial" w:cs="Arial"/>
              </w:rPr>
              <w:t>*</w:t>
            </w:r>
          </w:p>
        </w:tc>
      </w:tr>
      <w:tr w:rsidR="001D67CE" w:rsidRPr="001E764F" w14:paraId="1FFEF332" w14:textId="77777777" w:rsidTr="00FA326B">
        <w:tc>
          <w:tcPr>
            <w:tcW w:w="4361" w:type="dxa"/>
          </w:tcPr>
          <w:p w14:paraId="156B09BD" w14:textId="77777777" w:rsidR="001D67CE" w:rsidRPr="001E764F" w:rsidRDefault="001D67CE" w:rsidP="00270AAE">
            <w:pPr>
              <w:rPr>
                <w:rFonts w:ascii="Arial" w:hAnsi="Arial" w:cs="Arial"/>
              </w:rPr>
            </w:pPr>
          </w:p>
        </w:tc>
        <w:tc>
          <w:tcPr>
            <w:tcW w:w="5245" w:type="dxa"/>
          </w:tcPr>
          <w:p w14:paraId="46615B78" w14:textId="77777777" w:rsidR="001D67CE" w:rsidRPr="001D67CE" w:rsidRDefault="001D67CE" w:rsidP="00270AAE">
            <w:pPr>
              <w:rPr>
                <w:rFonts w:ascii="Arial" w:hAnsi="Arial" w:cs="Arial"/>
              </w:rPr>
            </w:pPr>
          </w:p>
        </w:tc>
      </w:tr>
      <w:tr w:rsidR="001D67CE" w:rsidRPr="001E764F" w14:paraId="1DD521B7" w14:textId="77777777" w:rsidTr="00FA326B">
        <w:tc>
          <w:tcPr>
            <w:tcW w:w="4361" w:type="dxa"/>
          </w:tcPr>
          <w:p w14:paraId="12C48E86" w14:textId="77777777" w:rsidR="001D67CE" w:rsidRPr="001E764F" w:rsidRDefault="000E609E" w:rsidP="00270AAE">
            <w:pPr>
              <w:rPr>
                <w:rFonts w:ascii="Arial" w:hAnsi="Arial" w:cs="Arial"/>
              </w:rPr>
            </w:pPr>
            <w:r>
              <w:rPr>
                <w:rFonts w:ascii="Arial" w:hAnsi="Arial" w:cs="Arial"/>
              </w:rPr>
              <w:t>City of Niagara Falls</w:t>
            </w:r>
          </w:p>
        </w:tc>
        <w:tc>
          <w:tcPr>
            <w:tcW w:w="5245" w:type="dxa"/>
          </w:tcPr>
          <w:p w14:paraId="199C577D" w14:textId="77777777" w:rsidR="001D67CE" w:rsidRPr="001D67CE" w:rsidRDefault="000E609E" w:rsidP="00270AAE">
            <w:pPr>
              <w:rPr>
                <w:rFonts w:ascii="Arial" w:hAnsi="Arial" w:cs="Arial"/>
              </w:rPr>
            </w:pPr>
            <w:r>
              <w:rPr>
                <w:rFonts w:ascii="Arial" w:hAnsi="Arial" w:cs="Arial"/>
              </w:rPr>
              <w:t xml:space="preserve">Tom </w:t>
            </w:r>
            <w:proofErr w:type="spellStart"/>
            <w:r>
              <w:rPr>
                <w:rFonts w:ascii="Arial" w:hAnsi="Arial" w:cs="Arial"/>
              </w:rPr>
              <w:t>Halinski</w:t>
            </w:r>
            <w:proofErr w:type="spellEnd"/>
          </w:p>
        </w:tc>
      </w:tr>
      <w:tr w:rsidR="001D67CE" w:rsidRPr="001E764F" w14:paraId="3DF46584" w14:textId="77777777" w:rsidTr="00FA326B">
        <w:tc>
          <w:tcPr>
            <w:tcW w:w="4361" w:type="dxa"/>
          </w:tcPr>
          <w:p w14:paraId="147B3204" w14:textId="77777777" w:rsidR="001D67CE" w:rsidRPr="001E764F" w:rsidRDefault="001D67CE" w:rsidP="00270AAE">
            <w:pPr>
              <w:rPr>
                <w:rFonts w:ascii="Arial" w:hAnsi="Arial" w:cs="Arial"/>
              </w:rPr>
            </w:pPr>
          </w:p>
        </w:tc>
        <w:tc>
          <w:tcPr>
            <w:tcW w:w="5245" w:type="dxa"/>
          </w:tcPr>
          <w:p w14:paraId="553A7056" w14:textId="77777777" w:rsidR="001D67CE" w:rsidRPr="001D67CE" w:rsidRDefault="001D67CE" w:rsidP="00270AAE">
            <w:pPr>
              <w:rPr>
                <w:rFonts w:ascii="Arial" w:hAnsi="Arial" w:cs="Arial"/>
              </w:rPr>
            </w:pPr>
          </w:p>
        </w:tc>
      </w:tr>
    </w:tbl>
    <w:p w14:paraId="63E73D5C" w14:textId="77777777" w:rsidR="0026320F" w:rsidRDefault="0026320F" w:rsidP="00270AAE">
      <w:pPr>
        <w:rPr>
          <w:rFonts w:ascii="Arial" w:hAnsi="Arial" w:cs="Arial"/>
        </w:rPr>
      </w:pPr>
    </w:p>
    <w:p w14:paraId="3929EC68" w14:textId="77777777" w:rsidR="00935095" w:rsidRDefault="00935095" w:rsidP="00270AAE">
      <w:pPr>
        <w:rPr>
          <w:rFonts w:ascii="Arial" w:hAnsi="Arial" w:cs="Arial"/>
        </w:rPr>
      </w:pPr>
    </w:p>
    <w:p w14:paraId="185F2089" w14:textId="77777777" w:rsidR="00935095" w:rsidRPr="00C940BC" w:rsidRDefault="00935095" w:rsidP="00935095">
      <w:pPr>
        <w:pStyle w:val="DecisionDeliveredby"/>
        <w:pBdr>
          <w:bottom w:val="single" w:sz="4" w:space="1" w:color="auto"/>
        </w:pBdr>
        <w:rPr>
          <w:rFonts w:cs="Arial"/>
          <w:b w:val="0"/>
        </w:rPr>
      </w:pPr>
      <w:r w:rsidRPr="005A767F">
        <w:rPr>
          <w:rFonts w:cs="Arial"/>
        </w:rPr>
        <w:t xml:space="preserve">DECISION </w:t>
      </w:r>
      <w:r w:rsidR="00FF6D70">
        <w:rPr>
          <w:rFonts w:cs="Arial"/>
        </w:rPr>
        <w:t xml:space="preserve">AND ORDER </w:t>
      </w:r>
      <w:r w:rsidRPr="005A767F">
        <w:rPr>
          <w:rFonts w:cs="Arial"/>
        </w:rPr>
        <w:t xml:space="preserve">OF THE </w:t>
      </w:r>
      <w:r w:rsidR="00530917" w:rsidRPr="00E8779D">
        <w:rPr>
          <w:rFonts w:cs="Arial"/>
        </w:rPr>
        <w:t>TRIBUNAL</w:t>
      </w:r>
      <w:r w:rsidR="00457064">
        <w:rPr>
          <w:rFonts w:cs="Arial"/>
        </w:rPr>
        <w:t xml:space="preserve"> DELIVERED BY</w:t>
      </w:r>
      <w:r w:rsidR="0032744A">
        <w:rPr>
          <w:rFonts w:cs="Arial"/>
        </w:rPr>
        <w:t xml:space="preserve"> JOHN DOUGLAS</w:t>
      </w:r>
    </w:p>
    <w:p w14:paraId="146FD794" w14:textId="77777777" w:rsidR="00935095" w:rsidRPr="00AC548D" w:rsidRDefault="00801126" w:rsidP="00AC548D">
      <w:pPr>
        <w:pStyle w:val="Heading1"/>
      </w:pPr>
      <w:r>
        <w:lastRenderedPageBreak/>
        <w:t>BACKGROUND</w:t>
      </w:r>
    </w:p>
    <w:p w14:paraId="21ADF7E6" w14:textId="77777777" w:rsidR="00CA7F0F" w:rsidRDefault="00EC24D9" w:rsidP="00FA326B">
      <w:pPr>
        <w:pStyle w:val="DecisionBody"/>
        <w:spacing w:beforeLines="150" w:before="360" w:afterLines="150" w:after="360"/>
      </w:pPr>
      <w:r>
        <w:t>2581576 Ontario Inc. (the “Applicant/Appellant”) has applied to vary the permitted uses at 5881 Thorold Stone Road (the “subject site”) to permit a health centre to be added to the list of permitted uses allowed under the City of Niagara Falls (the “City”) Zoning By-law 79-200 (“ZBL 79-200”)</w:t>
      </w:r>
      <w:r w:rsidR="00CA7F0F">
        <w:t xml:space="preserve"> to allow the Niagara Falls Boxing Club to continue to operate at the subject site as it has for approximately 20 years</w:t>
      </w:r>
      <w:r w:rsidR="009C69D6" w:rsidRPr="009C69D6">
        <w:t>.</w:t>
      </w:r>
    </w:p>
    <w:p w14:paraId="2A0BEFB3" w14:textId="77777777" w:rsidR="00170548" w:rsidRDefault="008E4BDD" w:rsidP="00FA326B">
      <w:pPr>
        <w:pStyle w:val="DecisionBody"/>
        <w:spacing w:beforeLines="150" w:before="360" w:afterLines="150" w:after="360"/>
      </w:pPr>
      <w:r>
        <w:t xml:space="preserve">Tom Halinski submitted a Document Book on behalf of the City (filed and entered as Exhibit 1) and advised the </w:t>
      </w:r>
      <w:r w:rsidR="00FA326B">
        <w:t>Local Planning Appeal Tribunal (“</w:t>
      </w:r>
      <w:r>
        <w:t>Tribunal</w:t>
      </w:r>
      <w:r w:rsidR="00FA326B">
        <w:t>”)</w:t>
      </w:r>
      <w:r>
        <w:t xml:space="preserve"> that the City was not taking a position at the hearing.</w:t>
      </w:r>
    </w:p>
    <w:p w14:paraId="26F761E6" w14:textId="122E55DE" w:rsidR="00952F2F" w:rsidRDefault="00952F2F" w:rsidP="00FA326B">
      <w:pPr>
        <w:pStyle w:val="DecisionBody"/>
        <w:spacing w:beforeLines="150" w:before="360" w:afterLines="150" w:after="360"/>
      </w:pPr>
      <w:r>
        <w:t xml:space="preserve">Ping Zhang called John Pollock was called as a witness for the </w:t>
      </w:r>
      <w:r w:rsidR="00FA326B">
        <w:t>A</w:t>
      </w:r>
      <w:r>
        <w:t>pplicant. Mr.</w:t>
      </w:r>
      <w:r w:rsidR="00FA326B">
        <w:t> </w:t>
      </w:r>
      <w:r>
        <w:t>Pollock was sworn in but not qualified as an expert witness.</w:t>
      </w:r>
    </w:p>
    <w:p w14:paraId="7B736D0C" w14:textId="06DE6873" w:rsidR="00935095" w:rsidRPr="00AC548D" w:rsidRDefault="001F424C" w:rsidP="00FA326B">
      <w:pPr>
        <w:pStyle w:val="DecisionBody"/>
        <w:spacing w:beforeLines="150" w:before="360" w:afterLines="150" w:after="360"/>
      </w:pPr>
      <w:r>
        <w:t xml:space="preserve"> </w:t>
      </w:r>
      <w:r w:rsidR="00EA56B9">
        <w:t>R</w:t>
      </w:r>
      <w:r w:rsidR="001C6764">
        <w:t>on</w:t>
      </w:r>
      <w:r w:rsidR="00EA56B9">
        <w:t xml:space="preserve"> </w:t>
      </w:r>
      <w:r>
        <w:t>Lavell</w:t>
      </w:r>
      <w:r w:rsidR="00E7402A">
        <w:t>, who lives at</w:t>
      </w:r>
      <w:r>
        <w:t xml:space="preserve"> 3762 </w:t>
      </w:r>
      <w:proofErr w:type="spellStart"/>
      <w:r>
        <w:t>Sinnicks</w:t>
      </w:r>
      <w:proofErr w:type="spellEnd"/>
      <w:r>
        <w:t xml:space="preserve"> Avenue</w:t>
      </w:r>
      <w:r w:rsidR="00E7402A">
        <w:t xml:space="preserve"> (</w:t>
      </w:r>
      <w:r w:rsidR="00622BCB">
        <w:t xml:space="preserve">abutting </w:t>
      </w:r>
      <w:r w:rsidR="00E7402A">
        <w:t>the subject site</w:t>
      </w:r>
      <w:r w:rsidR="00622BCB">
        <w:t xml:space="preserve"> to the west</w:t>
      </w:r>
      <w:r w:rsidR="00E7402A">
        <w:t>),</w:t>
      </w:r>
      <w:r>
        <w:t xml:space="preserve"> requested and was granted participant status.</w:t>
      </w:r>
    </w:p>
    <w:p w14:paraId="162B63EB" w14:textId="77777777" w:rsidR="00801126" w:rsidRPr="00801126" w:rsidRDefault="00801126" w:rsidP="00FA326B">
      <w:pPr>
        <w:pStyle w:val="DecisionBody"/>
        <w:numPr>
          <w:ilvl w:val="0"/>
          <w:numId w:val="0"/>
        </w:numPr>
        <w:spacing w:beforeLines="150" w:before="360" w:afterLines="150" w:after="360"/>
        <w:rPr>
          <w:b/>
        </w:rPr>
      </w:pPr>
      <w:r w:rsidRPr="00801126">
        <w:rPr>
          <w:b/>
        </w:rPr>
        <w:t>The Subject Property and Proposal</w:t>
      </w:r>
    </w:p>
    <w:p w14:paraId="19A4D9E8" w14:textId="77777777" w:rsidR="00801126" w:rsidRDefault="008554A7" w:rsidP="00FA326B">
      <w:pPr>
        <w:pStyle w:val="DecisionBody"/>
        <w:spacing w:beforeLines="150" w:before="360" w:afterLines="150" w:after="360"/>
      </w:pPr>
      <w:r>
        <w:t>The subject site is a large irregular shaped parcel of land. There is an existing industrial building which occupies a large portion of the property. The boxing club/gym</w:t>
      </w:r>
      <w:r w:rsidR="008E45FD">
        <w:t>, which</w:t>
      </w:r>
      <w:r>
        <w:t xml:space="preserve"> is recognized as a </w:t>
      </w:r>
      <w:r w:rsidR="00EC24D9">
        <w:t>health centre</w:t>
      </w:r>
      <w:r w:rsidR="008E45FD">
        <w:t xml:space="preserve">, </w:t>
      </w:r>
      <w:r w:rsidR="00EC24D9">
        <w:t xml:space="preserve">is located </w:t>
      </w:r>
      <w:r>
        <w:t>and has been operating within</w:t>
      </w:r>
      <w:r w:rsidR="00EC24D9">
        <w:t xml:space="preserve"> the south end of </w:t>
      </w:r>
      <w:r>
        <w:t xml:space="preserve">the existing </w:t>
      </w:r>
      <w:r w:rsidR="00D202C4">
        <w:t xml:space="preserve">industrial </w:t>
      </w:r>
      <w:r>
        <w:t>building for approximately 20 years</w:t>
      </w:r>
      <w:r w:rsidR="0096217B">
        <w:t>.</w:t>
      </w:r>
    </w:p>
    <w:p w14:paraId="64486136" w14:textId="77777777" w:rsidR="00CA7F0F" w:rsidRPr="00CA7F0F" w:rsidRDefault="00CA7F0F" w:rsidP="00FA326B">
      <w:pPr>
        <w:pStyle w:val="DecisionBody"/>
        <w:spacing w:beforeLines="150" w:before="360" w:afterLines="150" w:after="360"/>
      </w:pPr>
      <w:r w:rsidRPr="00CA7F0F">
        <w:t xml:space="preserve">The subject </w:t>
      </w:r>
      <w:r w:rsidR="008554A7">
        <w:t>site</w:t>
      </w:r>
      <w:r w:rsidRPr="00CA7F0F">
        <w:t xml:space="preserve"> was the subject of a previous application to sever </w:t>
      </w:r>
      <w:r w:rsidR="008554A7">
        <w:t xml:space="preserve">property from the </w:t>
      </w:r>
      <w:r w:rsidRPr="00CA7F0F">
        <w:t xml:space="preserve">north </w:t>
      </w:r>
      <w:r w:rsidR="00D202C4">
        <w:t>we</w:t>
      </w:r>
      <w:r w:rsidRPr="00CA7F0F">
        <w:t xml:space="preserve">st corner of the </w:t>
      </w:r>
      <w:r w:rsidR="008554A7">
        <w:t>site</w:t>
      </w:r>
      <w:r w:rsidRPr="00CA7F0F">
        <w:t>. This application was approved and is now the location of the Niagara Falls Sports Plex</w:t>
      </w:r>
      <w:r w:rsidR="008554A7">
        <w:t xml:space="preserve"> at 3710 </w:t>
      </w:r>
      <w:proofErr w:type="spellStart"/>
      <w:r w:rsidR="008554A7">
        <w:t>Sinnicks</w:t>
      </w:r>
      <w:proofErr w:type="spellEnd"/>
      <w:r w:rsidR="008554A7">
        <w:t xml:space="preserve"> Ave</w:t>
      </w:r>
      <w:r w:rsidR="00FA326B">
        <w:t>nue</w:t>
      </w:r>
      <w:r w:rsidRPr="00CA7F0F">
        <w:t xml:space="preserve">. </w:t>
      </w:r>
      <w:r w:rsidR="008E45FD">
        <w:t>W</w:t>
      </w:r>
      <w:r w:rsidR="008554A7">
        <w:t>hen City staff conducted a site visit</w:t>
      </w:r>
      <w:r w:rsidR="008E45FD">
        <w:t xml:space="preserve"> regarding the application for the Niagara Falls Sports Plex, they became aware of the existence of the Niagara Falls Boxing Club and required the owner to </w:t>
      </w:r>
      <w:proofErr w:type="gramStart"/>
      <w:r w:rsidR="008E45FD">
        <w:t>submit an application</w:t>
      </w:r>
      <w:proofErr w:type="gramEnd"/>
      <w:r w:rsidR="008E45FD">
        <w:t xml:space="preserve"> for minor variance to </w:t>
      </w:r>
      <w:r w:rsidR="00392550">
        <w:t>permit</w:t>
      </w:r>
      <w:r w:rsidR="008E45FD">
        <w:t xml:space="preserve"> the health centre use.</w:t>
      </w:r>
    </w:p>
    <w:p w14:paraId="47C63CD8" w14:textId="77777777" w:rsidR="009E4B6B" w:rsidRDefault="008E45FD" w:rsidP="00FA326B">
      <w:pPr>
        <w:pStyle w:val="DecisionBody"/>
        <w:spacing w:beforeLines="150" w:before="360" w:afterLines="150" w:after="360"/>
      </w:pPr>
      <w:r>
        <w:lastRenderedPageBreak/>
        <w:t>There are single detached and townhouse residential units to the west of the subject site. To the north of the subject site is the Niagara Falls Sports Plex and just north of that</w:t>
      </w:r>
      <w:r w:rsidR="00D202C4">
        <w:t xml:space="preserve"> are</w:t>
      </w:r>
      <w:r>
        <w:t xml:space="preserve"> low density residential uses. To the </w:t>
      </w:r>
      <w:r w:rsidR="00D202C4">
        <w:t>ea</w:t>
      </w:r>
      <w:r>
        <w:t>st of the site is a large truck stop. To the south of the subject site are two car dealerships.</w:t>
      </w:r>
    </w:p>
    <w:p w14:paraId="1B18F759" w14:textId="77777777" w:rsidR="00801126" w:rsidRDefault="00801126" w:rsidP="00FA326B">
      <w:pPr>
        <w:pStyle w:val="Heading1"/>
        <w:spacing w:before="150" w:after="150"/>
      </w:pPr>
      <w:r>
        <w:t>ISSUES</w:t>
      </w:r>
    </w:p>
    <w:p w14:paraId="27D5D2BF" w14:textId="77777777" w:rsidR="001C0A75" w:rsidRDefault="001C0A75" w:rsidP="00FA326B">
      <w:pPr>
        <w:pStyle w:val="DecisionBody"/>
        <w:spacing w:before="150" w:after="150"/>
      </w:pPr>
      <w:r>
        <w:t xml:space="preserve">When considering a minor variance, the Tribunal must consider the four-part test set out in s. 45(1) of the </w:t>
      </w:r>
      <w:r w:rsidR="00FA326B" w:rsidRPr="00FA326B">
        <w:rPr>
          <w:i/>
        </w:rPr>
        <w:t>Planning Act</w:t>
      </w:r>
      <w:r w:rsidR="00FA326B">
        <w:t xml:space="preserve"> (“</w:t>
      </w:r>
      <w:r>
        <w:t>Act</w:t>
      </w:r>
      <w:r w:rsidR="00FA326B">
        <w:t>”)</w:t>
      </w:r>
      <w:r>
        <w:t>:</w:t>
      </w:r>
    </w:p>
    <w:p w14:paraId="5102B2D1" w14:textId="77777777" w:rsidR="001C0A75" w:rsidRDefault="001C0A75" w:rsidP="00FA326B">
      <w:pPr>
        <w:pStyle w:val="DecisionBody"/>
        <w:numPr>
          <w:ilvl w:val="0"/>
          <w:numId w:val="0"/>
        </w:numPr>
        <w:ind w:left="1440" w:hanging="720"/>
      </w:pPr>
      <w:r>
        <w:t>1.</w:t>
      </w:r>
      <w:r>
        <w:tab/>
        <w:t>Does the variance maintain the general intent and purpose of the official plan?</w:t>
      </w:r>
    </w:p>
    <w:p w14:paraId="6F92D610" w14:textId="77777777" w:rsidR="001C0A75" w:rsidRDefault="001C0A75" w:rsidP="00FA326B">
      <w:pPr>
        <w:pStyle w:val="DecisionBody"/>
        <w:numPr>
          <w:ilvl w:val="0"/>
          <w:numId w:val="0"/>
        </w:numPr>
        <w:ind w:left="1440" w:hanging="720"/>
      </w:pPr>
      <w:r>
        <w:t>2.</w:t>
      </w:r>
      <w:r>
        <w:tab/>
        <w:t>Does the variance maintain the general intent and purpose of the zoning by-law?</w:t>
      </w:r>
    </w:p>
    <w:p w14:paraId="6F2B115B" w14:textId="77777777" w:rsidR="001C0A75" w:rsidRDefault="001C0A75" w:rsidP="00FA326B">
      <w:pPr>
        <w:pStyle w:val="DecisionBody"/>
        <w:numPr>
          <w:ilvl w:val="0"/>
          <w:numId w:val="0"/>
        </w:numPr>
        <w:ind w:left="1440" w:hanging="720"/>
      </w:pPr>
      <w:r>
        <w:t>3.</w:t>
      </w:r>
      <w:r>
        <w:tab/>
        <w:t>Is the variance desirable for the appropriate development or use of the land?</w:t>
      </w:r>
    </w:p>
    <w:p w14:paraId="6245BF7A" w14:textId="6DF78C20" w:rsidR="001C0A75" w:rsidRDefault="001C0A75" w:rsidP="00FA326B">
      <w:pPr>
        <w:pStyle w:val="DecisionBody"/>
        <w:numPr>
          <w:ilvl w:val="0"/>
          <w:numId w:val="0"/>
        </w:numPr>
        <w:ind w:left="1440" w:hanging="720"/>
      </w:pPr>
      <w:r>
        <w:t>4.</w:t>
      </w:r>
      <w:r>
        <w:tab/>
        <w:t>Is the variance minor?</w:t>
      </w:r>
    </w:p>
    <w:p w14:paraId="28CF890F" w14:textId="77777777" w:rsidR="001C0A75" w:rsidRDefault="001C0A75" w:rsidP="00FA326B">
      <w:pPr>
        <w:pStyle w:val="DecisionBody"/>
        <w:spacing w:beforeLines="150" w:before="360" w:afterLines="150" w:after="360"/>
      </w:pPr>
      <w:r>
        <w:t>The Tribunal must also determine whether the minor variances are consistent with the Provincial Policy Statement, 2014 (the “PPS”) and conform to the Growth Plan for the Greater Golden Horseshoe (the “Growth Plan”).</w:t>
      </w:r>
    </w:p>
    <w:p w14:paraId="3CC9C0D8" w14:textId="77777777" w:rsidR="001C0A75" w:rsidRDefault="001C0A75" w:rsidP="00FA326B">
      <w:pPr>
        <w:pStyle w:val="DecisionBody"/>
        <w:spacing w:beforeLines="150" w:before="360" w:afterLines="150" w:after="360"/>
      </w:pPr>
      <w:r>
        <w:t xml:space="preserve">Since this matter was heard, the Growth Plan for the Greater Golden Horseshoe 2017 </w:t>
      </w:r>
      <w:r w:rsidRPr="006638BA">
        <w:t>(the “Growth Plan”)</w:t>
      </w:r>
      <w:r>
        <w:t xml:space="preserve"> has been replaced by the Growth Plan for the Greater Golden Horseshoe 2019. Ontario Regulation (“O. Reg.”) 311/06 addresses Transitional Matters with respect to the Growth Plan. Section 2.1(2) of the O. Reg. 311/06 states:</w:t>
      </w:r>
    </w:p>
    <w:p w14:paraId="22F7E162" w14:textId="77777777" w:rsidR="001C0A75" w:rsidRPr="00E7502F" w:rsidRDefault="001C0A75" w:rsidP="001C0A75">
      <w:pPr>
        <w:pStyle w:val="DecisionBody"/>
        <w:numPr>
          <w:ilvl w:val="0"/>
          <w:numId w:val="0"/>
        </w:numPr>
        <w:tabs>
          <w:tab w:val="left" w:pos="1440"/>
        </w:tabs>
        <w:spacing w:line="240" w:lineRule="auto"/>
        <w:ind w:left="1440" w:right="1440"/>
        <w:rPr>
          <w:sz w:val="20"/>
          <w:szCs w:val="20"/>
        </w:rPr>
      </w:pPr>
      <w:r w:rsidRPr="00C5339A">
        <w:rPr>
          <w:sz w:val="20"/>
          <w:szCs w:val="20"/>
        </w:rPr>
        <w:t>2.1(2) Where section 3 requires a matter to be continued and disposed of in accordance with the Plan and the matter was commen</w:t>
      </w:r>
      <w:r>
        <w:rPr>
          <w:sz w:val="20"/>
          <w:szCs w:val="20"/>
        </w:rPr>
        <w:t>c</w:t>
      </w:r>
      <w:r w:rsidRPr="00C5339A">
        <w:rPr>
          <w:sz w:val="20"/>
          <w:szCs w:val="20"/>
        </w:rPr>
        <w:t>ed before May 16, 2019, the requirement shall be read as a requirement that the matter be continued and disposed of in accordance with the 2017 Growth Plan as it read before its revocation if, on May 16, 2019, the Local Planning Appeal Tribunal or a joint board has completed its hearing of the matter but reserved its final decision.</w:t>
      </w:r>
    </w:p>
    <w:p w14:paraId="1A8E27F3" w14:textId="77777777" w:rsidR="001C0A75" w:rsidRDefault="001C0A75" w:rsidP="00FA326B">
      <w:pPr>
        <w:pStyle w:val="DecisionBody"/>
        <w:spacing w:beforeLines="150" w:before="360" w:afterLines="150" w:after="360"/>
      </w:pPr>
      <w:r>
        <w:lastRenderedPageBreak/>
        <w:t xml:space="preserve">Having been heard on </w:t>
      </w:r>
      <w:r w:rsidR="008E4BDD">
        <w:t>March 26</w:t>
      </w:r>
      <w:r>
        <w:t>, 2019, the Growth Plan 2017 applies in this matter.</w:t>
      </w:r>
    </w:p>
    <w:p w14:paraId="5A9F435B" w14:textId="77777777" w:rsidR="00801126" w:rsidRDefault="0042015B" w:rsidP="00FA326B">
      <w:pPr>
        <w:pStyle w:val="DecisionBody"/>
        <w:spacing w:beforeLines="150" w:before="360" w:afterLines="150" w:after="360"/>
      </w:pPr>
      <w:r>
        <w:t xml:space="preserve">Based </w:t>
      </w:r>
      <w:proofErr w:type="gramStart"/>
      <w:r>
        <w:t>on the</w:t>
      </w:r>
      <w:r w:rsidRPr="0042015B">
        <w:t xml:space="preserve"> whole</w:t>
      </w:r>
      <w:proofErr w:type="gramEnd"/>
      <w:r w:rsidRPr="0042015B">
        <w:t xml:space="preserve"> of the evidence inclusive of the documentary record</w:t>
      </w:r>
      <w:r>
        <w:t xml:space="preserve"> and Exhibit 1 submitted by the City</w:t>
      </w:r>
      <w:r w:rsidRPr="0042015B">
        <w:t>, the Tribunal finds</w:t>
      </w:r>
      <w:r w:rsidR="001C0A75">
        <w:t xml:space="preserve"> the application is consistent with the PPS and conforms to the Growth Plan 2017.</w:t>
      </w:r>
    </w:p>
    <w:p w14:paraId="2AE7EF19" w14:textId="77777777" w:rsidR="00801126" w:rsidRDefault="00801126" w:rsidP="00FA326B">
      <w:pPr>
        <w:pStyle w:val="Heading1"/>
        <w:spacing w:beforeLines="150" w:before="360" w:afterLines="150" w:after="360"/>
      </w:pPr>
      <w:r>
        <w:t>ANALYSIS AND FINDINGS</w:t>
      </w:r>
    </w:p>
    <w:p w14:paraId="1ECC6149" w14:textId="77777777" w:rsidR="00801126" w:rsidRPr="00801126" w:rsidRDefault="00801126" w:rsidP="00FA326B">
      <w:pPr>
        <w:pStyle w:val="DecisionBody"/>
        <w:numPr>
          <w:ilvl w:val="0"/>
          <w:numId w:val="0"/>
        </w:numPr>
        <w:spacing w:beforeLines="150" w:before="360" w:afterLines="150" w:after="360"/>
        <w:rPr>
          <w:b/>
        </w:rPr>
      </w:pPr>
      <w:r w:rsidRPr="00801126">
        <w:rPr>
          <w:b/>
        </w:rPr>
        <w:t>General Intent and Purpose of the Official Plan</w:t>
      </w:r>
    </w:p>
    <w:p w14:paraId="21BCE0C6" w14:textId="43FFC790" w:rsidR="00801126" w:rsidRDefault="00952F2F" w:rsidP="00FA326B">
      <w:pPr>
        <w:pStyle w:val="DecisionBody"/>
        <w:spacing w:beforeLines="150" w:before="360" w:afterLines="150" w:after="360"/>
      </w:pPr>
      <w:r>
        <w:t>Mr. Pollock referred the Tribunal to the City’s Official Plan (</w:t>
      </w:r>
      <w:r w:rsidR="0062049A">
        <w:t>“</w:t>
      </w:r>
      <w:r>
        <w:t>OP</w:t>
      </w:r>
      <w:r w:rsidR="0062049A">
        <w:t>”</w:t>
      </w:r>
      <w:r>
        <w:t>), a copy of which was in the City’s document book. He noted that the subject site is designated “Industrial” under</w:t>
      </w:r>
      <w:r w:rsidR="00145125">
        <w:t xml:space="preserve"> Section 8.3</w:t>
      </w:r>
      <w:r>
        <w:t xml:space="preserve"> the City’s </w:t>
      </w:r>
      <w:r w:rsidR="0062049A">
        <w:t>OP</w:t>
      </w:r>
      <w:r>
        <w:t xml:space="preserve"> which states that the primary uses in areas designated as industrial will be for industry</w:t>
      </w:r>
      <w:r w:rsidR="00145125">
        <w:t xml:space="preserve">. Under Section 8.3 industry is defined as manufacturing, recycling, warehousing, </w:t>
      </w:r>
      <w:r w:rsidR="00E3301A">
        <w:t>distribution</w:t>
      </w:r>
      <w:r w:rsidR="00145125">
        <w:t>, laboratory and research, and storage</w:t>
      </w:r>
      <w:r>
        <w:t xml:space="preserve">. </w:t>
      </w:r>
      <w:r w:rsidR="00145125">
        <w:t xml:space="preserve">Section 8.3 also states that the following uses, including those in </w:t>
      </w:r>
      <w:r>
        <w:t>Section 8.2.4 of the City’s OP</w:t>
      </w:r>
      <w:r w:rsidR="00145125">
        <w:t>, may be permitted within industrial areas. Section 8.2.4 refers to Health and fitness facilities, conference centres and private clubs.</w:t>
      </w:r>
    </w:p>
    <w:p w14:paraId="6607C8B2" w14:textId="77777777" w:rsidR="00801126" w:rsidRDefault="00145125" w:rsidP="00E3301A">
      <w:pPr>
        <w:pStyle w:val="DecisionBody"/>
        <w:spacing w:beforeLines="150" w:before="360" w:afterLines="150" w:after="360"/>
      </w:pPr>
      <w:r>
        <w:t>The City’s Planning Staff report, included in the City’s document book, states that City Staff found that the proposed relief from the By-law maintains the general intent and purpose of the OP</w:t>
      </w:r>
      <w:r w:rsidR="00DA3085">
        <w:t>.</w:t>
      </w:r>
    </w:p>
    <w:p w14:paraId="53AB3A6A" w14:textId="77777777" w:rsidR="00DA3085" w:rsidRDefault="00DA3085" w:rsidP="00E3301A">
      <w:pPr>
        <w:pStyle w:val="DecisionBody"/>
        <w:spacing w:beforeLines="150" w:before="360" w:afterLines="150" w:after="360"/>
      </w:pPr>
      <w:r>
        <w:t>Based on the uncontested evidence, the Tribunal finds that the proposed variance maintains the general intent and purpose of the OP.</w:t>
      </w:r>
    </w:p>
    <w:p w14:paraId="6AECE7F8" w14:textId="77777777" w:rsidR="00801126" w:rsidRPr="00801126" w:rsidRDefault="00801126" w:rsidP="00FA326B">
      <w:pPr>
        <w:pStyle w:val="DecisionBody"/>
        <w:numPr>
          <w:ilvl w:val="0"/>
          <w:numId w:val="0"/>
        </w:numPr>
        <w:spacing w:before="150" w:after="150"/>
        <w:rPr>
          <w:b/>
        </w:rPr>
      </w:pPr>
      <w:r w:rsidRPr="00801126">
        <w:rPr>
          <w:b/>
        </w:rPr>
        <w:t>General Intent and Purpose of the Zoning By-law</w:t>
      </w:r>
    </w:p>
    <w:p w14:paraId="1D8C11C7" w14:textId="77777777" w:rsidR="00801126" w:rsidRDefault="00CB0D85" w:rsidP="00FA326B">
      <w:pPr>
        <w:pStyle w:val="DecisionBody"/>
        <w:spacing w:beforeLines="150" w:before="360" w:afterLines="150" w:after="360"/>
      </w:pPr>
      <w:r>
        <w:t xml:space="preserve">Mr. </w:t>
      </w:r>
      <w:r w:rsidR="0047263D">
        <w:t>Pollock noted that t</w:t>
      </w:r>
      <w:r w:rsidR="006202E9">
        <w:t>he subject site is zoned General Industrial (G1) under the City’s Zoning By-law No. 79-200.</w:t>
      </w:r>
      <w:r w:rsidR="0047263D">
        <w:t xml:space="preserve"> The Planning Report in the City’s Document Book states that the G1 zone does not permit recreational uses such as a health centre, and </w:t>
      </w:r>
      <w:r w:rsidR="0047263D">
        <w:lastRenderedPageBreak/>
        <w:t>that the health centre operating within the existing building at 5881 Thorold Stone Road for over 20 years has done so without zoning approval.</w:t>
      </w:r>
    </w:p>
    <w:p w14:paraId="2192BC5D" w14:textId="77777777" w:rsidR="0047263D" w:rsidRDefault="0047263D" w:rsidP="00FA326B">
      <w:pPr>
        <w:pStyle w:val="DecisionBody"/>
        <w:spacing w:beforeLines="150" w:before="360" w:afterLines="150" w:after="360"/>
      </w:pPr>
      <w:r>
        <w:t>The Planning Report notes that adequate parking is provided on the site to support the health centre use.</w:t>
      </w:r>
    </w:p>
    <w:p w14:paraId="1550F0B0" w14:textId="77777777" w:rsidR="0047263D" w:rsidRDefault="0047263D" w:rsidP="00FA326B">
      <w:pPr>
        <w:pStyle w:val="DecisionBody"/>
        <w:spacing w:beforeLines="150" w:before="360" w:afterLines="150" w:after="360"/>
      </w:pPr>
      <w:r>
        <w:t xml:space="preserve">The Planning Report states that health centre has been providing a service within the community for an extended </w:t>
      </w:r>
      <w:proofErr w:type="gramStart"/>
      <w:r>
        <w:t>period of time</w:t>
      </w:r>
      <w:proofErr w:type="gramEnd"/>
      <w:r>
        <w:t xml:space="preserve"> without causing any measurable impact and concludes that the variance to add the use is acceptable. The opinion of planning staff in the Report is that the proposed variance maintains the general intent and purpose of ZBL 79-200.</w:t>
      </w:r>
    </w:p>
    <w:p w14:paraId="5D2E4C8E" w14:textId="77777777" w:rsidR="00801126" w:rsidRDefault="00D4675A" w:rsidP="00FA326B">
      <w:pPr>
        <w:pStyle w:val="DecisionBody"/>
        <w:spacing w:beforeLines="150" w:before="360" w:afterLines="150" w:after="360"/>
      </w:pPr>
      <w:r>
        <w:t xml:space="preserve">Based on the uncontested evidence, the Tribunal finds that the proposed variance maintains the general intent and purpose of ZBL </w:t>
      </w:r>
      <w:r w:rsidR="00013F00">
        <w:t>79-200.</w:t>
      </w:r>
    </w:p>
    <w:p w14:paraId="543BBB67" w14:textId="77777777" w:rsidR="00801126" w:rsidRPr="00801126" w:rsidRDefault="00801126" w:rsidP="00FA326B">
      <w:pPr>
        <w:pStyle w:val="DecisionBody"/>
        <w:numPr>
          <w:ilvl w:val="0"/>
          <w:numId w:val="0"/>
        </w:numPr>
        <w:spacing w:beforeLines="150" w:before="360" w:afterLines="150" w:after="360"/>
        <w:rPr>
          <w:b/>
        </w:rPr>
      </w:pPr>
      <w:r w:rsidRPr="00801126">
        <w:rPr>
          <w:b/>
        </w:rPr>
        <w:t xml:space="preserve">Minor and </w:t>
      </w:r>
      <w:proofErr w:type="spellStart"/>
      <w:r w:rsidRPr="00801126">
        <w:rPr>
          <w:b/>
        </w:rPr>
        <w:t>Desireable</w:t>
      </w:r>
      <w:proofErr w:type="spellEnd"/>
    </w:p>
    <w:p w14:paraId="129133C4" w14:textId="77777777" w:rsidR="00801126" w:rsidRDefault="0042015B" w:rsidP="00FA326B">
      <w:pPr>
        <w:pStyle w:val="DecisionBody"/>
        <w:spacing w:beforeLines="150" w:before="360" w:afterLines="150" w:after="360"/>
      </w:pPr>
      <w:r>
        <w:t>Mr. Lavell’s concerns were primarily about drainage and parking. However, his concern</w:t>
      </w:r>
      <w:r w:rsidR="007F7669">
        <w:t xml:space="preserve">s were related not just to the variance requested for the subject site but to the whole property of which the subject site is just a part. </w:t>
      </w:r>
      <w:r w:rsidR="00E57D13">
        <w:t xml:space="preserve">Based on his testimony, it appeared that </w:t>
      </w:r>
      <w:r w:rsidR="007F7669">
        <w:t>Mr. Lavell</w:t>
      </w:r>
      <w:r w:rsidR="00E57D13">
        <w:t>’s</w:t>
      </w:r>
      <w:r w:rsidR="007F7669">
        <w:t xml:space="preserve"> concerns </w:t>
      </w:r>
      <w:r w:rsidR="00E57D13">
        <w:t xml:space="preserve">were focused on newly introduced </w:t>
      </w:r>
      <w:r w:rsidR="007F7669">
        <w:t>Sports Plex at the north end of the building. He was concerned about the parking for the Sports Plex and mentioned that a catch basin under the Sports Plex had collapsed which increased his concerns with respect to drainage.</w:t>
      </w:r>
    </w:p>
    <w:p w14:paraId="677B9568" w14:textId="77777777" w:rsidR="0064161C" w:rsidRDefault="0064161C" w:rsidP="00FA326B">
      <w:pPr>
        <w:pStyle w:val="DecisionBody"/>
        <w:spacing w:beforeLines="150" w:before="360" w:afterLines="150" w:after="360"/>
      </w:pPr>
      <w:r>
        <w:t>Mr. Pollock stated that the club has been there for years. It’s affordable and meets a need within the community. He noted that there is ample parking.</w:t>
      </w:r>
    </w:p>
    <w:p w14:paraId="0B1FA142" w14:textId="77777777" w:rsidR="004943A9" w:rsidRDefault="00013F00" w:rsidP="00FA326B">
      <w:pPr>
        <w:pStyle w:val="DecisionBody"/>
        <w:spacing w:beforeLines="150" w:before="360" w:afterLines="150" w:after="360"/>
      </w:pPr>
      <w:r>
        <w:t xml:space="preserve">As noted in the Planning Report, the City’s Planning Staff noted that the </w:t>
      </w:r>
      <w:r w:rsidRPr="00013F00">
        <w:t xml:space="preserve">health centre has been providing a service within the community for an extended </w:t>
      </w:r>
      <w:proofErr w:type="gramStart"/>
      <w:r w:rsidRPr="00013F00">
        <w:t>period of time</w:t>
      </w:r>
      <w:proofErr w:type="gramEnd"/>
      <w:r w:rsidRPr="00013F00">
        <w:t xml:space="preserve"> without causing any measurable impact</w:t>
      </w:r>
      <w:r>
        <w:t xml:space="preserve">. </w:t>
      </w:r>
      <w:r w:rsidR="0064161C">
        <w:t xml:space="preserve">According to the report City staff </w:t>
      </w:r>
      <w:proofErr w:type="gramStart"/>
      <w:r w:rsidR="0064161C">
        <w:t>were of the opinion that</w:t>
      </w:r>
      <w:proofErr w:type="gramEnd"/>
      <w:r w:rsidR="0064161C">
        <w:t xml:space="preserve"> the variance was minor in nature and desirable for the appropriate use of </w:t>
      </w:r>
      <w:r w:rsidR="0064161C">
        <w:lastRenderedPageBreak/>
        <w:t>the property</w:t>
      </w:r>
      <w:r w:rsidR="004943A9">
        <w:t>.</w:t>
      </w:r>
    </w:p>
    <w:p w14:paraId="577A18B9" w14:textId="77777777" w:rsidR="004943A9" w:rsidRPr="004943A9" w:rsidRDefault="004943A9" w:rsidP="00FA326B">
      <w:pPr>
        <w:pStyle w:val="DecisionBody"/>
        <w:numPr>
          <w:ilvl w:val="0"/>
          <w:numId w:val="0"/>
        </w:numPr>
        <w:spacing w:beforeLines="150" w:before="360" w:afterLines="150" w:after="360"/>
        <w:rPr>
          <w:i/>
        </w:rPr>
      </w:pPr>
      <w:r w:rsidRPr="004943A9">
        <w:rPr>
          <w:i/>
        </w:rPr>
        <w:t>Summary</w:t>
      </w:r>
    </w:p>
    <w:p w14:paraId="02135072" w14:textId="0E55A9B5" w:rsidR="004943A9" w:rsidRDefault="004943A9" w:rsidP="00FA326B">
      <w:pPr>
        <w:pStyle w:val="DecisionBody"/>
        <w:spacing w:beforeLines="150" w:before="360" w:afterLines="150" w:after="360"/>
      </w:pPr>
      <w:r>
        <w:t xml:space="preserve">The Staff Report concludes that the variance requested meets the four tests set out under </w:t>
      </w:r>
      <w:r w:rsidR="00E3301A">
        <w:t>s.</w:t>
      </w:r>
      <w:r>
        <w:t xml:space="preserve"> 45(1) of the Act.</w:t>
      </w:r>
    </w:p>
    <w:p w14:paraId="3A01D3B8" w14:textId="4299CBDC" w:rsidR="004943A9" w:rsidRDefault="004943A9" w:rsidP="00FA326B">
      <w:pPr>
        <w:pStyle w:val="DecisionBody"/>
        <w:spacing w:beforeLines="150" w:before="360" w:afterLines="150" w:after="360"/>
      </w:pPr>
      <w:r>
        <w:t>Based on the uncontested evidence presented, the Tribunal finds that the proposed variance meets the four</w:t>
      </w:r>
      <w:r w:rsidR="00740044">
        <w:t xml:space="preserve">-part </w:t>
      </w:r>
      <w:r>
        <w:t xml:space="preserve">test pursuant to </w:t>
      </w:r>
      <w:r w:rsidR="00E3301A">
        <w:t>s.</w:t>
      </w:r>
      <w:r>
        <w:t xml:space="preserve"> 45(1) of the Act.</w:t>
      </w:r>
    </w:p>
    <w:p w14:paraId="73241D6C" w14:textId="77777777" w:rsidR="00801126" w:rsidRDefault="00801126" w:rsidP="00FA326B">
      <w:pPr>
        <w:pStyle w:val="Heading1"/>
        <w:spacing w:beforeLines="150" w:before="360" w:afterLines="150" w:after="360"/>
      </w:pPr>
      <w:r>
        <w:t>CONCLUSION</w:t>
      </w:r>
    </w:p>
    <w:p w14:paraId="4B89B870" w14:textId="35335BCD" w:rsidR="00801126" w:rsidRDefault="001C0A75" w:rsidP="00E3301A">
      <w:pPr>
        <w:pStyle w:val="DecisionBody"/>
        <w:spacing w:beforeLines="150" w:before="360" w:afterLines="150" w:after="360"/>
      </w:pPr>
      <w:r w:rsidRPr="001C0A75">
        <w:t>Upon the findings made, M</w:t>
      </w:r>
      <w:r>
        <w:t>r</w:t>
      </w:r>
      <w:r w:rsidR="008E4BDD">
        <w:t xml:space="preserve">. Pollock’s </w:t>
      </w:r>
      <w:r w:rsidRPr="001C0A75">
        <w:t>evidence, and the whole of the evidence inclusive of the documentary record, the Tribunal finds that the proposed variance meet</w:t>
      </w:r>
      <w:r w:rsidR="00E57D13">
        <w:t>s</w:t>
      </w:r>
      <w:r w:rsidRPr="001C0A75">
        <w:t xml:space="preserve"> the four tests set out in s</w:t>
      </w:r>
      <w:r w:rsidR="00E3301A">
        <w:t>.</w:t>
      </w:r>
      <w:r w:rsidRPr="001C0A75">
        <w:t xml:space="preserve"> 45(1) of the Act, </w:t>
      </w:r>
      <w:r w:rsidR="00E57D13">
        <w:t>is</w:t>
      </w:r>
      <w:r w:rsidRPr="001C0A75">
        <w:t xml:space="preserve"> consistent with the PPS, conform</w:t>
      </w:r>
      <w:r w:rsidR="00E57D13">
        <w:t>s</w:t>
      </w:r>
      <w:r w:rsidRPr="001C0A75">
        <w:t xml:space="preserve"> with the Growth Plan and any matters of provincial interest identified in the Act, and represents good planning in the public interest. For these reasons, the Tribunal will allow the appeal and authorize the variance</w:t>
      </w:r>
      <w:r w:rsidR="00E57D13">
        <w:t>.</w:t>
      </w:r>
    </w:p>
    <w:p w14:paraId="7D75726E" w14:textId="77777777" w:rsidR="00801126" w:rsidRDefault="00801126" w:rsidP="00E3301A">
      <w:pPr>
        <w:pStyle w:val="Heading1"/>
        <w:spacing w:beforeLines="150" w:before="360" w:afterLines="150" w:after="360"/>
      </w:pPr>
      <w:r>
        <w:t>ORDER</w:t>
      </w:r>
    </w:p>
    <w:p w14:paraId="1DB3ECAF" w14:textId="77777777" w:rsidR="00F94FDD" w:rsidRPr="00AC548D" w:rsidRDefault="00E57D13" w:rsidP="00E3301A">
      <w:pPr>
        <w:pStyle w:val="DecisionBody"/>
        <w:spacing w:beforeLines="150" w:before="360" w:afterLines="150" w:after="360"/>
      </w:pPr>
      <w:r>
        <w:t>The Tribunal orders that the appeal is allowed and the variance</w:t>
      </w:r>
      <w:r w:rsidR="009F33A1" w:rsidRPr="009F33A1">
        <w:t xml:space="preserve"> to permit a </w:t>
      </w:r>
      <w:r w:rsidR="009F33A1">
        <w:t>“</w:t>
      </w:r>
      <w:r w:rsidR="009F33A1" w:rsidRPr="009F33A1">
        <w:t>health centre</w:t>
      </w:r>
      <w:r w:rsidR="009F33A1">
        <w:t>”</w:t>
      </w:r>
      <w:r w:rsidR="009F33A1" w:rsidRPr="009F33A1">
        <w:t xml:space="preserve"> to be added to the list of permitted uses allowed </w:t>
      </w:r>
      <w:r w:rsidR="009F33A1">
        <w:t>in</w:t>
      </w:r>
      <w:r w:rsidR="009F33A1" w:rsidRPr="009F33A1">
        <w:t xml:space="preserve"> </w:t>
      </w:r>
      <w:r w:rsidR="009F33A1">
        <w:t xml:space="preserve">the G1 </w:t>
      </w:r>
      <w:r w:rsidR="009F33A1" w:rsidRPr="009F33A1">
        <w:t>Zon</w:t>
      </w:r>
      <w:r w:rsidR="009F33A1">
        <w:t>e for 5881 Thorold Stone Road under the City’s</w:t>
      </w:r>
      <w:r>
        <w:t xml:space="preserve"> By-law 79-200 is authorized.</w:t>
      </w:r>
    </w:p>
    <w:p w14:paraId="1A8BBFD5" w14:textId="77777777" w:rsidR="00935095" w:rsidRDefault="00935095" w:rsidP="004E31D7">
      <w:pPr>
        <w:pStyle w:val="MemberSignature"/>
        <w:ind w:left="0"/>
        <w:jc w:val="both"/>
        <w:rPr>
          <w:i w:val="0"/>
        </w:rPr>
      </w:pPr>
    </w:p>
    <w:p w14:paraId="7E4B0213" w14:textId="77777777" w:rsidR="00E3301A" w:rsidRDefault="00E3301A" w:rsidP="004E31D7">
      <w:pPr>
        <w:pStyle w:val="MemberSignature"/>
        <w:ind w:left="0"/>
        <w:jc w:val="both"/>
        <w:rPr>
          <w:i w:val="0"/>
        </w:rPr>
      </w:pPr>
    </w:p>
    <w:p w14:paraId="1E9B9FD8" w14:textId="77777777" w:rsidR="00E3301A" w:rsidRPr="004E31D7" w:rsidRDefault="00E3301A" w:rsidP="004E31D7">
      <w:pPr>
        <w:pStyle w:val="MemberSignature"/>
        <w:ind w:left="0"/>
        <w:jc w:val="both"/>
        <w:rPr>
          <w:i w:val="0"/>
        </w:rPr>
      </w:pPr>
    </w:p>
    <w:p w14:paraId="534FEE92" w14:textId="77777777" w:rsidR="00935095" w:rsidRPr="00AC548D" w:rsidRDefault="00F94FDD" w:rsidP="00AC548D">
      <w:pPr>
        <w:pStyle w:val="MemberSignature"/>
      </w:pPr>
      <w:r>
        <w:t>“John Douglas</w:t>
      </w:r>
      <w:r w:rsidR="00935095" w:rsidRPr="00AC548D">
        <w:t>”</w:t>
      </w:r>
    </w:p>
    <w:p w14:paraId="3C802D5B" w14:textId="77777777" w:rsidR="00935095" w:rsidRPr="004E31D7" w:rsidRDefault="00935095" w:rsidP="004E31D7">
      <w:pPr>
        <w:pStyle w:val="MemberSignature"/>
        <w:ind w:left="0"/>
        <w:jc w:val="both"/>
        <w:rPr>
          <w:i w:val="0"/>
        </w:rPr>
      </w:pPr>
    </w:p>
    <w:p w14:paraId="1C58DF7E" w14:textId="77777777" w:rsidR="00935095" w:rsidRPr="004E31D7" w:rsidRDefault="00935095" w:rsidP="004E31D7">
      <w:pPr>
        <w:pStyle w:val="MemberSignature"/>
        <w:ind w:left="0"/>
        <w:jc w:val="left"/>
        <w:rPr>
          <w:i w:val="0"/>
        </w:rPr>
      </w:pPr>
    </w:p>
    <w:p w14:paraId="188299AD" w14:textId="77777777" w:rsidR="00935095" w:rsidRPr="00AC548D" w:rsidRDefault="00F94FDD" w:rsidP="00AC548D">
      <w:pPr>
        <w:pStyle w:val="MemberSignatureNameandTitle"/>
      </w:pPr>
      <w:r>
        <w:t>John Douglas</w:t>
      </w:r>
    </w:p>
    <w:p w14:paraId="654E3E76" w14:textId="77777777" w:rsidR="00935095" w:rsidRPr="00AC548D" w:rsidRDefault="00F94FDD" w:rsidP="00AC548D">
      <w:pPr>
        <w:pStyle w:val="MemberSignatureNameandTitle"/>
      </w:pPr>
      <w:r>
        <w:t>MEMBER</w:t>
      </w:r>
    </w:p>
    <w:p w14:paraId="05BF330D" w14:textId="77777777" w:rsidR="00935095" w:rsidRPr="004E31D7" w:rsidRDefault="00935095" w:rsidP="00AC548D">
      <w:pPr>
        <w:rPr>
          <w:rFonts w:ascii="Arial" w:hAnsi="Arial" w:cs="Arial"/>
        </w:rPr>
      </w:pPr>
    </w:p>
    <w:p w14:paraId="131628B5" w14:textId="77777777" w:rsidR="00935095" w:rsidRPr="004E31D7" w:rsidRDefault="00935095" w:rsidP="00AC548D">
      <w:pPr>
        <w:rPr>
          <w:rFonts w:ascii="Arial" w:hAnsi="Arial" w:cs="Arial"/>
        </w:rPr>
      </w:pPr>
    </w:p>
    <w:p w14:paraId="542456F5" w14:textId="77777777" w:rsidR="00D265BD" w:rsidRPr="004E31D7" w:rsidRDefault="00D265BD" w:rsidP="00AC548D">
      <w:pPr>
        <w:rPr>
          <w:rFonts w:ascii="Arial" w:hAnsi="Arial" w:cs="Arial"/>
        </w:rPr>
      </w:pPr>
    </w:p>
    <w:p w14:paraId="1128DF7B" w14:textId="77777777" w:rsidR="00D265BD" w:rsidRPr="004E31D7" w:rsidRDefault="00D265BD" w:rsidP="00AC548D">
      <w:pPr>
        <w:rPr>
          <w:rFonts w:ascii="Arial" w:hAnsi="Arial" w:cs="Arial"/>
        </w:rPr>
      </w:pPr>
    </w:p>
    <w:p w14:paraId="6812296E" w14:textId="77777777" w:rsidR="00D265BD" w:rsidRPr="004E31D7" w:rsidRDefault="00D265BD" w:rsidP="00AC548D">
      <w:pPr>
        <w:rPr>
          <w:rFonts w:ascii="Arial" w:hAnsi="Arial" w:cs="Arial"/>
        </w:rPr>
      </w:pPr>
    </w:p>
    <w:p w14:paraId="1BCC4033" w14:textId="77777777" w:rsidR="00D265BD" w:rsidRPr="004E31D7" w:rsidRDefault="00D265BD" w:rsidP="00AC548D">
      <w:pPr>
        <w:rPr>
          <w:rFonts w:ascii="Arial" w:hAnsi="Arial" w:cs="Arial"/>
        </w:rPr>
      </w:pPr>
    </w:p>
    <w:p w14:paraId="05C792D6" w14:textId="77777777" w:rsidR="00D265BD" w:rsidRPr="004E31D7" w:rsidRDefault="00D265BD" w:rsidP="00AC548D">
      <w:pPr>
        <w:rPr>
          <w:rFonts w:ascii="Arial" w:hAnsi="Arial" w:cs="Arial"/>
        </w:rPr>
      </w:pPr>
    </w:p>
    <w:p w14:paraId="5458D8F5" w14:textId="77777777" w:rsidR="00D265BD" w:rsidRPr="004E31D7" w:rsidRDefault="00D265BD" w:rsidP="00AC548D">
      <w:pPr>
        <w:rPr>
          <w:rFonts w:ascii="Arial" w:hAnsi="Arial" w:cs="Arial"/>
        </w:rPr>
      </w:pPr>
    </w:p>
    <w:p w14:paraId="6F881833" w14:textId="77777777" w:rsidR="00D265BD" w:rsidRPr="004E31D7" w:rsidRDefault="00D265BD" w:rsidP="00AC548D">
      <w:pPr>
        <w:rPr>
          <w:rFonts w:ascii="Arial" w:hAnsi="Arial" w:cs="Arial"/>
        </w:rPr>
      </w:pPr>
    </w:p>
    <w:p w14:paraId="53155DA1" w14:textId="77777777" w:rsidR="00D265BD" w:rsidRPr="004E31D7" w:rsidRDefault="00D265BD" w:rsidP="00AC548D">
      <w:pPr>
        <w:rPr>
          <w:rFonts w:ascii="Arial" w:hAnsi="Arial" w:cs="Arial"/>
        </w:rPr>
      </w:pPr>
    </w:p>
    <w:p w14:paraId="75B5C220" w14:textId="77777777" w:rsidR="00D265BD" w:rsidRPr="004E31D7" w:rsidRDefault="00D265BD" w:rsidP="00AC548D">
      <w:pPr>
        <w:rPr>
          <w:rFonts w:ascii="Arial" w:hAnsi="Arial" w:cs="Arial"/>
        </w:rPr>
      </w:pPr>
    </w:p>
    <w:p w14:paraId="58E54141" w14:textId="77777777" w:rsidR="00D265BD" w:rsidRPr="004E31D7" w:rsidRDefault="00D265BD" w:rsidP="00AC548D">
      <w:pPr>
        <w:rPr>
          <w:rFonts w:ascii="Arial" w:hAnsi="Arial" w:cs="Arial"/>
        </w:rPr>
      </w:pPr>
    </w:p>
    <w:p w14:paraId="6E054FB9" w14:textId="77777777" w:rsidR="004B6547" w:rsidRPr="004E31D7" w:rsidRDefault="004B6547" w:rsidP="00AC548D">
      <w:pPr>
        <w:rPr>
          <w:rFonts w:ascii="Arial" w:hAnsi="Arial" w:cs="Arial"/>
        </w:rPr>
      </w:pPr>
    </w:p>
    <w:p w14:paraId="5CD068BD" w14:textId="77777777" w:rsidR="004B6547" w:rsidRPr="004E31D7" w:rsidRDefault="004B6547" w:rsidP="00AC548D">
      <w:pPr>
        <w:rPr>
          <w:rFonts w:ascii="Arial" w:hAnsi="Arial" w:cs="Arial"/>
        </w:rPr>
      </w:pPr>
    </w:p>
    <w:p w14:paraId="424EF04E" w14:textId="77777777" w:rsidR="00627521" w:rsidRPr="004E31D7" w:rsidRDefault="00627521" w:rsidP="00AC548D">
      <w:pPr>
        <w:rPr>
          <w:rFonts w:ascii="Arial" w:hAnsi="Arial" w:cs="Arial"/>
        </w:rPr>
      </w:pPr>
    </w:p>
    <w:p w14:paraId="6965AB69" w14:textId="77777777" w:rsidR="00627521" w:rsidRPr="004E31D7" w:rsidRDefault="00627521" w:rsidP="00AC548D">
      <w:pPr>
        <w:rPr>
          <w:rFonts w:ascii="Arial" w:hAnsi="Arial" w:cs="Arial"/>
        </w:rPr>
      </w:pPr>
    </w:p>
    <w:p w14:paraId="7C6DDB7E" w14:textId="77777777" w:rsidR="00627521" w:rsidRDefault="00627521" w:rsidP="00AC548D">
      <w:pPr>
        <w:rPr>
          <w:rFonts w:ascii="Arial" w:hAnsi="Arial" w:cs="Arial"/>
        </w:rPr>
      </w:pPr>
    </w:p>
    <w:p w14:paraId="1D8A76BF" w14:textId="77777777" w:rsidR="002D23D0" w:rsidRPr="004E31D7" w:rsidRDefault="002D23D0" w:rsidP="00AC548D">
      <w:pPr>
        <w:rPr>
          <w:rFonts w:ascii="Arial" w:hAnsi="Arial" w:cs="Arial"/>
        </w:rPr>
      </w:pPr>
    </w:p>
    <w:p w14:paraId="63FA4E88" w14:textId="77777777" w:rsidR="00627521" w:rsidRDefault="00627521" w:rsidP="00AC548D">
      <w:pPr>
        <w:rPr>
          <w:rFonts w:ascii="Arial" w:hAnsi="Arial" w:cs="Arial"/>
        </w:rPr>
      </w:pPr>
    </w:p>
    <w:p w14:paraId="14A3ACBF" w14:textId="77777777" w:rsidR="004E31D7" w:rsidRDefault="004E31D7" w:rsidP="00AC548D">
      <w:pPr>
        <w:rPr>
          <w:rFonts w:ascii="Arial" w:hAnsi="Arial" w:cs="Arial"/>
        </w:rPr>
      </w:pPr>
    </w:p>
    <w:p w14:paraId="6626E018" w14:textId="77777777" w:rsidR="00E3301A" w:rsidRDefault="00E3301A" w:rsidP="00AC548D">
      <w:pPr>
        <w:rPr>
          <w:rFonts w:ascii="Arial" w:hAnsi="Arial" w:cs="Arial"/>
        </w:rPr>
      </w:pPr>
    </w:p>
    <w:p w14:paraId="7C6FE835" w14:textId="77777777" w:rsidR="00E3301A" w:rsidRDefault="00E3301A" w:rsidP="00AC548D">
      <w:pPr>
        <w:rPr>
          <w:rFonts w:ascii="Arial" w:hAnsi="Arial" w:cs="Arial"/>
        </w:rPr>
      </w:pPr>
    </w:p>
    <w:p w14:paraId="6C2C443E" w14:textId="77777777" w:rsidR="00E3301A" w:rsidRDefault="00E3301A" w:rsidP="00AC548D">
      <w:pPr>
        <w:rPr>
          <w:rFonts w:ascii="Arial" w:hAnsi="Arial" w:cs="Arial"/>
        </w:rPr>
      </w:pPr>
    </w:p>
    <w:p w14:paraId="7942FCA0" w14:textId="77777777" w:rsidR="00E3301A" w:rsidRDefault="00E3301A" w:rsidP="00AC548D">
      <w:pPr>
        <w:rPr>
          <w:rFonts w:ascii="Arial" w:hAnsi="Arial" w:cs="Arial"/>
        </w:rPr>
      </w:pPr>
    </w:p>
    <w:p w14:paraId="19E27AF1" w14:textId="77777777" w:rsidR="00E3301A" w:rsidRDefault="00E3301A" w:rsidP="00AC548D">
      <w:pPr>
        <w:rPr>
          <w:rFonts w:ascii="Arial" w:hAnsi="Arial" w:cs="Arial"/>
        </w:rPr>
      </w:pPr>
    </w:p>
    <w:p w14:paraId="209329EC" w14:textId="77777777" w:rsidR="00E3301A" w:rsidRDefault="00E3301A" w:rsidP="00AC548D">
      <w:pPr>
        <w:rPr>
          <w:rFonts w:ascii="Arial" w:hAnsi="Arial" w:cs="Arial"/>
        </w:rPr>
      </w:pPr>
    </w:p>
    <w:p w14:paraId="48BC0951" w14:textId="77777777" w:rsidR="00E3301A" w:rsidRDefault="00E3301A" w:rsidP="00AC548D">
      <w:pPr>
        <w:rPr>
          <w:rFonts w:ascii="Arial" w:hAnsi="Arial" w:cs="Arial"/>
        </w:rPr>
      </w:pPr>
    </w:p>
    <w:p w14:paraId="70BE464F" w14:textId="77777777" w:rsidR="00E3301A" w:rsidRDefault="00E3301A" w:rsidP="00AC548D">
      <w:pPr>
        <w:rPr>
          <w:rFonts w:ascii="Arial" w:hAnsi="Arial" w:cs="Arial"/>
        </w:rPr>
      </w:pPr>
    </w:p>
    <w:p w14:paraId="4E9C3564" w14:textId="77777777" w:rsidR="00E3301A" w:rsidRDefault="00E3301A" w:rsidP="00AC548D">
      <w:pPr>
        <w:rPr>
          <w:rFonts w:ascii="Arial" w:hAnsi="Arial" w:cs="Arial"/>
        </w:rPr>
      </w:pPr>
    </w:p>
    <w:p w14:paraId="59B91E5C" w14:textId="77777777" w:rsidR="00E3301A" w:rsidRDefault="00E3301A" w:rsidP="00AC548D">
      <w:pPr>
        <w:rPr>
          <w:rFonts w:ascii="Arial" w:hAnsi="Arial" w:cs="Arial"/>
        </w:rPr>
      </w:pPr>
    </w:p>
    <w:p w14:paraId="2DCE91E1" w14:textId="77777777" w:rsidR="00E3301A" w:rsidRDefault="00E3301A" w:rsidP="00AC548D">
      <w:pPr>
        <w:rPr>
          <w:rFonts w:ascii="Arial" w:hAnsi="Arial" w:cs="Arial"/>
        </w:rPr>
      </w:pPr>
    </w:p>
    <w:p w14:paraId="68BF3223" w14:textId="77777777" w:rsidR="00E3301A" w:rsidRDefault="00E3301A" w:rsidP="00AC548D">
      <w:pPr>
        <w:rPr>
          <w:rFonts w:ascii="Arial" w:hAnsi="Arial" w:cs="Arial"/>
        </w:rPr>
      </w:pPr>
    </w:p>
    <w:p w14:paraId="09F35AE9" w14:textId="77777777" w:rsidR="00E3301A" w:rsidRDefault="00E3301A" w:rsidP="00AC548D">
      <w:pPr>
        <w:rPr>
          <w:rFonts w:ascii="Arial" w:hAnsi="Arial" w:cs="Arial"/>
        </w:rPr>
      </w:pPr>
    </w:p>
    <w:p w14:paraId="57F3493A" w14:textId="23C2F3A6" w:rsidR="00E3301A" w:rsidRDefault="00E3301A" w:rsidP="00AC548D">
      <w:pPr>
        <w:rPr>
          <w:rFonts w:ascii="Arial" w:hAnsi="Arial" w:cs="Arial"/>
        </w:rPr>
      </w:pPr>
    </w:p>
    <w:p w14:paraId="0909EE31" w14:textId="5D037AD5" w:rsidR="00420EE5" w:rsidRDefault="00420EE5" w:rsidP="00AC548D">
      <w:pPr>
        <w:rPr>
          <w:rFonts w:ascii="Arial" w:hAnsi="Arial" w:cs="Arial"/>
        </w:rPr>
      </w:pPr>
    </w:p>
    <w:p w14:paraId="698C1D96" w14:textId="3F57E606" w:rsidR="00420EE5" w:rsidRDefault="00420EE5" w:rsidP="00AC548D">
      <w:pPr>
        <w:rPr>
          <w:rFonts w:ascii="Arial" w:hAnsi="Arial" w:cs="Arial"/>
        </w:rPr>
      </w:pPr>
    </w:p>
    <w:p w14:paraId="2A20488D" w14:textId="77777777" w:rsidR="00420EE5" w:rsidRDefault="00420EE5" w:rsidP="00AC548D">
      <w:pPr>
        <w:rPr>
          <w:rFonts w:ascii="Arial" w:hAnsi="Arial" w:cs="Arial"/>
        </w:rPr>
      </w:pPr>
      <w:bookmarkStart w:id="3" w:name="_GoBack"/>
      <w:bookmarkEnd w:id="3"/>
    </w:p>
    <w:p w14:paraId="2B4D12D5" w14:textId="77777777" w:rsidR="00E3301A" w:rsidRDefault="00E3301A" w:rsidP="00AC548D">
      <w:pPr>
        <w:rPr>
          <w:rFonts w:ascii="Arial" w:hAnsi="Arial" w:cs="Arial"/>
        </w:rPr>
      </w:pPr>
    </w:p>
    <w:p w14:paraId="7CBF38B2" w14:textId="77777777" w:rsidR="001F57FD" w:rsidRPr="00306B11" w:rsidRDefault="001F57FD" w:rsidP="001F57FD">
      <w:pPr>
        <w:rPr>
          <w:rFonts w:ascii="Arial" w:hAnsi="Arial" w:cs="Arial"/>
        </w:rPr>
      </w:pPr>
    </w:p>
    <w:p w14:paraId="4EEF06AA" w14:textId="77777777" w:rsidR="001F57FD" w:rsidRPr="00306B11" w:rsidRDefault="001F57FD" w:rsidP="001F57FD">
      <w:pPr>
        <w:rPr>
          <w:rFonts w:ascii="Arial" w:hAnsi="Arial" w:cs="Arial"/>
        </w:rPr>
      </w:pPr>
    </w:p>
    <w:p w14:paraId="42DF874B" w14:textId="77777777" w:rsidR="001F57FD" w:rsidRPr="00306B11" w:rsidRDefault="001F57FD" w:rsidP="001F57FD">
      <w:pPr>
        <w:tabs>
          <w:tab w:val="center" w:pos="4320"/>
          <w:tab w:val="right" w:pos="8640"/>
        </w:tabs>
        <w:jc w:val="center"/>
        <w:rPr>
          <w:rFonts w:ascii="Arial" w:hAnsi="Arial"/>
        </w:rPr>
      </w:pPr>
      <w:r w:rsidRPr="00306B11">
        <w:rPr>
          <w:rFonts w:ascii="Arial" w:hAnsi="Arial"/>
        </w:rPr>
        <w:t>If there is an attachment referred to in this document,</w:t>
      </w:r>
    </w:p>
    <w:p w14:paraId="1456126E" w14:textId="77777777" w:rsidR="001F57FD" w:rsidRPr="00306B11" w:rsidRDefault="001F57FD" w:rsidP="001F57FD">
      <w:pPr>
        <w:tabs>
          <w:tab w:val="center" w:pos="4320"/>
          <w:tab w:val="right" w:pos="8640"/>
        </w:tabs>
        <w:jc w:val="center"/>
        <w:rPr>
          <w:rFonts w:ascii="Arial" w:hAnsi="Arial"/>
        </w:rPr>
      </w:pPr>
      <w:r w:rsidRPr="00306B11">
        <w:rPr>
          <w:rFonts w:ascii="Arial" w:hAnsi="Arial"/>
        </w:rPr>
        <w:t>please visit www.elto.gov.on.ca to view the attachment in PDF format.</w:t>
      </w:r>
    </w:p>
    <w:p w14:paraId="450DB2B1" w14:textId="77777777" w:rsidR="001F57FD" w:rsidRPr="00306B11" w:rsidRDefault="001F57FD" w:rsidP="001F57FD">
      <w:pPr>
        <w:tabs>
          <w:tab w:val="center" w:pos="4320"/>
          <w:tab w:val="right" w:pos="8640"/>
        </w:tabs>
        <w:rPr>
          <w:rFonts w:ascii="Arial" w:hAnsi="Arial"/>
        </w:rPr>
      </w:pPr>
    </w:p>
    <w:p w14:paraId="398D1B00" w14:textId="77777777" w:rsidR="001F57FD" w:rsidRPr="00306B11" w:rsidRDefault="001F57FD" w:rsidP="001F57FD">
      <w:pPr>
        <w:tabs>
          <w:tab w:val="center" w:pos="4320"/>
          <w:tab w:val="right" w:pos="8640"/>
        </w:tabs>
        <w:rPr>
          <w:rFonts w:ascii="Arial" w:hAnsi="Arial"/>
        </w:rPr>
      </w:pPr>
    </w:p>
    <w:p w14:paraId="75519BA6" w14:textId="77777777" w:rsidR="001F57FD" w:rsidRPr="00306B11" w:rsidRDefault="001F57FD" w:rsidP="001F57FD">
      <w:pPr>
        <w:tabs>
          <w:tab w:val="center" w:pos="4320"/>
          <w:tab w:val="right" w:pos="8640"/>
        </w:tabs>
        <w:jc w:val="center"/>
        <w:rPr>
          <w:rFonts w:ascii="Arial" w:hAnsi="Arial"/>
          <w:b/>
        </w:rPr>
      </w:pPr>
      <w:r w:rsidRPr="00306B11">
        <w:rPr>
          <w:rFonts w:ascii="Arial" w:hAnsi="Arial"/>
          <w:b/>
        </w:rPr>
        <w:t>Local Planning Appeal Tribunal</w:t>
      </w:r>
    </w:p>
    <w:p w14:paraId="56CD288A" w14:textId="77777777" w:rsidR="001F57FD" w:rsidRPr="00306B11" w:rsidRDefault="001F57FD" w:rsidP="001F57FD">
      <w:pPr>
        <w:tabs>
          <w:tab w:val="center" w:pos="4320"/>
          <w:tab w:val="right" w:pos="8640"/>
        </w:tabs>
        <w:jc w:val="center"/>
        <w:rPr>
          <w:rFonts w:ascii="Arial" w:hAnsi="Arial"/>
        </w:rPr>
      </w:pPr>
      <w:r w:rsidRPr="00306B11">
        <w:rPr>
          <w:rFonts w:ascii="Arial" w:hAnsi="Arial"/>
        </w:rPr>
        <w:t>A constituent tribunal of Tribunals Ontario - Environment and Land Division</w:t>
      </w:r>
    </w:p>
    <w:p w14:paraId="17990C14" w14:textId="77777777" w:rsidR="001F57FD" w:rsidRPr="00306B11" w:rsidRDefault="001F57FD" w:rsidP="001F57FD">
      <w:pPr>
        <w:tabs>
          <w:tab w:val="center" w:pos="4320"/>
          <w:tab w:val="right" w:pos="8640"/>
        </w:tabs>
        <w:jc w:val="center"/>
        <w:rPr>
          <w:rFonts w:ascii="Arial" w:hAnsi="Arial"/>
        </w:rPr>
      </w:pPr>
      <w:r w:rsidRPr="00306B11">
        <w:rPr>
          <w:rFonts w:ascii="Arial" w:hAnsi="Arial"/>
        </w:rPr>
        <w:t xml:space="preserve">Website: </w:t>
      </w:r>
      <w:proofErr w:type="gramStart"/>
      <w:r w:rsidRPr="00306B11">
        <w:rPr>
          <w:rFonts w:ascii="Arial" w:hAnsi="Arial"/>
        </w:rPr>
        <w:t>www.elto.gov.on.ca  Telephone</w:t>
      </w:r>
      <w:proofErr w:type="gramEnd"/>
      <w:r w:rsidRPr="00306B11">
        <w:rPr>
          <w:rFonts w:ascii="Arial" w:hAnsi="Arial"/>
        </w:rPr>
        <w:t>: 416-212-6349  Toll Free: 1-866-448-2248</w:t>
      </w:r>
    </w:p>
    <w:p w14:paraId="1CE90A3B" w14:textId="73BEE0B3" w:rsidR="005A6B29" w:rsidRPr="00AC548D" w:rsidRDefault="005A6B29" w:rsidP="001F57FD"/>
    <w:sectPr w:rsidR="005A6B29" w:rsidRPr="00AC548D" w:rsidSect="00627521">
      <w:headerReference w:type="default" r:id="rId9"/>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182F" w14:textId="77777777" w:rsidR="00F4034E" w:rsidRDefault="00F4034E">
      <w:r>
        <w:separator/>
      </w:r>
    </w:p>
  </w:endnote>
  <w:endnote w:type="continuationSeparator" w:id="0">
    <w:p w14:paraId="0B7C0A07" w14:textId="77777777" w:rsidR="00F4034E" w:rsidRDefault="00F4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3BE9" w14:textId="77777777" w:rsidR="00F4034E" w:rsidRDefault="00F4034E">
      <w:r>
        <w:separator/>
      </w:r>
    </w:p>
  </w:footnote>
  <w:footnote w:type="continuationSeparator" w:id="0">
    <w:p w14:paraId="190F1CA2" w14:textId="77777777" w:rsidR="00F4034E" w:rsidRDefault="00F4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73E9" w14:textId="77777777" w:rsidR="004B6547" w:rsidRDefault="005D1ED7" w:rsidP="00285AD7">
    <w:pPr>
      <w:pStyle w:val="Header"/>
      <w:tabs>
        <w:tab w:val="clear" w:pos="8640"/>
        <w:tab w:val="center" w:pos="4680"/>
        <w:tab w:val="left" w:pos="6804"/>
        <w:tab w:val="right" w:pos="9360"/>
      </w:tabs>
      <w:jc w:val="right"/>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01126">
      <w:rPr>
        <w:rFonts w:ascii="Arial" w:hAnsi="Arial" w:cs="Arial"/>
        <w:noProof/>
      </w:rPr>
      <w:t>2</w:t>
    </w:r>
    <w:r w:rsidRPr="005E51AF">
      <w:rPr>
        <w:rFonts w:ascii="Arial" w:hAnsi="Arial" w:cs="Arial"/>
        <w:noProof/>
      </w:rPr>
      <w:fldChar w:fldCharType="end"/>
    </w:r>
    <w:r w:rsidR="00FA326B">
      <w:rPr>
        <w:rFonts w:ascii="Arial" w:hAnsi="Arial" w:cs="Arial"/>
        <w:noProof/>
      </w:rPr>
      <w:tab/>
    </w:r>
    <w:r w:rsidR="00FA326B">
      <w:rPr>
        <w:rFonts w:ascii="Arial" w:hAnsi="Arial" w:cs="Arial"/>
        <w:noProof/>
      </w:rPr>
      <w:tab/>
      <w:t>PL180889</w:t>
    </w:r>
    <w:r w:rsidR="004B6547" w:rsidRPr="00285AD7">
      <w:rPr>
        <w:rFonts w:ascii="Arial" w:hAnsi="Arial" w:cs="Arial"/>
      </w:rPr>
      <w:t xml:space="preserve"> </w:t>
    </w:r>
  </w:p>
  <w:p w14:paraId="35C5899C"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763D08F3"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3F00"/>
    <w:rsid w:val="000170F3"/>
    <w:rsid w:val="00017141"/>
    <w:rsid w:val="00017DFC"/>
    <w:rsid w:val="00022EAD"/>
    <w:rsid w:val="00031C6E"/>
    <w:rsid w:val="0003783B"/>
    <w:rsid w:val="000424A6"/>
    <w:rsid w:val="00054A9F"/>
    <w:rsid w:val="00056F73"/>
    <w:rsid w:val="0006526A"/>
    <w:rsid w:val="00067514"/>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E609E"/>
    <w:rsid w:val="000E630A"/>
    <w:rsid w:val="000E7C25"/>
    <w:rsid w:val="000F6357"/>
    <w:rsid w:val="00100AF6"/>
    <w:rsid w:val="0010191A"/>
    <w:rsid w:val="00104001"/>
    <w:rsid w:val="001220E4"/>
    <w:rsid w:val="0013161B"/>
    <w:rsid w:val="00135051"/>
    <w:rsid w:val="00137797"/>
    <w:rsid w:val="00145125"/>
    <w:rsid w:val="001551CC"/>
    <w:rsid w:val="001562BE"/>
    <w:rsid w:val="001634FB"/>
    <w:rsid w:val="001656BC"/>
    <w:rsid w:val="001702F3"/>
    <w:rsid w:val="00170548"/>
    <w:rsid w:val="00172CE7"/>
    <w:rsid w:val="001765FB"/>
    <w:rsid w:val="001808B6"/>
    <w:rsid w:val="00182765"/>
    <w:rsid w:val="00182B0E"/>
    <w:rsid w:val="00185E46"/>
    <w:rsid w:val="00190DF3"/>
    <w:rsid w:val="001A3C06"/>
    <w:rsid w:val="001B22D8"/>
    <w:rsid w:val="001B5CE4"/>
    <w:rsid w:val="001C03D8"/>
    <w:rsid w:val="001C0A75"/>
    <w:rsid w:val="001C6764"/>
    <w:rsid w:val="001D3860"/>
    <w:rsid w:val="001D67CE"/>
    <w:rsid w:val="001D6F93"/>
    <w:rsid w:val="001E218F"/>
    <w:rsid w:val="001E764F"/>
    <w:rsid w:val="001F179F"/>
    <w:rsid w:val="001F424C"/>
    <w:rsid w:val="001F57FD"/>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11B3"/>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2744A"/>
    <w:rsid w:val="0033331D"/>
    <w:rsid w:val="00340879"/>
    <w:rsid w:val="00345480"/>
    <w:rsid w:val="003506EA"/>
    <w:rsid w:val="00350E1B"/>
    <w:rsid w:val="00354C2E"/>
    <w:rsid w:val="003620BF"/>
    <w:rsid w:val="00367CB0"/>
    <w:rsid w:val="00375C73"/>
    <w:rsid w:val="00375F31"/>
    <w:rsid w:val="0038484F"/>
    <w:rsid w:val="00385FC9"/>
    <w:rsid w:val="00390B54"/>
    <w:rsid w:val="00391DD7"/>
    <w:rsid w:val="00392550"/>
    <w:rsid w:val="003B236D"/>
    <w:rsid w:val="003B298B"/>
    <w:rsid w:val="003B7CE2"/>
    <w:rsid w:val="003D1234"/>
    <w:rsid w:val="003F266C"/>
    <w:rsid w:val="00401F7B"/>
    <w:rsid w:val="00403715"/>
    <w:rsid w:val="0042015B"/>
    <w:rsid w:val="00420EE5"/>
    <w:rsid w:val="00420FFD"/>
    <w:rsid w:val="004227B4"/>
    <w:rsid w:val="004233D2"/>
    <w:rsid w:val="00441A9B"/>
    <w:rsid w:val="004507E6"/>
    <w:rsid w:val="00452228"/>
    <w:rsid w:val="00453907"/>
    <w:rsid w:val="004539BB"/>
    <w:rsid w:val="004568CC"/>
    <w:rsid w:val="00457064"/>
    <w:rsid w:val="00460B87"/>
    <w:rsid w:val="004662FE"/>
    <w:rsid w:val="0047263D"/>
    <w:rsid w:val="00483C95"/>
    <w:rsid w:val="004850D0"/>
    <w:rsid w:val="004943A9"/>
    <w:rsid w:val="004A4461"/>
    <w:rsid w:val="004A587D"/>
    <w:rsid w:val="004B105D"/>
    <w:rsid w:val="004B3247"/>
    <w:rsid w:val="004B6547"/>
    <w:rsid w:val="004B7E92"/>
    <w:rsid w:val="004C06AB"/>
    <w:rsid w:val="004C3B19"/>
    <w:rsid w:val="004C5ADC"/>
    <w:rsid w:val="004D1F77"/>
    <w:rsid w:val="004E03A4"/>
    <w:rsid w:val="004E31D7"/>
    <w:rsid w:val="004E4C91"/>
    <w:rsid w:val="004E4CD6"/>
    <w:rsid w:val="004F13B0"/>
    <w:rsid w:val="004F1B46"/>
    <w:rsid w:val="00505DF1"/>
    <w:rsid w:val="005064E9"/>
    <w:rsid w:val="00513CCD"/>
    <w:rsid w:val="005176E6"/>
    <w:rsid w:val="00530917"/>
    <w:rsid w:val="0053773B"/>
    <w:rsid w:val="0055024F"/>
    <w:rsid w:val="005554F9"/>
    <w:rsid w:val="00575802"/>
    <w:rsid w:val="00581834"/>
    <w:rsid w:val="00581FFB"/>
    <w:rsid w:val="005826C8"/>
    <w:rsid w:val="005832B8"/>
    <w:rsid w:val="00585632"/>
    <w:rsid w:val="0058684A"/>
    <w:rsid w:val="00593228"/>
    <w:rsid w:val="005A6B29"/>
    <w:rsid w:val="005A767F"/>
    <w:rsid w:val="005B0EFC"/>
    <w:rsid w:val="005B2223"/>
    <w:rsid w:val="005C46AA"/>
    <w:rsid w:val="005C7251"/>
    <w:rsid w:val="005C7AA9"/>
    <w:rsid w:val="005C7E3F"/>
    <w:rsid w:val="005D1ED7"/>
    <w:rsid w:val="005E51AF"/>
    <w:rsid w:val="005F182A"/>
    <w:rsid w:val="005F5691"/>
    <w:rsid w:val="005F7A16"/>
    <w:rsid w:val="006002DC"/>
    <w:rsid w:val="0060505C"/>
    <w:rsid w:val="00611B55"/>
    <w:rsid w:val="00614648"/>
    <w:rsid w:val="00616822"/>
    <w:rsid w:val="006202E9"/>
    <w:rsid w:val="0062049A"/>
    <w:rsid w:val="00622BCB"/>
    <w:rsid w:val="00627521"/>
    <w:rsid w:val="006306A8"/>
    <w:rsid w:val="0063575A"/>
    <w:rsid w:val="00640174"/>
    <w:rsid w:val="0064161C"/>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613"/>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32094"/>
    <w:rsid w:val="007342E5"/>
    <w:rsid w:val="007353C0"/>
    <w:rsid w:val="00735538"/>
    <w:rsid w:val="00740044"/>
    <w:rsid w:val="0076119A"/>
    <w:rsid w:val="00765C2D"/>
    <w:rsid w:val="00766A83"/>
    <w:rsid w:val="007A1709"/>
    <w:rsid w:val="007A2C3D"/>
    <w:rsid w:val="007C08BD"/>
    <w:rsid w:val="007E0C30"/>
    <w:rsid w:val="007F7583"/>
    <w:rsid w:val="007F7669"/>
    <w:rsid w:val="00801126"/>
    <w:rsid w:val="00802055"/>
    <w:rsid w:val="008046EB"/>
    <w:rsid w:val="0080724D"/>
    <w:rsid w:val="008173CF"/>
    <w:rsid w:val="00823753"/>
    <w:rsid w:val="008316DB"/>
    <w:rsid w:val="0083211C"/>
    <w:rsid w:val="00835A80"/>
    <w:rsid w:val="00837AE6"/>
    <w:rsid w:val="008554A7"/>
    <w:rsid w:val="00865727"/>
    <w:rsid w:val="00866681"/>
    <w:rsid w:val="00890E5D"/>
    <w:rsid w:val="00894C7D"/>
    <w:rsid w:val="0089782A"/>
    <w:rsid w:val="008A1A0C"/>
    <w:rsid w:val="008A3586"/>
    <w:rsid w:val="008A7F5E"/>
    <w:rsid w:val="008B3EB4"/>
    <w:rsid w:val="008B667D"/>
    <w:rsid w:val="008C09C4"/>
    <w:rsid w:val="008C7470"/>
    <w:rsid w:val="008D3B01"/>
    <w:rsid w:val="008E147D"/>
    <w:rsid w:val="008E45FD"/>
    <w:rsid w:val="008E4BDD"/>
    <w:rsid w:val="008E5B11"/>
    <w:rsid w:val="00900C5B"/>
    <w:rsid w:val="00902134"/>
    <w:rsid w:val="00907DA4"/>
    <w:rsid w:val="009148E3"/>
    <w:rsid w:val="0092760B"/>
    <w:rsid w:val="00930FD3"/>
    <w:rsid w:val="009333AA"/>
    <w:rsid w:val="00935095"/>
    <w:rsid w:val="00935ABA"/>
    <w:rsid w:val="009360FC"/>
    <w:rsid w:val="00951EE2"/>
    <w:rsid w:val="00952F2F"/>
    <w:rsid w:val="0095571C"/>
    <w:rsid w:val="0096217B"/>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C69D6"/>
    <w:rsid w:val="009D0B82"/>
    <w:rsid w:val="009D5078"/>
    <w:rsid w:val="009E0DF7"/>
    <w:rsid w:val="009E1C08"/>
    <w:rsid w:val="009E202F"/>
    <w:rsid w:val="009E21B8"/>
    <w:rsid w:val="009E40F3"/>
    <w:rsid w:val="009E4B6B"/>
    <w:rsid w:val="009E6983"/>
    <w:rsid w:val="009F040C"/>
    <w:rsid w:val="009F3047"/>
    <w:rsid w:val="009F33A1"/>
    <w:rsid w:val="009F5D0D"/>
    <w:rsid w:val="00A07D8A"/>
    <w:rsid w:val="00A11CE2"/>
    <w:rsid w:val="00A20E8C"/>
    <w:rsid w:val="00A45D63"/>
    <w:rsid w:val="00A47406"/>
    <w:rsid w:val="00A541C3"/>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D438A"/>
    <w:rsid w:val="00AE075F"/>
    <w:rsid w:val="00AE1098"/>
    <w:rsid w:val="00AE1446"/>
    <w:rsid w:val="00B12A97"/>
    <w:rsid w:val="00B13C3D"/>
    <w:rsid w:val="00B157E1"/>
    <w:rsid w:val="00B16A05"/>
    <w:rsid w:val="00B17BED"/>
    <w:rsid w:val="00B225A1"/>
    <w:rsid w:val="00B25ACB"/>
    <w:rsid w:val="00B25ECF"/>
    <w:rsid w:val="00B268A7"/>
    <w:rsid w:val="00B35686"/>
    <w:rsid w:val="00B41C3C"/>
    <w:rsid w:val="00B51EB2"/>
    <w:rsid w:val="00B51EBA"/>
    <w:rsid w:val="00B5261C"/>
    <w:rsid w:val="00B5585B"/>
    <w:rsid w:val="00B5628D"/>
    <w:rsid w:val="00B57FAC"/>
    <w:rsid w:val="00B62606"/>
    <w:rsid w:val="00B6431E"/>
    <w:rsid w:val="00B64748"/>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3E"/>
    <w:rsid w:val="00BC66D9"/>
    <w:rsid w:val="00BE0FA0"/>
    <w:rsid w:val="00BF23CB"/>
    <w:rsid w:val="00BF3612"/>
    <w:rsid w:val="00BF497A"/>
    <w:rsid w:val="00BF7426"/>
    <w:rsid w:val="00C001B0"/>
    <w:rsid w:val="00C02B28"/>
    <w:rsid w:val="00C1171C"/>
    <w:rsid w:val="00C300F2"/>
    <w:rsid w:val="00C5671C"/>
    <w:rsid w:val="00C801A0"/>
    <w:rsid w:val="00C838B9"/>
    <w:rsid w:val="00C92977"/>
    <w:rsid w:val="00C940BC"/>
    <w:rsid w:val="00CA7F0F"/>
    <w:rsid w:val="00CB0D85"/>
    <w:rsid w:val="00CC269B"/>
    <w:rsid w:val="00CC29F3"/>
    <w:rsid w:val="00CC5C59"/>
    <w:rsid w:val="00CD235D"/>
    <w:rsid w:val="00CD5591"/>
    <w:rsid w:val="00CE10CC"/>
    <w:rsid w:val="00CE703C"/>
    <w:rsid w:val="00CF2AB8"/>
    <w:rsid w:val="00CF3F96"/>
    <w:rsid w:val="00CF4C37"/>
    <w:rsid w:val="00CF55CF"/>
    <w:rsid w:val="00D008AB"/>
    <w:rsid w:val="00D01696"/>
    <w:rsid w:val="00D202C4"/>
    <w:rsid w:val="00D265BD"/>
    <w:rsid w:val="00D30F49"/>
    <w:rsid w:val="00D32294"/>
    <w:rsid w:val="00D35322"/>
    <w:rsid w:val="00D35B18"/>
    <w:rsid w:val="00D36525"/>
    <w:rsid w:val="00D42D9F"/>
    <w:rsid w:val="00D4675A"/>
    <w:rsid w:val="00D50C1C"/>
    <w:rsid w:val="00D53BDA"/>
    <w:rsid w:val="00D66856"/>
    <w:rsid w:val="00D76186"/>
    <w:rsid w:val="00D76968"/>
    <w:rsid w:val="00D83C03"/>
    <w:rsid w:val="00D84899"/>
    <w:rsid w:val="00D8571F"/>
    <w:rsid w:val="00D91064"/>
    <w:rsid w:val="00D9357D"/>
    <w:rsid w:val="00DA0EE2"/>
    <w:rsid w:val="00DA3085"/>
    <w:rsid w:val="00DA3393"/>
    <w:rsid w:val="00DB023D"/>
    <w:rsid w:val="00DB16DE"/>
    <w:rsid w:val="00DB45DF"/>
    <w:rsid w:val="00DB49FE"/>
    <w:rsid w:val="00DD35F5"/>
    <w:rsid w:val="00DD6665"/>
    <w:rsid w:val="00DE62BC"/>
    <w:rsid w:val="00DF75FB"/>
    <w:rsid w:val="00E11D71"/>
    <w:rsid w:val="00E12DE7"/>
    <w:rsid w:val="00E15446"/>
    <w:rsid w:val="00E3301A"/>
    <w:rsid w:val="00E40778"/>
    <w:rsid w:val="00E432C8"/>
    <w:rsid w:val="00E4342D"/>
    <w:rsid w:val="00E45C87"/>
    <w:rsid w:val="00E5336E"/>
    <w:rsid w:val="00E547B3"/>
    <w:rsid w:val="00E57D13"/>
    <w:rsid w:val="00E615C8"/>
    <w:rsid w:val="00E65759"/>
    <w:rsid w:val="00E73226"/>
    <w:rsid w:val="00E7402A"/>
    <w:rsid w:val="00E743D2"/>
    <w:rsid w:val="00E77E48"/>
    <w:rsid w:val="00E8779D"/>
    <w:rsid w:val="00E87A9B"/>
    <w:rsid w:val="00E97D24"/>
    <w:rsid w:val="00E97F04"/>
    <w:rsid w:val="00EA56B9"/>
    <w:rsid w:val="00EA73B7"/>
    <w:rsid w:val="00EB3E73"/>
    <w:rsid w:val="00EC181A"/>
    <w:rsid w:val="00EC24D9"/>
    <w:rsid w:val="00EC2949"/>
    <w:rsid w:val="00EE4BA3"/>
    <w:rsid w:val="00EE62E6"/>
    <w:rsid w:val="00EF4FA7"/>
    <w:rsid w:val="00EF6354"/>
    <w:rsid w:val="00F13970"/>
    <w:rsid w:val="00F206C1"/>
    <w:rsid w:val="00F20B8D"/>
    <w:rsid w:val="00F376E5"/>
    <w:rsid w:val="00F4034E"/>
    <w:rsid w:val="00F404B1"/>
    <w:rsid w:val="00F408C2"/>
    <w:rsid w:val="00F46275"/>
    <w:rsid w:val="00F548C9"/>
    <w:rsid w:val="00F62C56"/>
    <w:rsid w:val="00F67D97"/>
    <w:rsid w:val="00F71AB8"/>
    <w:rsid w:val="00F76E36"/>
    <w:rsid w:val="00F801FB"/>
    <w:rsid w:val="00F82F6D"/>
    <w:rsid w:val="00F90029"/>
    <w:rsid w:val="00F94FDD"/>
    <w:rsid w:val="00F9597B"/>
    <w:rsid w:val="00FA016B"/>
    <w:rsid w:val="00FA17D9"/>
    <w:rsid w:val="00FA326B"/>
    <w:rsid w:val="00FA6295"/>
    <w:rsid w:val="00FD10D9"/>
    <w:rsid w:val="00FD395A"/>
    <w:rsid w:val="00FD4182"/>
    <w:rsid w:val="00FE1AB5"/>
    <w:rsid w:val="00FE3524"/>
    <w:rsid w:val="00FE478E"/>
    <w:rsid w:val="00FE4D6A"/>
    <w:rsid w:val="00FF6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89E23"/>
  <w15:docId w15:val="{6776622F-CBD9-47E5-8F30-602047F9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9332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5598-47FC-4AEB-B9B6-A0DF591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1560</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Douglas, John (MAG)</dc:creator>
  <cp:lastModifiedBy>Perri, Leonida (MAG)</cp:lastModifiedBy>
  <cp:revision>3</cp:revision>
  <cp:lastPrinted>2014-04-10T17:33:00Z</cp:lastPrinted>
  <dcterms:created xsi:type="dcterms:W3CDTF">2019-12-06T16:18:00Z</dcterms:created>
  <dcterms:modified xsi:type="dcterms:W3CDTF">2019-12-06T16:18:00Z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John.Douglas3@ontario.ca</vt:lpwstr>
  </property>
  <property fmtid="{D5CDD505-2E9C-101B-9397-08002B2CF9AE}" pid="5" name="MSIP_Label_034a106e-6316-442c-ad35-738afd673d2b_SetDate">
    <vt:lpwstr>2019-11-30T05:52:44.5094007Z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a198dcce-352b-4364-bc2c-18398ea7219d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