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161A97E3" w14:textId="77777777" w:rsidTr="000152C3">
        <w:trPr>
          <w:trHeight w:val="281"/>
        </w:trPr>
        <w:tc>
          <w:tcPr>
            <w:tcW w:w="5778" w:type="dxa"/>
          </w:tcPr>
          <w:p w14:paraId="28578E85" w14:textId="77777777" w:rsidR="006D09B4" w:rsidRPr="001E764F" w:rsidRDefault="006D09B4" w:rsidP="006D09B4">
            <w:pPr>
              <w:rPr>
                <w:rFonts w:ascii="Arial" w:hAnsi="Arial" w:cs="Arial"/>
                <w:b/>
                <w:sz w:val="16"/>
                <w:szCs w:val="16"/>
              </w:rPr>
            </w:pPr>
          </w:p>
        </w:tc>
        <w:tc>
          <w:tcPr>
            <w:tcW w:w="3828" w:type="dxa"/>
            <w:vMerge w:val="restart"/>
          </w:tcPr>
          <w:p w14:paraId="42035D2E" w14:textId="77777777"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4C9E8A43" wp14:editId="792B062D">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22CB558F" w14:textId="77777777" w:rsidTr="000152C3">
        <w:tc>
          <w:tcPr>
            <w:tcW w:w="5778" w:type="dxa"/>
          </w:tcPr>
          <w:p w14:paraId="1541A1B4"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11E53FC0" w14:textId="77777777" w:rsidR="006D09B4" w:rsidRPr="001E764F" w:rsidRDefault="006D09B4" w:rsidP="006D09B4">
            <w:pPr>
              <w:rPr>
                <w:rFonts w:ascii="Arial" w:hAnsi="Arial" w:cs="Arial"/>
                <w:b/>
                <w:sz w:val="32"/>
                <w:szCs w:val="32"/>
              </w:rPr>
            </w:pPr>
          </w:p>
        </w:tc>
      </w:tr>
      <w:tr w:rsidR="006D09B4" w:rsidRPr="001E764F" w14:paraId="2939AC2E" w14:textId="77777777" w:rsidTr="000152C3">
        <w:tc>
          <w:tcPr>
            <w:tcW w:w="5778" w:type="dxa"/>
          </w:tcPr>
          <w:p w14:paraId="6D9E1A40"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6561F824" w14:textId="77777777" w:rsidR="006D09B4" w:rsidRPr="001E764F" w:rsidRDefault="006D09B4" w:rsidP="006D09B4">
            <w:pPr>
              <w:rPr>
                <w:rFonts w:ascii="Arial" w:hAnsi="Arial" w:cs="Arial"/>
                <w:sz w:val="32"/>
                <w:szCs w:val="32"/>
                <w:lang w:val="fr-CA"/>
              </w:rPr>
            </w:pPr>
          </w:p>
          <w:p w14:paraId="7A7976AF" w14:textId="77777777" w:rsidR="006D09B4" w:rsidRPr="001E764F" w:rsidRDefault="006D09B4" w:rsidP="006D09B4">
            <w:pPr>
              <w:rPr>
                <w:rFonts w:ascii="Arial" w:hAnsi="Arial" w:cs="Arial"/>
                <w:sz w:val="32"/>
                <w:szCs w:val="32"/>
                <w:lang w:val="fr-CA"/>
              </w:rPr>
            </w:pPr>
          </w:p>
        </w:tc>
        <w:tc>
          <w:tcPr>
            <w:tcW w:w="3828" w:type="dxa"/>
            <w:vMerge/>
          </w:tcPr>
          <w:p w14:paraId="20CB1036" w14:textId="77777777" w:rsidR="006D09B4" w:rsidRPr="001E764F" w:rsidRDefault="006D09B4" w:rsidP="006D09B4">
            <w:pPr>
              <w:rPr>
                <w:rFonts w:ascii="Arial" w:hAnsi="Arial" w:cs="Arial"/>
                <w:sz w:val="32"/>
                <w:szCs w:val="32"/>
                <w:lang w:val="fr-CA"/>
              </w:rPr>
            </w:pPr>
          </w:p>
        </w:tc>
      </w:tr>
    </w:tbl>
    <w:p w14:paraId="248F1BE8"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5269D0CE" w14:textId="77777777" w:rsidTr="000152C3">
        <w:tc>
          <w:tcPr>
            <w:tcW w:w="1818" w:type="dxa"/>
            <w:shd w:val="clear" w:color="auto" w:fill="auto"/>
            <w:vAlign w:val="center"/>
          </w:tcPr>
          <w:p w14:paraId="212E59CA"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0A37714E" w14:textId="7B03F2B2" w:rsidR="00EA73B7" w:rsidRPr="001D67CE" w:rsidRDefault="00413F4F" w:rsidP="002159B4">
            <w:pPr>
              <w:rPr>
                <w:rFonts w:ascii="Arial" w:hAnsi="Arial" w:cs="Arial"/>
              </w:rPr>
            </w:pPr>
            <w:r>
              <w:rPr>
                <w:rFonts w:ascii="Arial" w:hAnsi="Arial" w:cs="Arial"/>
              </w:rPr>
              <w:t>February 03, 2020</w:t>
            </w:r>
          </w:p>
        </w:tc>
        <w:tc>
          <w:tcPr>
            <w:tcW w:w="1890" w:type="dxa"/>
            <w:shd w:val="clear" w:color="auto" w:fill="auto"/>
            <w:vAlign w:val="center"/>
          </w:tcPr>
          <w:p w14:paraId="0C02656D" w14:textId="6CCC02C2"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52F9C0E4" w14:textId="7367CFC7" w:rsidR="00EA73B7" w:rsidRPr="001E764F" w:rsidRDefault="00400C6A" w:rsidP="00280925">
            <w:pPr>
              <w:jc w:val="right"/>
              <w:rPr>
                <w:rFonts w:ascii="Arial" w:hAnsi="Arial" w:cs="Arial"/>
              </w:rPr>
            </w:pPr>
            <w:r>
              <w:rPr>
                <w:rFonts w:ascii="Arial" w:hAnsi="Arial" w:cs="Arial"/>
              </w:rPr>
              <w:t>PL1</w:t>
            </w:r>
            <w:r w:rsidR="003A5578">
              <w:rPr>
                <w:rFonts w:ascii="Arial" w:hAnsi="Arial" w:cs="Arial"/>
              </w:rPr>
              <w:t>90</w:t>
            </w:r>
            <w:r w:rsidR="00A35233">
              <w:rPr>
                <w:rFonts w:ascii="Arial" w:hAnsi="Arial" w:cs="Arial"/>
              </w:rPr>
              <w:t>103</w:t>
            </w:r>
          </w:p>
        </w:tc>
      </w:tr>
    </w:tbl>
    <w:p w14:paraId="407C50D8"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471F6BCA" w14:textId="77777777" w:rsidTr="000152C3">
        <w:tc>
          <w:tcPr>
            <w:tcW w:w="9606" w:type="dxa"/>
            <w:tcBorders>
              <w:top w:val="nil"/>
              <w:left w:val="nil"/>
              <w:bottom w:val="nil"/>
              <w:right w:val="nil"/>
            </w:tcBorders>
          </w:tcPr>
          <w:p w14:paraId="7C36386B"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1B76F53C" w14:textId="77777777" w:rsidR="001D67CE" w:rsidRDefault="001D67CE" w:rsidP="00270AAE">
      <w:pPr>
        <w:rPr>
          <w:rFonts w:ascii="Arial" w:hAnsi="Arial" w:cs="Arial"/>
          <w:highlight w:val="yellow"/>
        </w:rPr>
      </w:pPr>
    </w:p>
    <w:tbl>
      <w:tblPr>
        <w:tblW w:w="9493" w:type="dxa"/>
        <w:tblLook w:val="04A0" w:firstRow="1" w:lastRow="0" w:firstColumn="1" w:lastColumn="0" w:noHBand="0" w:noVBand="1"/>
      </w:tblPr>
      <w:tblGrid>
        <w:gridCol w:w="3468"/>
        <w:gridCol w:w="6025"/>
      </w:tblGrid>
      <w:tr w:rsidR="002A7125" w14:paraId="675E2112" w14:textId="77777777" w:rsidTr="002A7125">
        <w:trPr>
          <w:cantSplit/>
          <w:trHeight w:val="732"/>
        </w:trPr>
        <w:tc>
          <w:tcPr>
            <w:tcW w:w="9493" w:type="dxa"/>
            <w:gridSpan w:val="2"/>
            <w:hideMark/>
          </w:tcPr>
          <w:p w14:paraId="4E3BCE17" w14:textId="77777777" w:rsidR="002A7125" w:rsidRPr="002A7125" w:rsidRDefault="002A7125">
            <w:pPr>
              <w:rPr>
                <w:rFonts w:ascii="Arial" w:hAnsi="Arial" w:cs="Arial"/>
                <w:lang w:val="en-CA"/>
              </w:rPr>
            </w:pPr>
            <w:r w:rsidRPr="002A7125">
              <w:rPr>
                <w:rFonts w:ascii="Arial" w:hAnsi="Arial" w:cs="Arial"/>
                <w:b/>
              </w:rPr>
              <w:t xml:space="preserve">PROCEEDING COMMENCED UNDER </w:t>
            </w:r>
            <w:r w:rsidRPr="002A7125">
              <w:rPr>
                <w:rFonts w:ascii="Arial" w:hAnsi="Arial" w:cs="Arial"/>
              </w:rPr>
              <w:t xml:space="preserve">subsection 17(24) of the </w:t>
            </w:r>
            <w:r w:rsidRPr="002A7125">
              <w:rPr>
                <w:rFonts w:ascii="Arial" w:hAnsi="Arial" w:cs="Arial"/>
                <w:i/>
              </w:rPr>
              <w:t>Planning Act</w:t>
            </w:r>
            <w:r w:rsidRPr="002A7125">
              <w:rPr>
                <w:rFonts w:ascii="Arial" w:hAnsi="Arial" w:cs="Arial"/>
              </w:rPr>
              <w:t>, R.S.O. 1990, c. P.13, as amended</w:t>
            </w:r>
          </w:p>
        </w:tc>
      </w:tr>
      <w:tr w:rsidR="002A7125" w14:paraId="3B784389" w14:textId="77777777" w:rsidTr="002A7125">
        <w:tc>
          <w:tcPr>
            <w:tcW w:w="3468" w:type="dxa"/>
            <w:hideMark/>
          </w:tcPr>
          <w:p w14:paraId="21278BC7" w14:textId="77777777" w:rsidR="002A7125" w:rsidRPr="002A7125" w:rsidRDefault="002A7125">
            <w:pPr>
              <w:rPr>
                <w:rFonts w:ascii="Arial" w:hAnsi="Arial" w:cs="Arial"/>
              </w:rPr>
            </w:pPr>
            <w:r w:rsidRPr="002A7125">
              <w:rPr>
                <w:rFonts w:ascii="Arial" w:hAnsi="Arial" w:cs="Arial"/>
              </w:rPr>
              <w:t>Appellant:</w:t>
            </w:r>
          </w:p>
        </w:tc>
        <w:tc>
          <w:tcPr>
            <w:tcW w:w="6025" w:type="dxa"/>
            <w:hideMark/>
          </w:tcPr>
          <w:p w14:paraId="052A1BC7" w14:textId="77777777" w:rsidR="002A7125" w:rsidRPr="002A7125" w:rsidRDefault="002A7125" w:rsidP="002A7125">
            <w:pPr>
              <w:ind w:left="819"/>
              <w:rPr>
                <w:rFonts w:ascii="Arial" w:hAnsi="Arial" w:cs="Arial"/>
              </w:rPr>
            </w:pPr>
            <w:r w:rsidRPr="002A7125">
              <w:rPr>
                <w:rFonts w:ascii="Arial" w:hAnsi="Arial" w:cs="Arial"/>
              </w:rPr>
              <w:t>Orlando Corporation</w:t>
            </w:r>
          </w:p>
        </w:tc>
      </w:tr>
      <w:tr w:rsidR="002A7125" w14:paraId="258FBCD0" w14:textId="77777777" w:rsidTr="002A7125">
        <w:tc>
          <w:tcPr>
            <w:tcW w:w="3468" w:type="dxa"/>
            <w:hideMark/>
          </w:tcPr>
          <w:p w14:paraId="0FC3B8FD" w14:textId="77777777" w:rsidR="002A7125" w:rsidRPr="002A7125" w:rsidRDefault="002A7125">
            <w:pPr>
              <w:rPr>
                <w:rFonts w:ascii="Arial" w:hAnsi="Arial" w:cs="Arial"/>
              </w:rPr>
            </w:pPr>
            <w:r w:rsidRPr="002A7125">
              <w:rPr>
                <w:rFonts w:ascii="Arial" w:hAnsi="Arial" w:cs="Arial"/>
              </w:rPr>
              <w:t>Subject:</w:t>
            </w:r>
          </w:p>
        </w:tc>
        <w:tc>
          <w:tcPr>
            <w:tcW w:w="6025" w:type="dxa"/>
            <w:hideMark/>
          </w:tcPr>
          <w:p w14:paraId="629C69B2" w14:textId="77777777" w:rsidR="002A7125" w:rsidRPr="002A7125" w:rsidRDefault="002A7125" w:rsidP="002A7125">
            <w:pPr>
              <w:ind w:left="819"/>
              <w:rPr>
                <w:rFonts w:ascii="Arial" w:hAnsi="Arial" w:cs="Arial"/>
              </w:rPr>
            </w:pPr>
            <w:bookmarkStart w:id="1" w:name="_GoBack"/>
            <w:r w:rsidRPr="002A7125">
              <w:rPr>
                <w:rFonts w:ascii="Arial" w:hAnsi="Arial" w:cs="Arial"/>
              </w:rPr>
              <w:t>Proposed Official Plan Amendment No. OPA 67</w:t>
            </w:r>
            <w:bookmarkEnd w:id="1"/>
          </w:p>
        </w:tc>
      </w:tr>
      <w:tr w:rsidR="002A7125" w14:paraId="3127BBF6" w14:textId="77777777" w:rsidTr="002A7125">
        <w:tc>
          <w:tcPr>
            <w:tcW w:w="3468" w:type="dxa"/>
            <w:hideMark/>
          </w:tcPr>
          <w:p w14:paraId="164B47AA" w14:textId="77777777" w:rsidR="002A7125" w:rsidRPr="002A7125" w:rsidRDefault="002A7125">
            <w:pPr>
              <w:rPr>
                <w:rFonts w:ascii="Arial" w:hAnsi="Arial" w:cs="Arial"/>
              </w:rPr>
            </w:pPr>
            <w:r w:rsidRPr="002A7125">
              <w:rPr>
                <w:rFonts w:ascii="Arial" w:hAnsi="Arial" w:cs="Arial"/>
              </w:rPr>
              <w:t xml:space="preserve">Municipality: </w:t>
            </w:r>
          </w:p>
        </w:tc>
        <w:tc>
          <w:tcPr>
            <w:tcW w:w="6025" w:type="dxa"/>
            <w:hideMark/>
          </w:tcPr>
          <w:p w14:paraId="6108FEE7" w14:textId="77777777" w:rsidR="002A7125" w:rsidRPr="002A7125" w:rsidRDefault="002A7125" w:rsidP="002A7125">
            <w:pPr>
              <w:ind w:left="819"/>
              <w:rPr>
                <w:rFonts w:ascii="Arial" w:hAnsi="Arial" w:cs="Arial"/>
              </w:rPr>
            </w:pPr>
            <w:r w:rsidRPr="002A7125">
              <w:rPr>
                <w:rFonts w:ascii="Arial" w:hAnsi="Arial" w:cs="Arial"/>
              </w:rPr>
              <w:t>City of Mississauga</w:t>
            </w:r>
          </w:p>
        </w:tc>
      </w:tr>
      <w:tr w:rsidR="002A7125" w14:paraId="07F1FB87" w14:textId="77777777" w:rsidTr="002A7125">
        <w:tc>
          <w:tcPr>
            <w:tcW w:w="3468" w:type="dxa"/>
            <w:hideMark/>
          </w:tcPr>
          <w:p w14:paraId="5C629040" w14:textId="77777777" w:rsidR="002A7125" w:rsidRPr="002A7125" w:rsidRDefault="002A7125">
            <w:pPr>
              <w:rPr>
                <w:rFonts w:ascii="Arial" w:hAnsi="Arial" w:cs="Arial"/>
              </w:rPr>
            </w:pPr>
            <w:r w:rsidRPr="002A7125">
              <w:rPr>
                <w:rFonts w:ascii="Arial" w:hAnsi="Arial" w:cs="Arial"/>
              </w:rPr>
              <w:t xml:space="preserve">LPAT Case No.: </w:t>
            </w:r>
          </w:p>
        </w:tc>
        <w:tc>
          <w:tcPr>
            <w:tcW w:w="6025" w:type="dxa"/>
            <w:hideMark/>
          </w:tcPr>
          <w:p w14:paraId="4C44D6D1" w14:textId="77777777" w:rsidR="002A7125" w:rsidRPr="002A7125" w:rsidRDefault="002A7125" w:rsidP="002A7125">
            <w:pPr>
              <w:ind w:left="819"/>
              <w:rPr>
                <w:rFonts w:ascii="Arial" w:hAnsi="Arial" w:cs="Arial"/>
              </w:rPr>
            </w:pPr>
            <w:r w:rsidRPr="002A7125">
              <w:rPr>
                <w:rFonts w:ascii="Arial" w:hAnsi="Arial" w:cs="Arial"/>
              </w:rPr>
              <w:t>PL190103</w:t>
            </w:r>
          </w:p>
        </w:tc>
      </w:tr>
      <w:tr w:rsidR="002A7125" w14:paraId="66BA2C7B" w14:textId="77777777" w:rsidTr="002A7125">
        <w:tc>
          <w:tcPr>
            <w:tcW w:w="3468" w:type="dxa"/>
            <w:hideMark/>
          </w:tcPr>
          <w:p w14:paraId="694B1739" w14:textId="77777777" w:rsidR="002A7125" w:rsidRPr="002A7125" w:rsidRDefault="002A7125">
            <w:pPr>
              <w:rPr>
                <w:rFonts w:ascii="Arial" w:hAnsi="Arial" w:cs="Arial"/>
              </w:rPr>
            </w:pPr>
            <w:r w:rsidRPr="002A7125">
              <w:rPr>
                <w:rFonts w:ascii="Arial" w:hAnsi="Arial" w:cs="Arial"/>
              </w:rPr>
              <w:t xml:space="preserve">LPAT File No.: </w:t>
            </w:r>
          </w:p>
        </w:tc>
        <w:tc>
          <w:tcPr>
            <w:tcW w:w="6025" w:type="dxa"/>
            <w:hideMark/>
          </w:tcPr>
          <w:p w14:paraId="00C6D3DB" w14:textId="77777777" w:rsidR="002A7125" w:rsidRPr="002A7125" w:rsidRDefault="002A7125" w:rsidP="002A7125">
            <w:pPr>
              <w:ind w:left="819"/>
              <w:rPr>
                <w:rFonts w:ascii="Arial" w:hAnsi="Arial" w:cs="Arial"/>
              </w:rPr>
            </w:pPr>
            <w:r w:rsidRPr="002A7125">
              <w:rPr>
                <w:rFonts w:ascii="Arial" w:hAnsi="Arial" w:cs="Arial"/>
              </w:rPr>
              <w:t>PL190103</w:t>
            </w:r>
          </w:p>
        </w:tc>
      </w:tr>
      <w:tr w:rsidR="002A7125" w14:paraId="1723CD35" w14:textId="77777777" w:rsidTr="002A7125">
        <w:tc>
          <w:tcPr>
            <w:tcW w:w="3468" w:type="dxa"/>
            <w:hideMark/>
          </w:tcPr>
          <w:p w14:paraId="0F49662B" w14:textId="77777777" w:rsidR="002A7125" w:rsidRPr="002A7125" w:rsidRDefault="002A7125">
            <w:pPr>
              <w:rPr>
                <w:rFonts w:ascii="Arial" w:hAnsi="Arial" w:cs="Arial"/>
              </w:rPr>
            </w:pPr>
            <w:r w:rsidRPr="002A7125">
              <w:rPr>
                <w:rFonts w:ascii="Arial" w:hAnsi="Arial" w:cs="Arial"/>
              </w:rPr>
              <w:t xml:space="preserve">LAPTCase Name: </w:t>
            </w:r>
          </w:p>
        </w:tc>
        <w:tc>
          <w:tcPr>
            <w:tcW w:w="6025" w:type="dxa"/>
            <w:hideMark/>
          </w:tcPr>
          <w:p w14:paraId="0DE14BC0" w14:textId="77777777" w:rsidR="002A7125" w:rsidRPr="002A7125" w:rsidRDefault="002A7125" w:rsidP="002A7125">
            <w:pPr>
              <w:ind w:left="819"/>
              <w:rPr>
                <w:rFonts w:ascii="Arial" w:hAnsi="Arial" w:cs="Arial"/>
              </w:rPr>
            </w:pPr>
            <w:r w:rsidRPr="002A7125">
              <w:rPr>
                <w:rFonts w:ascii="Arial" w:hAnsi="Arial" w:cs="Arial"/>
              </w:rPr>
              <w:t xml:space="preserve">Orlando Corporation v. Mississauga (City) </w:t>
            </w:r>
          </w:p>
        </w:tc>
      </w:tr>
    </w:tbl>
    <w:p w14:paraId="58F582F6" w14:textId="77777777" w:rsidR="00ED4FEF" w:rsidRDefault="00ED4FEF" w:rsidP="00270AAE">
      <w:pPr>
        <w:rPr>
          <w:rFonts w:ascii="Arial" w:hAnsi="Arial" w:cs="Arial"/>
        </w:rPr>
      </w:pPr>
    </w:p>
    <w:p w14:paraId="15037EA9"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14:paraId="6FAB97C2" w14:textId="77777777" w:rsidTr="002A464C">
        <w:tc>
          <w:tcPr>
            <w:tcW w:w="4338" w:type="dxa"/>
          </w:tcPr>
          <w:p w14:paraId="421ECDB2" w14:textId="77777777" w:rsidR="00B268A7" w:rsidRPr="00C940BC" w:rsidRDefault="00B268A7" w:rsidP="00270AAE">
            <w:pPr>
              <w:rPr>
                <w:rFonts w:ascii="Arial" w:hAnsi="Arial" w:cs="Arial"/>
              </w:rPr>
            </w:pPr>
            <w:r w:rsidRPr="001E764F">
              <w:rPr>
                <w:rFonts w:ascii="Arial" w:hAnsi="Arial" w:cs="Arial"/>
                <w:b/>
              </w:rPr>
              <w:t>Heard:</w:t>
            </w:r>
          </w:p>
        </w:tc>
        <w:tc>
          <w:tcPr>
            <w:tcW w:w="5238" w:type="dxa"/>
          </w:tcPr>
          <w:p w14:paraId="32C5F743" w14:textId="2DAA14FB" w:rsidR="00B268A7" w:rsidRPr="001E764F" w:rsidRDefault="002A7125" w:rsidP="00270AAE">
            <w:pPr>
              <w:rPr>
                <w:rFonts w:ascii="Arial" w:hAnsi="Arial" w:cs="Arial"/>
              </w:rPr>
            </w:pPr>
            <w:r>
              <w:rPr>
                <w:rFonts w:ascii="Arial" w:hAnsi="Arial" w:cs="Arial"/>
              </w:rPr>
              <w:t>January 27, 2020 in Mississauga, Ontario</w:t>
            </w:r>
          </w:p>
        </w:tc>
      </w:tr>
    </w:tbl>
    <w:p w14:paraId="24E9E630"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14:paraId="034FE59E" w14:textId="77777777" w:rsidTr="002A464C">
        <w:tc>
          <w:tcPr>
            <w:tcW w:w="4361" w:type="dxa"/>
          </w:tcPr>
          <w:bookmarkEnd w:id="0"/>
          <w:p w14:paraId="3C308AE4" w14:textId="77777777" w:rsidR="0089782A" w:rsidRPr="00C940BC" w:rsidRDefault="0089782A" w:rsidP="00270AAE">
            <w:pPr>
              <w:rPr>
                <w:rFonts w:ascii="Arial" w:hAnsi="Arial" w:cs="Arial"/>
              </w:rPr>
            </w:pPr>
            <w:r w:rsidRPr="001E764F">
              <w:rPr>
                <w:rFonts w:ascii="Arial" w:hAnsi="Arial" w:cs="Arial"/>
                <w:b/>
              </w:rPr>
              <w:t>APPEARANCES:</w:t>
            </w:r>
          </w:p>
        </w:tc>
        <w:tc>
          <w:tcPr>
            <w:tcW w:w="5245" w:type="dxa"/>
          </w:tcPr>
          <w:p w14:paraId="2D4D234C" w14:textId="77777777" w:rsidR="0089782A" w:rsidRPr="001E764F" w:rsidRDefault="0089782A" w:rsidP="00270AAE">
            <w:pPr>
              <w:rPr>
                <w:rFonts w:ascii="Arial" w:hAnsi="Arial" w:cs="Arial"/>
              </w:rPr>
            </w:pPr>
          </w:p>
        </w:tc>
      </w:tr>
      <w:tr w:rsidR="0089782A" w:rsidRPr="001E764F" w14:paraId="2F79E8B4" w14:textId="77777777" w:rsidTr="002A464C">
        <w:tc>
          <w:tcPr>
            <w:tcW w:w="4361" w:type="dxa"/>
          </w:tcPr>
          <w:p w14:paraId="2B288B0F" w14:textId="77777777" w:rsidR="0089782A" w:rsidRPr="001E764F" w:rsidRDefault="0089782A" w:rsidP="00270AAE">
            <w:pPr>
              <w:rPr>
                <w:rFonts w:ascii="Arial" w:hAnsi="Arial" w:cs="Arial"/>
              </w:rPr>
            </w:pPr>
          </w:p>
        </w:tc>
        <w:tc>
          <w:tcPr>
            <w:tcW w:w="5245" w:type="dxa"/>
          </w:tcPr>
          <w:p w14:paraId="4D6B7BD1" w14:textId="77777777" w:rsidR="0089782A" w:rsidRPr="001E764F" w:rsidRDefault="0089782A" w:rsidP="00270AAE">
            <w:pPr>
              <w:rPr>
                <w:rFonts w:ascii="Arial" w:hAnsi="Arial" w:cs="Arial"/>
              </w:rPr>
            </w:pPr>
          </w:p>
        </w:tc>
      </w:tr>
      <w:tr w:rsidR="008046EB" w:rsidRPr="001E764F" w14:paraId="5B75E737" w14:textId="77777777" w:rsidTr="002A464C">
        <w:tc>
          <w:tcPr>
            <w:tcW w:w="4361" w:type="dxa"/>
          </w:tcPr>
          <w:p w14:paraId="72E10AD1"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14:paraId="3E68F46E" w14:textId="52729FD9" w:rsidR="008046EB" w:rsidRPr="002A7125" w:rsidRDefault="002A7125" w:rsidP="00270AAE">
            <w:pPr>
              <w:rPr>
                <w:rFonts w:ascii="Arial" w:hAnsi="Arial" w:cs="Arial"/>
                <w:b/>
                <w:u w:val="single"/>
              </w:rPr>
            </w:pPr>
            <w:r w:rsidRPr="002A7125">
              <w:rPr>
                <w:rFonts w:ascii="Arial" w:hAnsi="Arial" w:cs="Arial"/>
                <w:b/>
                <w:u w:val="single"/>
              </w:rPr>
              <w:t>Counsel</w:t>
            </w:r>
          </w:p>
        </w:tc>
      </w:tr>
      <w:tr w:rsidR="002A464C" w:rsidRPr="001E764F" w14:paraId="55A12C02" w14:textId="77777777" w:rsidTr="002A7125">
        <w:tc>
          <w:tcPr>
            <w:tcW w:w="4361" w:type="dxa"/>
          </w:tcPr>
          <w:p w14:paraId="06EB759A" w14:textId="77777777" w:rsidR="002A464C" w:rsidRPr="00C300F2" w:rsidRDefault="002A464C" w:rsidP="00270AAE">
            <w:pPr>
              <w:rPr>
                <w:rFonts w:ascii="Arial" w:hAnsi="Arial" w:cs="Arial"/>
                <w:b/>
                <w:u w:val="single"/>
              </w:rPr>
            </w:pPr>
          </w:p>
        </w:tc>
        <w:tc>
          <w:tcPr>
            <w:tcW w:w="5245" w:type="dxa"/>
          </w:tcPr>
          <w:p w14:paraId="120B46A0" w14:textId="77777777" w:rsidR="002A464C" w:rsidRPr="00C300F2" w:rsidRDefault="002A464C" w:rsidP="00270AAE">
            <w:pPr>
              <w:rPr>
                <w:rFonts w:ascii="Arial" w:hAnsi="Arial" w:cs="Arial"/>
                <w:b/>
                <w:u w:val="single"/>
              </w:rPr>
            </w:pPr>
          </w:p>
        </w:tc>
      </w:tr>
      <w:tr w:rsidR="00CF3F96" w:rsidRPr="001E764F" w14:paraId="18AC9252" w14:textId="77777777" w:rsidTr="002A7125">
        <w:tc>
          <w:tcPr>
            <w:tcW w:w="4361" w:type="dxa"/>
          </w:tcPr>
          <w:p w14:paraId="55341F37" w14:textId="034D7600" w:rsidR="00CF3F96" w:rsidRPr="001E764F" w:rsidRDefault="002A7125" w:rsidP="00270AAE">
            <w:pPr>
              <w:rPr>
                <w:rFonts w:ascii="Arial" w:hAnsi="Arial" w:cs="Arial"/>
              </w:rPr>
            </w:pPr>
            <w:r>
              <w:rPr>
                <w:rFonts w:ascii="Arial" w:hAnsi="Arial" w:cs="Arial"/>
              </w:rPr>
              <w:t>Orlando Corporation</w:t>
            </w:r>
          </w:p>
        </w:tc>
        <w:tc>
          <w:tcPr>
            <w:tcW w:w="5245" w:type="dxa"/>
          </w:tcPr>
          <w:p w14:paraId="4B9E72F2" w14:textId="08AB50DC" w:rsidR="00CF3F96" w:rsidRPr="001D67CE" w:rsidRDefault="002A7125" w:rsidP="00270AAE">
            <w:pPr>
              <w:rPr>
                <w:rFonts w:ascii="Arial" w:hAnsi="Arial" w:cs="Arial"/>
              </w:rPr>
            </w:pPr>
            <w:r>
              <w:rPr>
                <w:rFonts w:ascii="Arial" w:hAnsi="Arial" w:cs="Arial"/>
              </w:rPr>
              <w:t>L.F. Longo</w:t>
            </w:r>
          </w:p>
        </w:tc>
      </w:tr>
      <w:tr w:rsidR="002A464C" w:rsidRPr="001E764F" w14:paraId="3FF1B6F5" w14:textId="77777777" w:rsidTr="002A7125">
        <w:tc>
          <w:tcPr>
            <w:tcW w:w="4361" w:type="dxa"/>
          </w:tcPr>
          <w:p w14:paraId="2A19B204" w14:textId="77777777" w:rsidR="002A464C" w:rsidRDefault="002A464C" w:rsidP="00270AAE">
            <w:pPr>
              <w:rPr>
                <w:rFonts w:ascii="Arial" w:hAnsi="Arial" w:cs="Arial"/>
              </w:rPr>
            </w:pPr>
          </w:p>
        </w:tc>
        <w:tc>
          <w:tcPr>
            <w:tcW w:w="5245" w:type="dxa"/>
          </w:tcPr>
          <w:p w14:paraId="36CF0B4F" w14:textId="77777777" w:rsidR="002A464C" w:rsidRDefault="002A464C" w:rsidP="00270AAE">
            <w:pPr>
              <w:rPr>
                <w:rFonts w:ascii="Arial" w:hAnsi="Arial" w:cs="Arial"/>
              </w:rPr>
            </w:pPr>
          </w:p>
        </w:tc>
      </w:tr>
      <w:tr w:rsidR="001D67CE" w:rsidRPr="001E764F" w14:paraId="5CB5D6F5" w14:textId="77777777" w:rsidTr="002A7125">
        <w:tc>
          <w:tcPr>
            <w:tcW w:w="4361" w:type="dxa"/>
          </w:tcPr>
          <w:p w14:paraId="2F76168D" w14:textId="111D17C4" w:rsidR="001D67CE" w:rsidRPr="001E764F" w:rsidRDefault="002A7125" w:rsidP="00270AAE">
            <w:pPr>
              <w:rPr>
                <w:rFonts w:ascii="Arial" w:hAnsi="Arial" w:cs="Arial"/>
              </w:rPr>
            </w:pPr>
            <w:r>
              <w:rPr>
                <w:rFonts w:ascii="Arial" w:hAnsi="Arial" w:cs="Arial"/>
              </w:rPr>
              <w:t>City of Mississauga</w:t>
            </w:r>
          </w:p>
        </w:tc>
        <w:tc>
          <w:tcPr>
            <w:tcW w:w="5245" w:type="dxa"/>
          </w:tcPr>
          <w:p w14:paraId="604BF2FE" w14:textId="21FF2C52" w:rsidR="001D67CE" w:rsidRPr="001D67CE" w:rsidRDefault="002A7125" w:rsidP="00270AAE">
            <w:pPr>
              <w:rPr>
                <w:rFonts w:ascii="Arial" w:hAnsi="Arial" w:cs="Arial"/>
              </w:rPr>
            </w:pPr>
            <w:r>
              <w:rPr>
                <w:rFonts w:ascii="Arial" w:hAnsi="Arial" w:cs="Arial"/>
              </w:rPr>
              <w:t>M. Minkowski</w:t>
            </w:r>
          </w:p>
        </w:tc>
      </w:tr>
      <w:tr w:rsidR="002A7125" w:rsidRPr="001E764F" w14:paraId="391C57D6" w14:textId="77777777" w:rsidTr="002A7125">
        <w:tc>
          <w:tcPr>
            <w:tcW w:w="4361" w:type="dxa"/>
          </w:tcPr>
          <w:p w14:paraId="04063175" w14:textId="77777777" w:rsidR="002A7125" w:rsidRDefault="002A7125" w:rsidP="00270AAE">
            <w:pPr>
              <w:rPr>
                <w:rFonts w:ascii="Arial" w:hAnsi="Arial" w:cs="Arial"/>
              </w:rPr>
            </w:pPr>
          </w:p>
        </w:tc>
        <w:tc>
          <w:tcPr>
            <w:tcW w:w="5245" w:type="dxa"/>
          </w:tcPr>
          <w:p w14:paraId="7CA3F5DF" w14:textId="77777777" w:rsidR="002A7125" w:rsidRDefault="002A7125" w:rsidP="00270AAE">
            <w:pPr>
              <w:rPr>
                <w:rFonts w:ascii="Arial" w:hAnsi="Arial" w:cs="Arial"/>
              </w:rPr>
            </w:pPr>
          </w:p>
        </w:tc>
      </w:tr>
      <w:tr w:rsidR="002A7125" w:rsidRPr="001E764F" w14:paraId="3A8048BE" w14:textId="77777777" w:rsidTr="002A7125">
        <w:tc>
          <w:tcPr>
            <w:tcW w:w="4361" w:type="dxa"/>
          </w:tcPr>
          <w:p w14:paraId="5ACC8369" w14:textId="72FA28D1" w:rsidR="002A7125" w:rsidRDefault="002A7125" w:rsidP="00270AAE">
            <w:pPr>
              <w:rPr>
                <w:rFonts w:ascii="Arial" w:hAnsi="Arial" w:cs="Arial"/>
              </w:rPr>
            </w:pPr>
            <w:r>
              <w:rPr>
                <w:rFonts w:ascii="Arial" w:hAnsi="Arial" w:cs="Arial"/>
              </w:rPr>
              <w:t>Greater Toronto Airports Authority</w:t>
            </w:r>
          </w:p>
        </w:tc>
        <w:tc>
          <w:tcPr>
            <w:tcW w:w="5245" w:type="dxa"/>
          </w:tcPr>
          <w:p w14:paraId="4BB75280" w14:textId="77777777" w:rsidR="002A7125" w:rsidRDefault="002A7125" w:rsidP="00270AAE">
            <w:pPr>
              <w:rPr>
                <w:rFonts w:ascii="Arial" w:hAnsi="Arial" w:cs="Arial"/>
              </w:rPr>
            </w:pPr>
            <w:r>
              <w:rPr>
                <w:rFonts w:ascii="Arial" w:hAnsi="Arial" w:cs="Arial"/>
              </w:rPr>
              <w:t xml:space="preserve">C. Barnett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DA446F" w14:textId="23F0108A" w:rsidR="002A7125" w:rsidRDefault="002A7125" w:rsidP="00270AAE">
            <w:pPr>
              <w:rPr>
                <w:rFonts w:ascii="Arial" w:hAnsi="Arial" w:cs="Arial"/>
              </w:rPr>
            </w:pPr>
            <w:r>
              <w:rPr>
                <w:rFonts w:ascii="Arial" w:hAnsi="Arial" w:cs="Arial"/>
              </w:rPr>
              <w:t>H. Borgos (Student at Law)</w:t>
            </w:r>
          </w:p>
        </w:tc>
      </w:tr>
    </w:tbl>
    <w:p w14:paraId="189FF61F" w14:textId="77777777" w:rsidR="0026320F" w:rsidRDefault="0026320F" w:rsidP="00270AAE">
      <w:pPr>
        <w:rPr>
          <w:rFonts w:ascii="Arial" w:hAnsi="Arial" w:cs="Arial"/>
        </w:rPr>
      </w:pPr>
    </w:p>
    <w:p w14:paraId="4BB1B0AB" w14:textId="77777777" w:rsidR="00935095" w:rsidRDefault="00935095" w:rsidP="00270AAE">
      <w:pPr>
        <w:rPr>
          <w:rFonts w:ascii="Arial" w:hAnsi="Arial" w:cs="Arial"/>
        </w:rPr>
      </w:pPr>
    </w:p>
    <w:p w14:paraId="1C020F21" w14:textId="65B3EB11" w:rsidR="00D265BD" w:rsidRPr="002A464C" w:rsidRDefault="002A7125" w:rsidP="002A464C">
      <w:pPr>
        <w:pStyle w:val="DecisionDeliveredby"/>
      </w:pPr>
      <w:r>
        <w:t xml:space="preserve">MEMORANDUM OF ORAL DECISION DELVERED BY DAVID BROWN ON JANUARY 27, 2020 </w:t>
      </w:r>
      <w:r w:rsidR="00E856FB">
        <w:t xml:space="preserve">AND ORDER OF THE TRIBUNAL </w:t>
      </w:r>
    </w:p>
    <w:p w14:paraId="3A0D7833" w14:textId="7C9F722B" w:rsidR="002A464C" w:rsidRDefault="002A464C" w:rsidP="00AC548D">
      <w:pPr>
        <w:pStyle w:val="Heading1"/>
      </w:pPr>
    </w:p>
    <w:p w14:paraId="2D335A2A" w14:textId="77777777" w:rsidR="002A7125" w:rsidRDefault="002A7125" w:rsidP="002A7125">
      <w:pPr>
        <w:spacing w:line="360" w:lineRule="auto"/>
        <w:rPr>
          <w:rFonts w:ascii="Arial" w:hAnsi="Arial" w:cs="Arial"/>
          <w:b/>
          <w:caps/>
        </w:rPr>
      </w:pPr>
    </w:p>
    <w:p w14:paraId="518C56B0" w14:textId="77777777" w:rsidR="002A7125" w:rsidRDefault="002A7125" w:rsidP="002A7125">
      <w:pPr>
        <w:spacing w:line="360" w:lineRule="auto"/>
        <w:rPr>
          <w:rFonts w:ascii="Arial" w:hAnsi="Arial" w:cs="Arial"/>
          <w:b/>
          <w:caps/>
        </w:rPr>
      </w:pPr>
    </w:p>
    <w:p w14:paraId="1B4DF3C6" w14:textId="5E1C1E44" w:rsidR="002A7125" w:rsidRPr="000D291E" w:rsidRDefault="002A7125" w:rsidP="002A7125">
      <w:pPr>
        <w:spacing w:line="360" w:lineRule="auto"/>
        <w:rPr>
          <w:rFonts w:ascii="Arial" w:hAnsi="Arial" w:cs="Arial"/>
          <w:b/>
          <w:caps/>
        </w:rPr>
      </w:pPr>
      <w:r>
        <w:rPr>
          <w:rFonts w:ascii="Arial" w:hAnsi="Arial" w:cs="Arial"/>
          <w:b/>
          <w:caps/>
        </w:rPr>
        <w:lastRenderedPageBreak/>
        <w:t>INTRODUCTION</w:t>
      </w:r>
    </w:p>
    <w:p w14:paraId="5A9BB232" w14:textId="0128F1D5"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The matter before the Tribunal is an appeal under s.</w:t>
      </w:r>
      <w:r>
        <w:rPr>
          <w:rFonts w:cs="Arial"/>
        </w:rPr>
        <w:t xml:space="preserve"> </w:t>
      </w:r>
      <w:r w:rsidRPr="002A7125">
        <w:rPr>
          <w:rFonts w:cs="Arial"/>
        </w:rPr>
        <w:t xml:space="preserve">17(24) of the </w:t>
      </w:r>
      <w:r w:rsidRPr="002A7125">
        <w:rPr>
          <w:rFonts w:cs="Arial"/>
          <w:i/>
        </w:rPr>
        <w:t xml:space="preserve">Planning Act </w:t>
      </w:r>
      <w:r w:rsidRPr="002A7125">
        <w:rPr>
          <w:rFonts w:cs="Arial"/>
        </w:rPr>
        <w:t>(the "Act")</w:t>
      </w:r>
      <w:r w:rsidRPr="002A7125">
        <w:rPr>
          <w:rFonts w:cs="Arial"/>
          <w:i/>
        </w:rPr>
        <w:t xml:space="preserve"> </w:t>
      </w:r>
      <w:r w:rsidRPr="002A7125">
        <w:rPr>
          <w:rFonts w:cs="Arial"/>
        </w:rPr>
        <w:t xml:space="preserve">from the City of Mississauga's (the "City") approval of Official Plan Amendment No. 67 ("OPA 67") by the Orlando Corporation (the "Appellant"). </w:t>
      </w:r>
    </w:p>
    <w:p w14:paraId="2210127D" w14:textId="77C2060B"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The hearing is the first Case Management Conference ("CMC") conducted pursuant to s.</w:t>
      </w:r>
      <w:r>
        <w:rPr>
          <w:rFonts w:cs="Arial"/>
        </w:rPr>
        <w:t xml:space="preserve"> </w:t>
      </w:r>
      <w:r w:rsidRPr="002A7125">
        <w:rPr>
          <w:rFonts w:cs="Arial"/>
        </w:rPr>
        <w:t xml:space="preserve">33(1) of the </w:t>
      </w:r>
      <w:r w:rsidRPr="002A7125">
        <w:rPr>
          <w:rFonts w:cs="Arial"/>
          <w:i/>
        </w:rPr>
        <w:t xml:space="preserve">Local Planning Appeal Tribunal Act, </w:t>
      </w:r>
      <w:r w:rsidRPr="002A7125">
        <w:rPr>
          <w:rFonts w:cs="Arial"/>
        </w:rPr>
        <w:t>2017 in respect of this matter</w:t>
      </w:r>
      <w:r w:rsidRPr="002A7125">
        <w:rPr>
          <w:rFonts w:cs="Arial"/>
          <w:i/>
        </w:rPr>
        <w:t>.</w:t>
      </w:r>
    </w:p>
    <w:p w14:paraId="5DA21595" w14:textId="77777777"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The proceeding is subject to the transition provisions of Ontario Regulation 303/19. Those provisions direct that s. 17(24) appeals that were commenced after April 3, 2018 but before September 3, 2019 and for which a hearing on the merits of the appeal was not scheduled before September 3, 2019, shall be continued and disposed of under the </w:t>
      </w:r>
      <w:r w:rsidRPr="002A7125">
        <w:rPr>
          <w:rFonts w:cs="Arial"/>
          <w:i/>
        </w:rPr>
        <w:t>Local Planning Appeal Tribunal Act 2017</w:t>
      </w:r>
      <w:r w:rsidRPr="002A7125">
        <w:rPr>
          <w:rFonts w:cs="Arial"/>
        </w:rPr>
        <w:t xml:space="preserve"> as it reads after September 3, 2019.  </w:t>
      </w:r>
    </w:p>
    <w:p w14:paraId="2E22DC9B" w14:textId="095EEF44"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The Appellant owns multiple properties within the City which are located within the Airport Operating Area (</w:t>
      </w:r>
      <w:r w:rsidR="00785AF5">
        <w:rPr>
          <w:rFonts w:cs="Arial"/>
        </w:rPr>
        <w:t>“</w:t>
      </w:r>
      <w:r w:rsidRPr="002A7125">
        <w:rPr>
          <w:rFonts w:cs="Arial"/>
        </w:rPr>
        <w:t>AOA</w:t>
      </w:r>
      <w:r w:rsidR="00785AF5">
        <w:rPr>
          <w:rFonts w:cs="Arial"/>
        </w:rPr>
        <w:t>”</w:t>
      </w:r>
      <w:r w:rsidRPr="002A7125">
        <w:rPr>
          <w:rFonts w:cs="Arial"/>
        </w:rPr>
        <w:t xml:space="preserve">) and which are covered by the proposed OPA 67. </w:t>
      </w:r>
    </w:p>
    <w:p w14:paraId="0A75FA3B" w14:textId="77777777"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The Affidavit of Service was filed as Exhibit 1 confirming that Notice of the CMC was properly given. </w:t>
      </w:r>
    </w:p>
    <w:p w14:paraId="6B0D6DB1" w14:textId="302D74CD"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The Tribunal received a request from the Greater Toronto Airports Authority (</w:t>
      </w:r>
      <w:r w:rsidR="00785AF5">
        <w:rPr>
          <w:rFonts w:cs="Arial"/>
        </w:rPr>
        <w:t>“</w:t>
      </w:r>
      <w:r w:rsidRPr="002A7125">
        <w:rPr>
          <w:rFonts w:cs="Arial"/>
        </w:rPr>
        <w:t>GTAA</w:t>
      </w:r>
      <w:r w:rsidR="00785AF5">
        <w:rPr>
          <w:rFonts w:cs="Arial"/>
        </w:rPr>
        <w:t>”</w:t>
      </w:r>
      <w:r w:rsidRPr="002A7125">
        <w:rPr>
          <w:rFonts w:cs="Arial"/>
        </w:rPr>
        <w:t xml:space="preserve">) requesting Party status in these proceedings. The Appellant and the City do not oppose granting Party status to GTAA. </w:t>
      </w:r>
    </w:p>
    <w:p w14:paraId="7D360B58" w14:textId="2A620CD6" w:rsidR="002A7125" w:rsidRPr="002A7125" w:rsidRDefault="00785AF5" w:rsidP="002A7125">
      <w:pPr>
        <w:pStyle w:val="ListParagraph"/>
        <w:numPr>
          <w:ilvl w:val="0"/>
          <w:numId w:val="36"/>
        </w:numPr>
        <w:spacing w:beforeLines="150" w:before="360" w:afterLines="150" w:after="360" w:line="360" w:lineRule="auto"/>
        <w:ind w:left="0" w:firstLine="0"/>
        <w:jc w:val="left"/>
        <w:rPr>
          <w:rFonts w:cs="Arial"/>
        </w:rPr>
      </w:pPr>
      <w:r>
        <w:rPr>
          <w:rFonts w:cs="Arial"/>
        </w:rPr>
        <w:t>Leo</w:t>
      </w:r>
      <w:r w:rsidR="002A7125" w:rsidRPr="002A7125">
        <w:rPr>
          <w:rFonts w:cs="Arial"/>
        </w:rPr>
        <w:t xml:space="preserve"> Longo advised the Tribunal that the City, the GTAA, and his client have been in discussions regarding the issues of the appeal. He has spoken to the other parties and all are in agreement that a further CMC date should be scheduled to allow the discussions to evolve.  </w:t>
      </w:r>
    </w:p>
    <w:p w14:paraId="1D5E2C7A" w14:textId="106687E4"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lastRenderedPageBreak/>
        <w:t xml:space="preserve">Mr. Longo requested that the Tribunal consolidate this matter with a </w:t>
      </w:r>
      <w:r w:rsidR="00785AF5">
        <w:rPr>
          <w:rFonts w:cs="Arial"/>
        </w:rPr>
        <w:t>z</w:t>
      </w:r>
      <w:r w:rsidRPr="002A7125">
        <w:rPr>
          <w:rFonts w:cs="Arial"/>
        </w:rPr>
        <w:t xml:space="preserve">oning </w:t>
      </w:r>
      <w:r w:rsidR="00785AF5">
        <w:rPr>
          <w:rFonts w:cs="Arial"/>
        </w:rPr>
        <w:t>b</w:t>
      </w:r>
      <w:r w:rsidRPr="002A7125">
        <w:rPr>
          <w:rFonts w:cs="Arial"/>
        </w:rPr>
        <w:t xml:space="preserve">y-law appeal that remains unresolved before the Tribunal. The Appellant filed an appeal in 2007 in respect to daycare uses in the Employment zones in response to the City's enactment of a new City wide </w:t>
      </w:r>
      <w:r w:rsidR="00785AF5">
        <w:rPr>
          <w:rFonts w:cs="Arial"/>
        </w:rPr>
        <w:t>z</w:t>
      </w:r>
      <w:r w:rsidRPr="002A7125">
        <w:rPr>
          <w:rFonts w:cs="Arial"/>
        </w:rPr>
        <w:t xml:space="preserve">oning </w:t>
      </w:r>
      <w:r w:rsidR="00785AF5">
        <w:rPr>
          <w:rFonts w:cs="Arial"/>
        </w:rPr>
        <w:t>b</w:t>
      </w:r>
      <w:r w:rsidRPr="002A7125">
        <w:rPr>
          <w:rFonts w:cs="Arial"/>
        </w:rPr>
        <w:t xml:space="preserve">y-law.  </w:t>
      </w:r>
    </w:p>
    <w:p w14:paraId="40DD0163" w14:textId="4877F764"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Mr. Longo requested that the Tribunal scope the appeal to allow OPA 67 to move forward without prejudice to the Appellants appeals. A letter dated March 21, 2019, was filed as Exhibit 2 which explained that the appeal was not intended to apply to the policies at issue as they relate to the Malton Community Node and Neighbourhood Character Area (the "MCNNCA"). </w:t>
      </w:r>
    </w:p>
    <w:p w14:paraId="798B0E39" w14:textId="3D5A8EB2" w:rsidR="002A7125" w:rsidRPr="002A7125" w:rsidRDefault="00785AF5" w:rsidP="002A7125">
      <w:pPr>
        <w:pStyle w:val="ListParagraph"/>
        <w:numPr>
          <w:ilvl w:val="0"/>
          <w:numId w:val="36"/>
        </w:numPr>
        <w:spacing w:beforeLines="150" w:before="360" w:afterLines="150" w:after="360" w:line="360" w:lineRule="auto"/>
        <w:ind w:left="0" w:firstLine="0"/>
        <w:jc w:val="left"/>
        <w:rPr>
          <w:rFonts w:cs="Arial"/>
        </w:rPr>
      </w:pPr>
      <w:r>
        <w:rPr>
          <w:rFonts w:cs="Arial"/>
        </w:rPr>
        <w:t>Michal</w:t>
      </w:r>
      <w:r w:rsidR="002A7125" w:rsidRPr="002A7125">
        <w:rPr>
          <w:rFonts w:cs="Arial"/>
        </w:rPr>
        <w:t xml:space="preserve"> Minkowski confirmed that the City supports scoping of the appeal such that the appeal as it applies to the MCNNCA is effectively withdrawn by the Appellant. </w:t>
      </w:r>
    </w:p>
    <w:p w14:paraId="66ADAA0C" w14:textId="06BB51CB"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In respect to the consolidation request, Mr. Minkowski advised that his client supports the consolidation as the issue surrounding daycare uses is part of the consideration of the appeal matter before the Tribunal. It was further explained that the appeal was part of a larger appeal of the City's new Zoning By-law </w:t>
      </w:r>
      <w:r w:rsidR="00785AF5">
        <w:rPr>
          <w:rFonts w:cs="Arial"/>
        </w:rPr>
        <w:t xml:space="preserve">No. </w:t>
      </w:r>
      <w:r w:rsidRPr="002A7125">
        <w:rPr>
          <w:rFonts w:cs="Arial"/>
        </w:rPr>
        <w:t>225-2007. The bulk of the appeals were resolved however; the Appellant</w:t>
      </w:r>
      <w:r w:rsidR="00785AF5">
        <w:rPr>
          <w:rFonts w:cs="Arial"/>
        </w:rPr>
        <w:t>’</w:t>
      </w:r>
      <w:r w:rsidRPr="002A7125">
        <w:rPr>
          <w:rFonts w:cs="Arial"/>
        </w:rPr>
        <w:t xml:space="preserve">s appeal of the daycare uses was narrowed to a site specific appeal and was adjourned </w:t>
      </w:r>
      <w:r w:rsidRPr="00785AF5">
        <w:rPr>
          <w:rFonts w:cs="Arial"/>
          <w:i/>
        </w:rPr>
        <w:t>sine die</w:t>
      </w:r>
      <w:r w:rsidRPr="002A7125">
        <w:rPr>
          <w:rFonts w:cs="Arial"/>
        </w:rPr>
        <w:t xml:space="preserve"> pursuant to an order of the Ontario Municipal Board under Case No. PL070625 issued on May 5, 2010. </w:t>
      </w:r>
    </w:p>
    <w:p w14:paraId="2F618C9D" w14:textId="4E1EA03E"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Mr. Longo advised that the site specific nature of the appeal is such that it applies only to properties owned by the Appellant that are located in areas which have a Noise Exposure Projection or Noise Exposure Forecast of less than 35.     </w:t>
      </w:r>
    </w:p>
    <w:p w14:paraId="4C5C3F59" w14:textId="77777777"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Mr. Minkowski requested that a further CMC date be set at least six months from the date of this CMC.</w:t>
      </w:r>
    </w:p>
    <w:p w14:paraId="09F70AC8" w14:textId="07F652C1" w:rsidR="002A7125" w:rsidRPr="002A7125" w:rsidRDefault="00785AF5" w:rsidP="002A7125">
      <w:pPr>
        <w:pStyle w:val="ListParagraph"/>
        <w:numPr>
          <w:ilvl w:val="0"/>
          <w:numId w:val="36"/>
        </w:numPr>
        <w:spacing w:beforeLines="150" w:before="360" w:afterLines="150" w:after="360" w:line="360" w:lineRule="auto"/>
        <w:ind w:left="0" w:firstLine="0"/>
        <w:jc w:val="left"/>
        <w:rPr>
          <w:rFonts w:cs="Arial"/>
        </w:rPr>
      </w:pPr>
      <w:r>
        <w:rPr>
          <w:rFonts w:cs="Arial"/>
        </w:rPr>
        <w:t>Chris</w:t>
      </w:r>
      <w:r w:rsidR="002A7125" w:rsidRPr="002A7125">
        <w:rPr>
          <w:rFonts w:cs="Arial"/>
        </w:rPr>
        <w:t xml:space="preserve"> Barnett attended on behalf of the GTAA and explained that his client has interest in any development within the AOA. The policies for development as set out in OPA 67 are appropriate and the GTAA was involved in the consultation process leading </w:t>
      </w:r>
      <w:r w:rsidR="002A7125" w:rsidRPr="002A7125">
        <w:rPr>
          <w:rFonts w:cs="Arial"/>
        </w:rPr>
        <w:lastRenderedPageBreak/>
        <w:t xml:space="preserve">up to the approval of OPA 67 by the City. He advised that the GTAA is willing to engage in further discussions with the City and the Appellant. He also advised that his client does not oppose the consolidation and is in agreement with respect to the further CMC.   </w:t>
      </w:r>
    </w:p>
    <w:p w14:paraId="65655F24" w14:textId="0FD15CA1"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The Tribunal considered the submissions, granted Party status to GTAA, granted the request for consolidation, will scope the appeals as it relates to the release of the MCNNCA, and sets a further one</w:t>
      </w:r>
      <w:r w:rsidR="00785AF5">
        <w:rPr>
          <w:rFonts w:cs="Arial"/>
        </w:rPr>
        <w:t>-</w:t>
      </w:r>
      <w:r w:rsidRPr="002A7125">
        <w:rPr>
          <w:rFonts w:cs="Arial"/>
        </w:rPr>
        <w:t xml:space="preserve">day CMC for the reasons that follow. </w:t>
      </w:r>
    </w:p>
    <w:p w14:paraId="7CFFC2AA" w14:textId="77777777" w:rsidR="002A7125" w:rsidRPr="002A7125" w:rsidRDefault="002A7125" w:rsidP="00785AF5">
      <w:pPr>
        <w:pStyle w:val="ListParagraph"/>
        <w:spacing w:beforeLines="150" w:before="360" w:afterLines="150" w:after="360" w:line="360" w:lineRule="auto"/>
        <w:jc w:val="left"/>
        <w:rPr>
          <w:rFonts w:cs="Arial"/>
          <w:b/>
        </w:rPr>
      </w:pPr>
      <w:r w:rsidRPr="002A7125">
        <w:rPr>
          <w:rFonts w:cs="Arial"/>
          <w:b/>
        </w:rPr>
        <w:t>DECISION</w:t>
      </w:r>
    </w:p>
    <w:p w14:paraId="7ADBE4BF" w14:textId="6DDB4DE6"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In respect to the requests for party status received from GTAA, the Tribunal agrees that GTAA has a direct and immediate impact resulting from the policies contained within OPA 67 and any changes that might arise as a result of the subject appeal. The GTAA participated in the public process conducted by the City. The Appellant and the City did not object to the request for party status of GTAA.   </w:t>
      </w:r>
    </w:p>
    <w:p w14:paraId="60E3704A" w14:textId="1148605A"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The Tribunal grants Party status to GTAA. </w:t>
      </w:r>
    </w:p>
    <w:p w14:paraId="1057BF4C" w14:textId="77777777"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The Tribunal considered the request to allow the appeal to be scoped such that it does not involve the policies as they apply to MCNNCA. This area is described as one of the Exception Areas within OPA 67.  The Tribunal received a letter from the Appellant, filed as Exhibit 2, requesting scoping of the appeal and the City supports the request. </w:t>
      </w:r>
    </w:p>
    <w:p w14:paraId="1152761E" w14:textId="77777777"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The Tribunal grants the request to scope the appeal and orders that lands within the MCNNCA as delineated as an Exception Area within OPA 67 as shown on Map 6-1: Airport Operating Area and Exception Area in the OPA 67 be released from the appeal.   </w:t>
      </w:r>
    </w:p>
    <w:p w14:paraId="238A1685" w14:textId="20A51079"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The Tribunal considered a request to consolidate the subject appeal with an appeal that the Appellant filed in respect to the City's enactment of their Zoning By-law </w:t>
      </w:r>
      <w:r w:rsidR="00785AF5">
        <w:rPr>
          <w:rFonts w:cs="Arial"/>
        </w:rPr>
        <w:t xml:space="preserve">No. </w:t>
      </w:r>
      <w:r w:rsidRPr="002A7125">
        <w:rPr>
          <w:rFonts w:cs="Arial"/>
        </w:rPr>
        <w:t xml:space="preserve">225-2007 specifically as it relates to daycare uses in Employment Zones. The appeal was an Ontario Municipal Board matter under </w:t>
      </w:r>
      <w:r w:rsidR="00785AF5">
        <w:rPr>
          <w:rFonts w:cs="Arial"/>
        </w:rPr>
        <w:t>Case</w:t>
      </w:r>
      <w:r w:rsidRPr="002A7125">
        <w:rPr>
          <w:rFonts w:cs="Arial"/>
        </w:rPr>
        <w:t xml:space="preserve"> No. PL070625. The City </w:t>
      </w:r>
      <w:r w:rsidRPr="002A7125">
        <w:rPr>
          <w:rFonts w:cs="Arial"/>
        </w:rPr>
        <w:lastRenderedPageBreak/>
        <w:t xml:space="preserve">supports the consolidation as the matters are related in respect to the issues surrounding the Aircraft Noise Policies being considered by the Tribunal under this appeal.   </w:t>
      </w:r>
    </w:p>
    <w:p w14:paraId="038EB9F2" w14:textId="5506FB83"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Rule 16 of the Local Planning Appeal Tribunal </w:t>
      </w:r>
      <w:r w:rsidRPr="007E76FD">
        <w:rPr>
          <w:rFonts w:cs="Arial"/>
          <w:i/>
        </w:rPr>
        <w:t>Rules of Practice and Procedure</w:t>
      </w:r>
      <w:r w:rsidRPr="002A7125">
        <w:rPr>
          <w:rFonts w:cs="Arial"/>
        </w:rPr>
        <w:t xml:space="preserve"> provides for the Tribunal to consolidate two proceedings to </w:t>
      </w:r>
      <w:r w:rsidR="00785AF5">
        <w:rPr>
          <w:rFonts w:cs="Arial"/>
        </w:rPr>
        <w:t xml:space="preserve">be </w:t>
      </w:r>
      <w:r w:rsidRPr="002A7125">
        <w:rPr>
          <w:rFonts w:cs="Arial"/>
        </w:rPr>
        <w:t xml:space="preserve">heard at the same time subject to any applicable or statutory or regulatory restrictions. </w:t>
      </w:r>
    </w:p>
    <w:p w14:paraId="15803349" w14:textId="7A4C62FB"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The Tribunal orders that the proceedings be consolidated with the site specific appeal of City Zoning By-law </w:t>
      </w:r>
      <w:r w:rsidR="00785AF5">
        <w:rPr>
          <w:rFonts w:cs="Arial"/>
        </w:rPr>
        <w:t xml:space="preserve">No. </w:t>
      </w:r>
      <w:r w:rsidRPr="002A7125">
        <w:rPr>
          <w:rFonts w:cs="Arial"/>
        </w:rPr>
        <w:t xml:space="preserve">225-2007 under Tribunal </w:t>
      </w:r>
      <w:r w:rsidR="00785AF5">
        <w:rPr>
          <w:rFonts w:cs="Arial"/>
        </w:rPr>
        <w:t>Case</w:t>
      </w:r>
      <w:r w:rsidRPr="002A7125">
        <w:rPr>
          <w:rFonts w:cs="Arial"/>
        </w:rPr>
        <w:t xml:space="preserve"> No. PL070625 as it relates to the Appellant's appeal of OPA 67. </w:t>
      </w:r>
    </w:p>
    <w:p w14:paraId="723C3E19" w14:textId="5F7E2D58"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The Parties are directed to review the notice requirements for </w:t>
      </w:r>
      <w:r w:rsidR="00785AF5">
        <w:rPr>
          <w:rFonts w:cs="Arial"/>
        </w:rPr>
        <w:t>Case</w:t>
      </w:r>
      <w:r w:rsidRPr="002A7125">
        <w:rPr>
          <w:rFonts w:cs="Arial"/>
        </w:rPr>
        <w:t xml:space="preserve"> No. PL070625 to ensure that proper notice of the proceedings is provided by the appropriate party as required. </w:t>
      </w:r>
    </w:p>
    <w:p w14:paraId="0C274955" w14:textId="4FA3F047"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In respect to the granting of a further CMC, the Tribunal directs that the Parties are to continue discussions with the aim to create a scoped </w:t>
      </w:r>
      <w:r w:rsidR="00785AF5">
        <w:rPr>
          <w:rFonts w:cs="Arial"/>
        </w:rPr>
        <w:t>I</w:t>
      </w:r>
      <w:r w:rsidRPr="002A7125">
        <w:rPr>
          <w:rFonts w:cs="Arial"/>
        </w:rPr>
        <w:t xml:space="preserve">ssues </w:t>
      </w:r>
      <w:r w:rsidR="00785AF5">
        <w:rPr>
          <w:rFonts w:cs="Arial"/>
        </w:rPr>
        <w:t>L</w:t>
      </w:r>
      <w:r w:rsidRPr="002A7125">
        <w:rPr>
          <w:rFonts w:cs="Arial"/>
        </w:rPr>
        <w:t xml:space="preserve">ist for inclusion in a </w:t>
      </w:r>
      <w:r w:rsidR="00785AF5">
        <w:rPr>
          <w:rFonts w:cs="Arial"/>
        </w:rPr>
        <w:t>P</w:t>
      </w:r>
      <w:r w:rsidRPr="002A7125">
        <w:rPr>
          <w:rFonts w:cs="Arial"/>
        </w:rPr>
        <w:t xml:space="preserve">rocedural </w:t>
      </w:r>
      <w:r w:rsidR="00785AF5">
        <w:rPr>
          <w:rFonts w:cs="Arial"/>
        </w:rPr>
        <w:t>O</w:t>
      </w:r>
      <w:r w:rsidRPr="002A7125">
        <w:rPr>
          <w:rFonts w:cs="Arial"/>
        </w:rPr>
        <w:t xml:space="preserve">rder. </w:t>
      </w:r>
    </w:p>
    <w:p w14:paraId="5A350C48" w14:textId="77777777"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The Tribunal sets a further one-day CMC for </w:t>
      </w:r>
      <w:r w:rsidRPr="002A7125">
        <w:rPr>
          <w:rFonts w:cs="Arial"/>
          <w:b/>
        </w:rPr>
        <w:t xml:space="preserve">Friday, July 10, 2020, </w:t>
      </w:r>
      <w:r w:rsidRPr="002A7125">
        <w:rPr>
          <w:rFonts w:cs="Arial"/>
        </w:rPr>
        <w:t>commencing at</w:t>
      </w:r>
      <w:r w:rsidRPr="002A7125">
        <w:rPr>
          <w:rFonts w:cs="Arial"/>
          <w:b/>
        </w:rPr>
        <w:t xml:space="preserve"> 10 a.m.</w:t>
      </w:r>
      <w:r w:rsidRPr="002A7125">
        <w:rPr>
          <w:rFonts w:cs="Arial"/>
        </w:rPr>
        <w:t xml:space="preserve">, at: </w:t>
      </w:r>
    </w:p>
    <w:p w14:paraId="5C04E99C" w14:textId="62853C3F" w:rsidR="00956C61" w:rsidRDefault="00956C61" w:rsidP="00785AF5">
      <w:pPr>
        <w:pStyle w:val="ListParagraph"/>
        <w:jc w:val="center"/>
        <w:rPr>
          <w:rFonts w:cs="Arial"/>
          <w:b/>
        </w:rPr>
      </w:pPr>
      <w:r>
        <w:rPr>
          <w:rFonts w:cs="Arial"/>
          <w:b/>
        </w:rPr>
        <w:t>Municipal Hearing Room</w:t>
      </w:r>
    </w:p>
    <w:p w14:paraId="40250E28" w14:textId="0974AC5C" w:rsidR="002A7125" w:rsidRPr="002A7125" w:rsidRDefault="002A7125" w:rsidP="00785AF5">
      <w:pPr>
        <w:pStyle w:val="ListParagraph"/>
        <w:jc w:val="center"/>
        <w:rPr>
          <w:rFonts w:cs="Arial"/>
          <w:b/>
        </w:rPr>
      </w:pPr>
      <w:r w:rsidRPr="002A7125">
        <w:rPr>
          <w:rFonts w:cs="Arial"/>
          <w:b/>
        </w:rPr>
        <w:t>City of Mississauga</w:t>
      </w:r>
    </w:p>
    <w:p w14:paraId="689CF2DD" w14:textId="776A6A0D" w:rsidR="002A7125" w:rsidRPr="002A7125" w:rsidRDefault="002A7125" w:rsidP="00785AF5">
      <w:pPr>
        <w:pStyle w:val="ListParagraph"/>
        <w:jc w:val="center"/>
        <w:rPr>
          <w:rFonts w:cs="Arial"/>
          <w:b/>
        </w:rPr>
      </w:pPr>
      <w:r w:rsidRPr="002A7125">
        <w:rPr>
          <w:rFonts w:cs="Arial"/>
          <w:b/>
        </w:rPr>
        <w:t>300 City Centre Drive</w:t>
      </w:r>
    </w:p>
    <w:p w14:paraId="2DA7E79F" w14:textId="1614C350" w:rsidR="002A7125" w:rsidRDefault="002A7125" w:rsidP="007E76FD">
      <w:pPr>
        <w:pStyle w:val="ListParagraph"/>
        <w:jc w:val="center"/>
        <w:rPr>
          <w:rFonts w:cs="Arial"/>
          <w:b/>
        </w:rPr>
      </w:pPr>
      <w:r w:rsidRPr="002A7125">
        <w:rPr>
          <w:rFonts w:cs="Arial"/>
          <w:b/>
        </w:rPr>
        <w:t>Mississauga, Ontario</w:t>
      </w:r>
      <w:bookmarkStart w:id="3" w:name="_Hlk31182593"/>
    </w:p>
    <w:p w14:paraId="3595A3DD" w14:textId="77777777" w:rsidR="007E76FD" w:rsidRPr="007E76FD" w:rsidRDefault="007E76FD" w:rsidP="007E76FD">
      <w:pPr>
        <w:pStyle w:val="ListParagraph"/>
        <w:jc w:val="center"/>
        <w:rPr>
          <w:rFonts w:cs="Arial"/>
          <w:b/>
        </w:rPr>
      </w:pPr>
    </w:p>
    <w:bookmarkEnd w:id="3"/>
    <w:p w14:paraId="1D6D9D66" w14:textId="2C309B55"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 xml:space="preserve">There will be no further notice required unless otherwise determined pursuant to the paragraph </w:t>
      </w:r>
      <w:r w:rsidR="00AA0299">
        <w:rPr>
          <w:rFonts w:cs="Arial"/>
        </w:rPr>
        <w:t>[2</w:t>
      </w:r>
      <w:r w:rsidR="004A0E64">
        <w:rPr>
          <w:rFonts w:cs="Arial"/>
        </w:rPr>
        <w:t>3</w:t>
      </w:r>
      <w:r w:rsidR="00AA0299">
        <w:rPr>
          <w:rFonts w:cs="Arial"/>
        </w:rPr>
        <w:t>].</w:t>
      </w:r>
    </w:p>
    <w:p w14:paraId="113C1558" w14:textId="77777777"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t>The member is not seized of this matter.</w:t>
      </w:r>
    </w:p>
    <w:p w14:paraId="490B88CA" w14:textId="77777777" w:rsidR="002A7125" w:rsidRPr="002A7125" w:rsidRDefault="002A7125" w:rsidP="002A7125">
      <w:pPr>
        <w:pStyle w:val="ListParagraph"/>
        <w:numPr>
          <w:ilvl w:val="0"/>
          <w:numId w:val="36"/>
        </w:numPr>
        <w:spacing w:beforeLines="150" w:before="360" w:afterLines="150" w:after="360" w:line="360" w:lineRule="auto"/>
        <w:ind w:left="0" w:firstLine="0"/>
        <w:jc w:val="left"/>
        <w:rPr>
          <w:rFonts w:cs="Arial"/>
        </w:rPr>
      </w:pPr>
      <w:r w:rsidRPr="002A7125">
        <w:rPr>
          <w:rFonts w:cs="Arial"/>
        </w:rPr>
        <w:lastRenderedPageBreak/>
        <w:t>This is the Order of the Tribunal.</w:t>
      </w:r>
    </w:p>
    <w:p w14:paraId="435E79F4" w14:textId="77777777" w:rsidR="00060D53" w:rsidRDefault="00060D53" w:rsidP="00060D53">
      <w:pPr>
        <w:pStyle w:val="MemberSignature"/>
        <w:ind w:left="0"/>
        <w:jc w:val="left"/>
      </w:pPr>
    </w:p>
    <w:p w14:paraId="3FBDA76C" w14:textId="77777777" w:rsidR="00060D53" w:rsidRDefault="00060D53" w:rsidP="00060D53">
      <w:pPr>
        <w:pStyle w:val="MemberSignature"/>
        <w:ind w:left="0"/>
        <w:jc w:val="left"/>
      </w:pPr>
    </w:p>
    <w:p w14:paraId="6BE8DCCC" w14:textId="77777777" w:rsidR="00060D53" w:rsidRDefault="00060D53" w:rsidP="00060D53">
      <w:pPr>
        <w:pStyle w:val="MemberSignature"/>
        <w:ind w:left="0"/>
        <w:jc w:val="left"/>
      </w:pPr>
    </w:p>
    <w:p w14:paraId="53918DD2" w14:textId="7F9CCF81" w:rsidR="00935095" w:rsidRDefault="00935095" w:rsidP="00060D53">
      <w:pPr>
        <w:pStyle w:val="MemberSignature"/>
        <w:ind w:left="0"/>
      </w:pPr>
      <w:r w:rsidRPr="00AC548D">
        <w:t>“</w:t>
      </w:r>
      <w:r w:rsidR="00AA0299">
        <w:t>David Brown</w:t>
      </w:r>
      <w:r w:rsidRPr="00AC548D">
        <w:t>”</w:t>
      </w:r>
    </w:p>
    <w:p w14:paraId="307846F4" w14:textId="77777777" w:rsidR="00060D53" w:rsidRPr="00060D53" w:rsidRDefault="00060D53" w:rsidP="00060D53">
      <w:pPr>
        <w:pStyle w:val="MemberSignature"/>
        <w:ind w:left="0"/>
      </w:pPr>
    </w:p>
    <w:p w14:paraId="11FAA0AC" w14:textId="77777777" w:rsidR="00935095" w:rsidRPr="004E31D7" w:rsidRDefault="00935095" w:rsidP="004E31D7">
      <w:pPr>
        <w:pStyle w:val="MemberSignature"/>
        <w:ind w:left="0"/>
        <w:jc w:val="left"/>
        <w:rPr>
          <w:i w:val="0"/>
        </w:rPr>
      </w:pPr>
    </w:p>
    <w:p w14:paraId="56F2AD84" w14:textId="1DC375EA" w:rsidR="00935095" w:rsidRPr="00AC548D" w:rsidRDefault="00AA0299" w:rsidP="00AC548D">
      <w:pPr>
        <w:pStyle w:val="MemberSignatureNameandTitle"/>
      </w:pPr>
      <w:r>
        <w:t>DAVID BROWN</w:t>
      </w:r>
    </w:p>
    <w:p w14:paraId="36F78249" w14:textId="282798B8" w:rsidR="00935095" w:rsidRPr="00AC548D" w:rsidRDefault="00935095" w:rsidP="00AC548D">
      <w:pPr>
        <w:pStyle w:val="MemberSignatureNameandTitle"/>
      </w:pPr>
      <w:r w:rsidRPr="00AC548D">
        <w:t>IMEMBER</w:t>
      </w:r>
    </w:p>
    <w:p w14:paraId="504E027C" w14:textId="77777777" w:rsidR="00935095" w:rsidRPr="004E31D7" w:rsidRDefault="00935095" w:rsidP="00AC548D">
      <w:pPr>
        <w:rPr>
          <w:rFonts w:ascii="Arial" w:hAnsi="Arial" w:cs="Arial"/>
        </w:rPr>
      </w:pPr>
    </w:p>
    <w:p w14:paraId="5BC23253" w14:textId="77777777" w:rsidR="00935095" w:rsidRPr="004E31D7" w:rsidRDefault="00935095" w:rsidP="00AC548D">
      <w:pPr>
        <w:rPr>
          <w:rFonts w:ascii="Arial" w:hAnsi="Arial" w:cs="Arial"/>
        </w:rPr>
      </w:pPr>
    </w:p>
    <w:p w14:paraId="44118DD7" w14:textId="77777777" w:rsidR="00D265BD" w:rsidRPr="004E31D7" w:rsidRDefault="00D265BD" w:rsidP="00AC548D">
      <w:pPr>
        <w:rPr>
          <w:rFonts w:ascii="Arial" w:hAnsi="Arial" w:cs="Arial"/>
        </w:rPr>
      </w:pPr>
    </w:p>
    <w:p w14:paraId="707B5C53" w14:textId="77777777" w:rsidR="00D265BD" w:rsidRPr="004E31D7" w:rsidRDefault="00D265BD" w:rsidP="00AC548D">
      <w:pPr>
        <w:rPr>
          <w:rFonts w:ascii="Arial" w:hAnsi="Arial" w:cs="Arial"/>
        </w:rPr>
      </w:pPr>
    </w:p>
    <w:p w14:paraId="4791D995" w14:textId="77777777" w:rsidR="00D265BD" w:rsidRPr="004E31D7" w:rsidRDefault="00D265BD" w:rsidP="00AC548D">
      <w:pPr>
        <w:rPr>
          <w:rFonts w:ascii="Arial" w:hAnsi="Arial" w:cs="Arial"/>
        </w:rPr>
      </w:pPr>
    </w:p>
    <w:p w14:paraId="415505AA" w14:textId="77777777" w:rsidR="00D265BD" w:rsidRPr="004E31D7" w:rsidRDefault="00D265BD" w:rsidP="00AC548D">
      <w:pPr>
        <w:rPr>
          <w:rFonts w:ascii="Arial" w:hAnsi="Arial" w:cs="Arial"/>
        </w:rPr>
      </w:pPr>
    </w:p>
    <w:p w14:paraId="75C7311B" w14:textId="77777777" w:rsidR="00D265BD" w:rsidRPr="004E31D7" w:rsidRDefault="00D265BD" w:rsidP="00AC548D">
      <w:pPr>
        <w:rPr>
          <w:rFonts w:ascii="Arial" w:hAnsi="Arial" w:cs="Arial"/>
        </w:rPr>
      </w:pPr>
    </w:p>
    <w:p w14:paraId="75B3DDA7" w14:textId="77777777" w:rsidR="00D265BD" w:rsidRPr="004E31D7" w:rsidRDefault="00D265BD" w:rsidP="00AC548D">
      <w:pPr>
        <w:rPr>
          <w:rFonts w:ascii="Arial" w:hAnsi="Arial" w:cs="Arial"/>
        </w:rPr>
      </w:pPr>
    </w:p>
    <w:p w14:paraId="104B51D2" w14:textId="77777777" w:rsidR="00D265BD" w:rsidRPr="004E31D7" w:rsidRDefault="00D265BD" w:rsidP="00AC548D">
      <w:pPr>
        <w:rPr>
          <w:rFonts w:ascii="Arial" w:hAnsi="Arial" w:cs="Arial"/>
        </w:rPr>
      </w:pPr>
    </w:p>
    <w:p w14:paraId="348EAC66" w14:textId="77777777" w:rsidR="00D265BD" w:rsidRPr="004E31D7" w:rsidRDefault="00D265BD" w:rsidP="00AC548D">
      <w:pPr>
        <w:rPr>
          <w:rFonts w:ascii="Arial" w:hAnsi="Arial" w:cs="Arial"/>
        </w:rPr>
      </w:pPr>
    </w:p>
    <w:p w14:paraId="607886FD" w14:textId="77777777" w:rsidR="00D265BD" w:rsidRPr="004E31D7" w:rsidRDefault="00D265BD" w:rsidP="00AC548D">
      <w:pPr>
        <w:rPr>
          <w:rFonts w:ascii="Arial" w:hAnsi="Arial" w:cs="Arial"/>
        </w:rPr>
      </w:pPr>
    </w:p>
    <w:p w14:paraId="0ADF921F" w14:textId="77777777" w:rsidR="00D265BD" w:rsidRPr="004E31D7" w:rsidRDefault="00D265BD" w:rsidP="00AC548D">
      <w:pPr>
        <w:rPr>
          <w:rFonts w:ascii="Arial" w:hAnsi="Arial" w:cs="Arial"/>
        </w:rPr>
      </w:pPr>
    </w:p>
    <w:p w14:paraId="3DF56C8E" w14:textId="77777777" w:rsidR="004B6547" w:rsidRPr="004E31D7" w:rsidRDefault="004B6547" w:rsidP="00AC548D">
      <w:pPr>
        <w:rPr>
          <w:rFonts w:ascii="Arial" w:hAnsi="Arial" w:cs="Arial"/>
        </w:rPr>
      </w:pPr>
    </w:p>
    <w:p w14:paraId="0B524D65" w14:textId="5FC3DE26" w:rsidR="004B6547" w:rsidRDefault="004B6547" w:rsidP="00AC548D">
      <w:pPr>
        <w:rPr>
          <w:rFonts w:ascii="Arial" w:hAnsi="Arial" w:cs="Arial"/>
        </w:rPr>
      </w:pPr>
    </w:p>
    <w:p w14:paraId="782E4293" w14:textId="21BCFB63" w:rsidR="004A0E64" w:rsidRDefault="004A0E64" w:rsidP="00AC548D">
      <w:pPr>
        <w:rPr>
          <w:rFonts w:ascii="Arial" w:hAnsi="Arial" w:cs="Arial"/>
        </w:rPr>
      </w:pPr>
    </w:p>
    <w:p w14:paraId="6A04D3B6" w14:textId="563AE9A6" w:rsidR="004A0E64" w:rsidRDefault="004A0E64" w:rsidP="00AC548D">
      <w:pPr>
        <w:rPr>
          <w:rFonts w:ascii="Arial" w:hAnsi="Arial" w:cs="Arial"/>
        </w:rPr>
      </w:pPr>
    </w:p>
    <w:p w14:paraId="5FB69444" w14:textId="77777777" w:rsidR="004A0E64" w:rsidRPr="004E31D7" w:rsidRDefault="004A0E64" w:rsidP="00AC548D">
      <w:pPr>
        <w:rPr>
          <w:rFonts w:ascii="Arial" w:hAnsi="Arial" w:cs="Arial"/>
        </w:rPr>
      </w:pPr>
    </w:p>
    <w:p w14:paraId="6F6FCBF1" w14:textId="77777777" w:rsidR="00627521" w:rsidRPr="004E31D7" w:rsidRDefault="00627521" w:rsidP="00AC548D">
      <w:pPr>
        <w:rPr>
          <w:rFonts w:ascii="Arial" w:hAnsi="Arial" w:cs="Arial"/>
        </w:rPr>
      </w:pPr>
    </w:p>
    <w:p w14:paraId="385B670A" w14:textId="616FF309" w:rsidR="004E31D7" w:rsidRDefault="004E31D7" w:rsidP="00AC548D">
      <w:pPr>
        <w:rPr>
          <w:rFonts w:ascii="Arial" w:hAnsi="Arial" w:cs="Arial"/>
        </w:rPr>
      </w:pPr>
    </w:p>
    <w:p w14:paraId="1ECB96CF" w14:textId="4BCC7BCE" w:rsidR="007E76FD" w:rsidRDefault="007E76FD" w:rsidP="00AC548D">
      <w:pPr>
        <w:rPr>
          <w:rFonts w:ascii="Arial" w:hAnsi="Arial" w:cs="Arial"/>
        </w:rPr>
      </w:pPr>
    </w:p>
    <w:p w14:paraId="7EB679E1" w14:textId="396EAA18" w:rsidR="007E76FD" w:rsidRDefault="007E76FD" w:rsidP="00AC548D">
      <w:pPr>
        <w:rPr>
          <w:rFonts w:ascii="Arial" w:hAnsi="Arial" w:cs="Arial"/>
        </w:rPr>
      </w:pPr>
    </w:p>
    <w:p w14:paraId="65803036" w14:textId="01C66B20" w:rsidR="007E76FD" w:rsidRDefault="007E76FD" w:rsidP="00AC548D">
      <w:pPr>
        <w:rPr>
          <w:rFonts w:ascii="Arial" w:hAnsi="Arial" w:cs="Arial"/>
        </w:rPr>
      </w:pPr>
    </w:p>
    <w:p w14:paraId="3408667E" w14:textId="4150CEA3" w:rsidR="007E76FD" w:rsidRDefault="007E76FD" w:rsidP="00AC548D">
      <w:pPr>
        <w:rPr>
          <w:rFonts w:ascii="Arial" w:hAnsi="Arial" w:cs="Arial"/>
        </w:rPr>
      </w:pPr>
    </w:p>
    <w:p w14:paraId="54140C0B" w14:textId="201EF11E" w:rsidR="007E76FD" w:rsidRDefault="007E76FD" w:rsidP="00AC548D">
      <w:pPr>
        <w:rPr>
          <w:rFonts w:ascii="Arial" w:hAnsi="Arial" w:cs="Arial"/>
        </w:rPr>
      </w:pPr>
    </w:p>
    <w:p w14:paraId="5E14CDAF" w14:textId="5F239ED8" w:rsidR="007E76FD" w:rsidRDefault="007E76FD" w:rsidP="00AC548D">
      <w:pPr>
        <w:rPr>
          <w:rFonts w:ascii="Arial" w:hAnsi="Arial" w:cs="Arial"/>
        </w:rPr>
      </w:pPr>
    </w:p>
    <w:p w14:paraId="7491B05D" w14:textId="1427CF35" w:rsidR="007E76FD" w:rsidRDefault="007E76FD" w:rsidP="00AC548D">
      <w:pPr>
        <w:rPr>
          <w:rFonts w:ascii="Arial" w:hAnsi="Arial" w:cs="Arial"/>
        </w:rPr>
      </w:pPr>
    </w:p>
    <w:p w14:paraId="66F98003" w14:textId="77777777" w:rsidR="007E76FD" w:rsidRPr="004E31D7" w:rsidRDefault="007E76FD" w:rsidP="00AC548D">
      <w:pPr>
        <w:rPr>
          <w:rFonts w:ascii="Arial" w:hAnsi="Arial" w:cs="Arial"/>
        </w:rPr>
      </w:pPr>
    </w:p>
    <w:p w14:paraId="258CC42D" w14:textId="77777777" w:rsidR="00D265BD" w:rsidRPr="004E31D7" w:rsidRDefault="00D265BD" w:rsidP="00AC548D">
      <w:pPr>
        <w:rPr>
          <w:rFonts w:ascii="Arial" w:hAnsi="Arial" w:cs="Arial"/>
        </w:rPr>
      </w:pPr>
    </w:p>
    <w:p w14:paraId="244EA826" w14:textId="77777777" w:rsidR="00BA79F7" w:rsidRPr="004E31D7" w:rsidRDefault="00BA79F7" w:rsidP="00AC548D">
      <w:pPr>
        <w:rPr>
          <w:rFonts w:ascii="Arial" w:hAnsi="Arial" w:cs="Arial"/>
        </w:rPr>
      </w:pPr>
    </w:p>
    <w:p w14:paraId="78957D50" w14:textId="77777777" w:rsidR="0092760B" w:rsidRPr="00AC548D" w:rsidRDefault="0092760B" w:rsidP="004850D0">
      <w:pPr>
        <w:pStyle w:val="AttachmentTextaboveFooter"/>
      </w:pPr>
      <w:r w:rsidRPr="00AC548D">
        <w:t>If there is an attachment referred to in this document,</w:t>
      </w:r>
    </w:p>
    <w:p w14:paraId="19F55928" w14:textId="77777777" w:rsidR="0092760B" w:rsidRPr="00AC548D" w:rsidRDefault="0092760B" w:rsidP="004850D0">
      <w:pPr>
        <w:pStyle w:val="AttachmentTextaboveFooter"/>
      </w:pPr>
      <w:r w:rsidRPr="00AC548D">
        <w:t>please visit www.elto.gov.on.ca to view the attachment in PDF format.</w:t>
      </w:r>
    </w:p>
    <w:p w14:paraId="746A0701" w14:textId="77777777" w:rsidR="003D1234" w:rsidRPr="00AC548D" w:rsidRDefault="003D1234" w:rsidP="004E31D7">
      <w:pPr>
        <w:pStyle w:val="Footer"/>
        <w:jc w:val="left"/>
      </w:pPr>
    </w:p>
    <w:p w14:paraId="229BA967" w14:textId="77777777" w:rsidR="009A73F6" w:rsidRPr="00AC548D" w:rsidRDefault="009A73F6" w:rsidP="004E31D7">
      <w:pPr>
        <w:pStyle w:val="Footer"/>
        <w:jc w:val="left"/>
      </w:pPr>
    </w:p>
    <w:p w14:paraId="48BE8798" w14:textId="77777777" w:rsidR="00FE1AB5" w:rsidRPr="00AC548D" w:rsidRDefault="00FE1AB5" w:rsidP="00AC548D">
      <w:pPr>
        <w:pStyle w:val="Footer"/>
        <w:rPr>
          <w:b/>
        </w:rPr>
      </w:pPr>
      <w:r w:rsidRPr="00AC548D">
        <w:rPr>
          <w:b/>
        </w:rPr>
        <w:t>Local Planning Appeal Tribunal</w:t>
      </w:r>
    </w:p>
    <w:p w14:paraId="5064AE61" w14:textId="77777777" w:rsidR="005A6B29" w:rsidRPr="00AC548D" w:rsidRDefault="005A6B29" w:rsidP="00AC548D">
      <w:pPr>
        <w:pStyle w:val="Footer"/>
      </w:pPr>
      <w:r w:rsidRPr="00AC548D">
        <w:t xml:space="preserve">A constituent tribunal of </w:t>
      </w:r>
      <w:r w:rsidR="00C237CD">
        <w:t xml:space="preserve">Tribunals Ontario - </w:t>
      </w:r>
      <w:r w:rsidRPr="00AC548D">
        <w:t xml:space="preserve">Environment and Land </w:t>
      </w:r>
      <w:r w:rsidR="00C237CD">
        <w:t xml:space="preserve">Division </w:t>
      </w:r>
    </w:p>
    <w:p w14:paraId="4182A91D" w14:textId="77777777" w:rsidR="005A6B29" w:rsidRPr="00AC548D" w:rsidRDefault="005A6B29" w:rsidP="00AC548D">
      <w:pPr>
        <w:pStyle w:val="Footer"/>
      </w:pPr>
      <w:r w:rsidRPr="00AC548D">
        <w:t>Website: www.elto.gov.on.ca  Telephone: 416-212-6349  Toll Free: 1-866-448-2248</w:t>
      </w:r>
    </w:p>
    <w:sectPr w:rsidR="005A6B29" w:rsidRPr="00AC548D" w:rsidSect="00627521">
      <w:headerReference w:type="default" r:id="rId12"/>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5A505" w14:textId="77777777" w:rsidR="00F02B04" w:rsidRDefault="00F02B04">
      <w:r>
        <w:separator/>
      </w:r>
    </w:p>
  </w:endnote>
  <w:endnote w:type="continuationSeparator" w:id="0">
    <w:p w14:paraId="0C49ECFA" w14:textId="77777777" w:rsidR="00F02B04" w:rsidRDefault="00F0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FC1F7" w14:textId="77777777" w:rsidR="00F02B04" w:rsidRDefault="00F02B04">
      <w:r>
        <w:separator/>
      </w:r>
    </w:p>
  </w:footnote>
  <w:footnote w:type="continuationSeparator" w:id="0">
    <w:p w14:paraId="27CC34D2" w14:textId="77777777" w:rsidR="00F02B04" w:rsidRDefault="00F0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D0D5" w14:textId="2F7FAC72" w:rsidR="004B6547" w:rsidRDefault="005D1ED7" w:rsidP="00285AD7">
    <w:pPr>
      <w:pStyle w:val="Header"/>
      <w:tabs>
        <w:tab w:val="clear" w:pos="8640"/>
        <w:tab w:val="center" w:pos="4680"/>
        <w:tab w:val="left" w:pos="6804"/>
        <w:tab w:val="right" w:pos="9360"/>
      </w:tabs>
      <w:jc w:val="right"/>
      <w:rPr>
        <w:rFonts w:ascii="Arial" w:hAnsi="Arial" w:cs="Arial"/>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C237CD">
      <w:rPr>
        <w:rFonts w:ascii="Arial" w:hAnsi="Arial" w:cs="Arial"/>
        <w:noProof/>
      </w:rPr>
      <w:t>2</w:t>
    </w:r>
    <w:r w:rsidRPr="005E51AF">
      <w:rPr>
        <w:rFonts w:ascii="Arial" w:hAnsi="Arial" w:cs="Arial"/>
        <w:noProof/>
      </w:rPr>
      <w:fldChar w:fldCharType="end"/>
    </w:r>
    <w:r w:rsidR="00C02B28">
      <w:rPr>
        <w:rFonts w:ascii="Arial" w:hAnsi="Arial" w:cs="Arial"/>
        <w:noProof/>
      </w:rPr>
      <w:tab/>
    </w:r>
    <w:r w:rsidR="002A464C">
      <w:rPr>
        <w:rFonts w:ascii="Arial" w:hAnsi="Arial" w:cs="Arial"/>
        <w:noProof/>
      </w:rPr>
      <w:tab/>
      <w:t>PL1901</w:t>
    </w:r>
    <w:r w:rsidR="002A7125">
      <w:rPr>
        <w:rFonts w:ascii="Arial" w:hAnsi="Arial" w:cs="Arial"/>
        <w:noProof/>
      </w:rPr>
      <w:t>03</w:t>
    </w:r>
  </w:p>
  <w:p w14:paraId="2448F14B" w14:textId="77777777" w:rsidR="00060D53" w:rsidRDefault="00060D53" w:rsidP="00285AD7">
    <w:pPr>
      <w:pStyle w:val="Header"/>
      <w:tabs>
        <w:tab w:val="clear" w:pos="8640"/>
        <w:tab w:val="center" w:pos="4680"/>
        <w:tab w:val="left" w:pos="6804"/>
        <w:tab w:val="right" w:pos="9360"/>
      </w:tabs>
      <w:jc w:val="right"/>
      <w:rPr>
        <w:rFonts w:ascii="Arial" w:hAnsi="Arial" w:cs="Arial"/>
        <w:noProof/>
      </w:rPr>
    </w:pPr>
  </w:p>
  <w:p w14:paraId="2FE86F2F"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F2683B"/>
    <w:multiLevelType w:val="hybridMultilevel"/>
    <w:tmpl w:val="B850861A"/>
    <w:lvl w:ilvl="0" w:tplc="FFFFFFFF">
      <w:start w:val="1"/>
      <w:numFmt w:val="lowerLetter"/>
      <w:lvlText w:val="(%1)"/>
      <w:lvlJc w:val="left"/>
      <w:pPr>
        <w:ind w:left="448" w:hanging="360"/>
      </w:pPr>
      <w:rPr>
        <w:rFonts w:hint="default"/>
      </w:rPr>
    </w:lvl>
    <w:lvl w:ilvl="1" w:tplc="FFFFFFFF">
      <w:start w:val="1"/>
      <w:numFmt w:val="lowerLetter"/>
      <w:lvlText w:val="%2."/>
      <w:lvlJc w:val="left"/>
      <w:pPr>
        <w:ind w:left="1168" w:hanging="360"/>
      </w:pPr>
    </w:lvl>
    <w:lvl w:ilvl="2" w:tplc="FFFFFFFF" w:tentative="1">
      <w:start w:val="1"/>
      <w:numFmt w:val="lowerRoman"/>
      <w:lvlText w:val="%3."/>
      <w:lvlJc w:val="right"/>
      <w:pPr>
        <w:ind w:left="1888" w:hanging="180"/>
      </w:pPr>
    </w:lvl>
    <w:lvl w:ilvl="3" w:tplc="FFFFFFFF" w:tentative="1">
      <w:start w:val="1"/>
      <w:numFmt w:val="decimal"/>
      <w:lvlText w:val="%4."/>
      <w:lvlJc w:val="left"/>
      <w:pPr>
        <w:ind w:left="2608" w:hanging="360"/>
      </w:pPr>
    </w:lvl>
    <w:lvl w:ilvl="4" w:tplc="FFFFFFFF" w:tentative="1">
      <w:start w:val="1"/>
      <w:numFmt w:val="lowerLetter"/>
      <w:lvlText w:val="%5."/>
      <w:lvlJc w:val="left"/>
      <w:pPr>
        <w:ind w:left="3328" w:hanging="360"/>
      </w:pPr>
    </w:lvl>
    <w:lvl w:ilvl="5" w:tplc="FFFFFFFF" w:tentative="1">
      <w:start w:val="1"/>
      <w:numFmt w:val="lowerRoman"/>
      <w:lvlText w:val="%6."/>
      <w:lvlJc w:val="right"/>
      <w:pPr>
        <w:ind w:left="4048" w:hanging="180"/>
      </w:pPr>
    </w:lvl>
    <w:lvl w:ilvl="6" w:tplc="FFFFFFFF" w:tentative="1">
      <w:start w:val="1"/>
      <w:numFmt w:val="decimal"/>
      <w:lvlText w:val="%7."/>
      <w:lvlJc w:val="left"/>
      <w:pPr>
        <w:ind w:left="4768" w:hanging="360"/>
      </w:pPr>
    </w:lvl>
    <w:lvl w:ilvl="7" w:tplc="FFFFFFFF" w:tentative="1">
      <w:start w:val="1"/>
      <w:numFmt w:val="lowerLetter"/>
      <w:lvlText w:val="%8."/>
      <w:lvlJc w:val="left"/>
      <w:pPr>
        <w:ind w:left="5488" w:hanging="360"/>
      </w:pPr>
    </w:lvl>
    <w:lvl w:ilvl="8" w:tplc="FFFFFFFF" w:tentative="1">
      <w:start w:val="1"/>
      <w:numFmt w:val="lowerRoman"/>
      <w:lvlText w:val="%9."/>
      <w:lvlJc w:val="right"/>
      <w:pPr>
        <w:ind w:left="6208" w:hanging="180"/>
      </w:pPr>
    </w:lvl>
  </w:abstractNum>
  <w:abstractNum w:abstractNumId="13"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58132810"/>
    <w:multiLevelType w:val="hybridMultilevel"/>
    <w:tmpl w:val="B720CA90"/>
    <w:lvl w:ilvl="0" w:tplc="10090015">
      <w:start w:val="1"/>
      <w:numFmt w:val="upperLetter"/>
      <w:lvlText w:val="%1."/>
      <w:lvlJc w:val="left"/>
      <w:pPr>
        <w:ind w:left="535" w:hanging="360"/>
      </w:pPr>
      <w:rPr>
        <w:rFonts w:hint="default"/>
      </w:rPr>
    </w:lvl>
    <w:lvl w:ilvl="1" w:tplc="10090019" w:tentative="1">
      <w:start w:val="1"/>
      <w:numFmt w:val="lowerLetter"/>
      <w:lvlText w:val="%2."/>
      <w:lvlJc w:val="left"/>
      <w:pPr>
        <w:ind w:left="1255" w:hanging="360"/>
      </w:pPr>
    </w:lvl>
    <w:lvl w:ilvl="2" w:tplc="1009001B" w:tentative="1">
      <w:start w:val="1"/>
      <w:numFmt w:val="lowerRoman"/>
      <w:lvlText w:val="%3."/>
      <w:lvlJc w:val="right"/>
      <w:pPr>
        <w:ind w:left="1975" w:hanging="180"/>
      </w:pPr>
    </w:lvl>
    <w:lvl w:ilvl="3" w:tplc="1009000F" w:tentative="1">
      <w:start w:val="1"/>
      <w:numFmt w:val="decimal"/>
      <w:lvlText w:val="%4."/>
      <w:lvlJc w:val="left"/>
      <w:pPr>
        <w:ind w:left="2695" w:hanging="360"/>
      </w:pPr>
    </w:lvl>
    <w:lvl w:ilvl="4" w:tplc="10090019" w:tentative="1">
      <w:start w:val="1"/>
      <w:numFmt w:val="lowerLetter"/>
      <w:lvlText w:val="%5."/>
      <w:lvlJc w:val="left"/>
      <w:pPr>
        <w:ind w:left="3415" w:hanging="360"/>
      </w:pPr>
    </w:lvl>
    <w:lvl w:ilvl="5" w:tplc="1009001B" w:tentative="1">
      <w:start w:val="1"/>
      <w:numFmt w:val="lowerRoman"/>
      <w:lvlText w:val="%6."/>
      <w:lvlJc w:val="right"/>
      <w:pPr>
        <w:ind w:left="4135" w:hanging="180"/>
      </w:pPr>
    </w:lvl>
    <w:lvl w:ilvl="6" w:tplc="1009000F" w:tentative="1">
      <w:start w:val="1"/>
      <w:numFmt w:val="decimal"/>
      <w:lvlText w:val="%7."/>
      <w:lvlJc w:val="left"/>
      <w:pPr>
        <w:ind w:left="4855" w:hanging="360"/>
      </w:pPr>
    </w:lvl>
    <w:lvl w:ilvl="7" w:tplc="10090019" w:tentative="1">
      <w:start w:val="1"/>
      <w:numFmt w:val="lowerLetter"/>
      <w:lvlText w:val="%8."/>
      <w:lvlJc w:val="left"/>
      <w:pPr>
        <w:ind w:left="5575" w:hanging="360"/>
      </w:pPr>
    </w:lvl>
    <w:lvl w:ilvl="8" w:tplc="1009001B" w:tentative="1">
      <w:start w:val="1"/>
      <w:numFmt w:val="lowerRoman"/>
      <w:lvlText w:val="%9."/>
      <w:lvlJc w:val="right"/>
      <w:pPr>
        <w:ind w:left="6295" w:hanging="180"/>
      </w:pPr>
    </w:lvl>
  </w:abstractNum>
  <w:abstractNum w:abstractNumId="2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D25D6C"/>
    <w:multiLevelType w:val="hybridMultilevel"/>
    <w:tmpl w:val="78FCBCAA"/>
    <w:lvl w:ilvl="0" w:tplc="4204E2D2">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0955F1"/>
    <w:multiLevelType w:val="hybridMultilevel"/>
    <w:tmpl w:val="81D8B51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334594"/>
    <w:multiLevelType w:val="hybridMultilevel"/>
    <w:tmpl w:val="E87EE0CE"/>
    <w:lvl w:ilvl="0" w:tplc="F0047224">
      <w:start w:val="1"/>
      <w:numFmt w:val="decimal"/>
      <w:pStyle w:val="DecisionBody"/>
      <w:lvlText w:val="[%1]"/>
      <w:lvlJc w:val="left"/>
      <w:pPr>
        <w:ind w:left="360" w:hanging="360"/>
      </w:pPr>
      <w:rPr>
        <w:rFonts w:hint="default"/>
        <w:b w:val="0"/>
      </w:rPr>
    </w:lvl>
    <w:lvl w:ilvl="1" w:tplc="E30AA8B2">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32"/>
  </w:num>
  <w:num w:numId="4">
    <w:abstractNumId w:val="9"/>
  </w:num>
  <w:num w:numId="5">
    <w:abstractNumId w:val="35"/>
  </w:num>
  <w:num w:numId="6">
    <w:abstractNumId w:val="5"/>
  </w:num>
  <w:num w:numId="7">
    <w:abstractNumId w:val="1"/>
  </w:num>
  <w:num w:numId="8">
    <w:abstractNumId w:val="29"/>
  </w:num>
  <w:num w:numId="9">
    <w:abstractNumId w:val="17"/>
  </w:num>
  <w:num w:numId="10">
    <w:abstractNumId w:val="15"/>
  </w:num>
  <w:num w:numId="11">
    <w:abstractNumId w:val="21"/>
  </w:num>
  <w:num w:numId="12">
    <w:abstractNumId w:val="33"/>
  </w:num>
  <w:num w:numId="13">
    <w:abstractNumId w:val="4"/>
  </w:num>
  <w:num w:numId="14">
    <w:abstractNumId w:val="18"/>
  </w:num>
  <w:num w:numId="15">
    <w:abstractNumId w:val="26"/>
  </w:num>
  <w:num w:numId="16">
    <w:abstractNumId w:val="20"/>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4"/>
  </w:num>
  <w:num w:numId="24">
    <w:abstractNumId w:val="28"/>
  </w:num>
  <w:num w:numId="25">
    <w:abstractNumId w:val="13"/>
  </w:num>
  <w:num w:numId="26">
    <w:abstractNumId w:val="31"/>
  </w:num>
  <w:num w:numId="27">
    <w:abstractNumId w:val="11"/>
  </w:num>
  <w:num w:numId="28">
    <w:abstractNumId w:val="23"/>
  </w:num>
  <w:num w:numId="29">
    <w:abstractNumId w:val="16"/>
  </w:num>
  <w:num w:numId="30">
    <w:abstractNumId w:val="24"/>
  </w:num>
  <w:num w:numId="31">
    <w:abstractNumId w:val="34"/>
  </w:num>
  <w:num w:numId="32">
    <w:abstractNumId w:val="22"/>
  </w:num>
  <w:num w:numId="33">
    <w:abstractNumId w:val="30"/>
  </w:num>
  <w:num w:numId="34">
    <w:abstractNumId w:val="12"/>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98A"/>
    <w:rsid w:val="000152C3"/>
    <w:rsid w:val="000170F3"/>
    <w:rsid w:val="00017DFC"/>
    <w:rsid w:val="00022EAD"/>
    <w:rsid w:val="0002351E"/>
    <w:rsid w:val="000303A5"/>
    <w:rsid w:val="00031C6E"/>
    <w:rsid w:val="0003783B"/>
    <w:rsid w:val="00037A2F"/>
    <w:rsid w:val="000424A6"/>
    <w:rsid w:val="00050A35"/>
    <w:rsid w:val="00054A9F"/>
    <w:rsid w:val="00056F73"/>
    <w:rsid w:val="00060D53"/>
    <w:rsid w:val="00063B40"/>
    <w:rsid w:val="0006526A"/>
    <w:rsid w:val="00067DA1"/>
    <w:rsid w:val="00075342"/>
    <w:rsid w:val="00076196"/>
    <w:rsid w:val="0008105B"/>
    <w:rsid w:val="00081B93"/>
    <w:rsid w:val="0008511D"/>
    <w:rsid w:val="00094E62"/>
    <w:rsid w:val="00095221"/>
    <w:rsid w:val="00097F9F"/>
    <w:rsid w:val="000A5BAE"/>
    <w:rsid w:val="000B4BFB"/>
    <w:rsid w:val="000C21BB"/>
    <w:rsid w:val="000C25F1"/>
    <w:rsid w:val="000C480C"/>
    <w:rsid w:val="000C7608"/>
    <w:rsid w:val="000D09B3"/>
    <w:rsid w:val="000D109A"/>
    <w:rsid w:val="000D2B1B"/>
    <w:rsid w:val="000D5764"/>
    <w:rsid w:val="000D6F9D"/>
    <w:rsid w:val="000D7BBD"/>
    <w:rsid w:val="000E0063"/>
    <w:rsid w:val="000E320E"/>
    <w:rsid w:val="000F6357"/>
    <w:rsid w:val="000F6F46"/>
    <w:rsid w:val="00100AF6"/>
    <w:rsid w:val="0010191A"/>
    <w:rsid w:val="00104001"/>
    <w:rsid w:val="00114181"/>
    <w:rsid w:val="001220E4"/>
    <w:rsid w:val="0013022F"/>
    <w:rsid w:val="0013161B"/>
    <w:rsid w:val="001341C9"/>
    <w:rsid w:val="00137797"/>
    <w:rsid w:val="00140B67"/>
    <w:rsid w:val="00141422"/>
    <w:rsid w:val="00142EDE"/>
    <w:rsid w:val="0015100F"/>
    <w:rsid w:val="00151D21"/>
    <w:rsid w:val="001551CC"/>
    <w:rsid w:val="001556EB"/>
    <w:rsid w:val="001562BE"/>
    <w:rsid w:val="001634FB"/>
    <w:rsid w:val="001656BC"/>
    <w:rsid w:val="001702F3"/>
    <w:rsid w:val="0017047A"/>
    <w:rsid w:val="00172CE7"/>
    <w:rsid w:val="00174532"/>
    <w:rsid w:val="001765FB"/>
    <w:rsid w:val="001808B6"/>
    <w:rsid w:val="00182765"/>
    <w:rsid w:val="0018281D"/>
    <w:rsid w:val="00182B0E"/>
    <w:rsid w:val="00182FBC"/>
    <w:rsid w:val="00185E46"/>
    <w:rsid w:val="00190DF3"/>
    <w:rsid w:val="0019513D"/>
    <w:rsid w:val="001A1EE2"/>
    <w:rsid w:val="001A3C06"/>
    <w:rsid w:val="001A663E"/>
    <w:rsid w:val="001B1021"/>
    <w:rsid w:val="001B5CE4"/>
    <w:rsid w:val="001C21EA"/>
    <w:rsid w:val="001D0DBE"/>
    <w:rsid w:val="001D5C30"/>
    <w:rsid w:val="001D5FD7"/>
    <w:rsid w:val="001D67CE"/>
    <w:rsid w:val="001D6F93"/>
    <w:rsid w:val="001D72CD"/>
    <w:rsid w:val="001D7495"/>
    <w:rsid w:val="001E764F"/>
    <w:rsid w:val="001E7990"/>
    <w:rsid w:val="001F179F"/>
    <w:rsid w:val="00200F5A"/>
    <w:rsid w:val="0020298E"/>
    <w:rsid w:val="002041BE"/>
    <w:rsid w:val="00205167"/>
    <w:rsid w:val="002159B4"/>
    <w:rsid w:val="0021608D"/>
    <w:rsid w:val="002168A5"/>
    <w:rsid w:val="00220639"/>
    <w:rsid w:val="0022133C"/>
    <w:rsid w:val="00222B20"/>
    <w:rsid w:val="00225203"/>
    <w:rsid w:val="0022579A"/>
    <w:rsid w:val="00226075"/>
    <w:rsid w:val="00226115"/>
    <w:rsid w:val="002308BB"/>
    <w:rsid w:val="002315A3"/>
    <w:rsid w:val="0023455A"/>
    <w:rsid w:val="002346B3"/>
    <w:rsid w:val="00235236"/>
    <w:rsid w:val="0023756D"/>
    <w:rsid w:val="0024073E"/>
    <w:rsid w:val="002419BB"/>
    <w:rsid w:val="002433A2"/>
    <w:rsid w:val="002446DE"/>
    <w:rsid w:val="00246A65"/>
    <w:rsid w:val="00250221"/>
    <w:rsid w:val="00253353"/>
    <w:rsid w:val="00253AA5"/>
    <w:rsid w:val="00257414"/>
    <w:rsid w:val="002617B3"/>
    <w:rsid w:val="0026320F"/>
    <w:rsid w:val="00270AAE"/>
    <w:rsid w:val="0027147F"/>
    <w:rsid w:val="0027168F"/>
    <w:rsid w:val="002716F4"/>
    <w:rsid w:val="0027284D"/>
    <w:rsid w:val="00277F40"/>
    <w:rsid w:val="0028013D"/>
    <w:rsid w:val="00280925"/>
    <w:rsid w:val="00283370"/>
    <w:rsid w:val="00285AD7"/>
    <w:rsid w:val="00287F2C"/>
    <w:rsid w:val="00290FEC"/>
    <w:rsid w:val="00293BD1"/>
    <w:rsid w:val="00293E85"/>
    <w:rsid w:val="002959D2"/>
    <w:rsid w:val="002A393B"/>
    <w:rsid w:val="002A464C"/>
    <w:rsid w:val="002A5BB1"/>
    <w:rsid w:val="002A7125"/>
    <w:rsid w:val="002B47E9"/>
    <w:rsid w:val="002C00E1"/>
    <w:rsid w:val="002C425F"/>
    <w:rsid w:val="002C7CBA"/>
    <w:rsid w:val="002D2254"/>
    <w:rsid w:val="002D23D0"/>
    <w:rsid w:val="002D38E7"/>
    <w:rsid w:val="002D7E99"/>
    <w:rsid w:val="002E04DA"/>
    <w:rsid w:val="002E1D61"/>
    <w:rsid w:val="002E7C9F"/>
    <w:rsid w:val="002F20A9"/>
    <w:rsid w:val="002F37EF"/>
    <w:rsid w:val="002F4A35"/>
    <w:rsid w:val="002F4E11"/>
    <w:rsid w:val="002F68FF"/>
    <w:rsid w:val="002F73E5"/>
    <w:rsid w:val="003051EA"/>
    <w:rsid w:val="00307DEE"/>
    <w:rsid w:val="00315BF1"/>
    <w:rsid w:val="00316394"/>
    <w:rsid w:val="00323369"/>
    <w:rsid w:val="00324440"/>
    <w:rsid w:val="00340084"/>
    <w:rsid w:val="00340879"/>
    <w:rsid w:val="00345480"/>
    <w:rsid w:val="003506EA"/>
    <w:rsid w:val="00350E1B"/>
    <w:rsid w:val="00354C2E"/>
    <w:rsid w:val="00356FEC"/>
    <w:rsid w:val="00361234"/>
    <w:rsid w:val="003620BF"/>
    <w:rsid w:val="00365DF6"/>
    <w:rsid w:val="00367CB0"/>
    <w:rsid w:val="00375F31"/>
    <w:rsid w:val="0038484F"/>
    <w:rsid w:val="00385FC9"/>
    <w:rsid w:val="00391DD7"/>
    <w:rsid w:val="003953E2"/>
    <w:rsid w:val="003A2954"/>
    <w:rsid w:val="003A5578"/>
    <w:rsid w:val="003A7F90"/>
    <w:rsid w:val="003B236D"/>
    <w:rsid w:val="003B298B"/>
    <w:rsid w:val="003B2A1B"/>
    <w:rsid w:val="003B7CE2"/>
    <w:rsid w:val="003D0CA0"/>
    <w:rsid w:val="003D1234"/>
    <w:rsid w:val="003E7F6C"/>
    <w:rsid w:val="003F266C"/>
    <w:rsid w:val="003F3D55"/>
    <w:rsid w:val="003F5247"/>
    <w:rsid w:val="00400C6A"/>
    <w:rsid w:val="00401F7B"/>
    <w:rsid w:val="00403715"/>
    <w:rsid w:val="00413F4F"/>
    <w:rsid w:val="00415866"/>
    <w:rsid w:val="00420FFD"/>
    <w:rsid w:val="00421DC0"/>
    <w:rsid w:val="004233D2"/>
    <w:rsid w:val="00436D01"/>
    <w:rsid w:val="0044088D"/>
    <w:rsid w:val="00440A60"/>
    <w:rsid w:val="00441A9B"/>
    <w:rsid w:val="00444B16"/>
    <w:rsid w:val="004507E6"/>
    <w:rsid w:val="00452228"/>
    <w:rsid w:val="004539BB"/>
    <w:rsid w:val="004568CC"/>
    <w:rsid w:val="00460AE9"/>
    <w:rsid w:val="00460B87"/>
    <w:rsid w:val="004640DA"/>
    <w:rsid w:val="004662FE"/>
    <w:rsid w:val="004713C0"/>
    <w:rsid w:val="00481FF7"/>
    <w:rsid w:val="004822B5"/>
    <w:rsid w:val="004850D0"/>
    <w:rsid w:val="00485110"/>
    <w:rsid w:val="004970EF"/>
    <w:rsid w:val="004A0E64"/>
    <w:rsid w:val="004A427B"/>
    <w:rsid w:val="004A4461"/>
    <w:rsid w:val="004A464A"/>
    <w:rsid w:val="004A587D"/>
    <w:rsid w:val="004A7BC8"/>
    <w:rsid w:val="004B3247"/>
    <w:rsid w:val="004B33D1"/>
    <w:rsid w:val="004B6547"/>
    <w:rsid w:val="004B7E92"/>
    <w:rsid w:val="004C06AB"/>
    <w:rsid w:val="004C1763"/>
    <w:rsid w:val="004C195A"/>
    <w:rsid w:val="004C3B19"/>
    <w:rsid w:val="004C5ADC"/>
    <w:rsid w:val="004C6438"/>
    <w:rsid w:val="004D65E9"/>
    <w:rsid w:val="004D669D"/>
    <w:rsid w:val="004D6B82"/>
    <w:rsid w:val="004E03A4"/>
    <w:rsid w:val="004E31D7"/>
    <w:rsid w:val="004E4C91"/>
    <w:rsid w:val="004E4CD6"/>
    <w:rsid w:val="004F13B0"/>
    <w:rsid w:val="004F1B46"/>
    <w:rsid w:val="004F50DB"/>
    <w:rsid w:val="004F65E7"/>
    <w:rsid w:val="00502AD8"/>
    <w:rsid w:val="00502D12"/>
    <w:rsid w:val="00504BE6"/>
    <w:rsid w:val="00505DF1"/>
    <w:rsid w:val="005064E9"/>
    <w:rsid w:val="00513CCD"/>
    <w:rsid w:val="00516DCE"/>
    <w:rsid w:val="005176E6"/>
    <w:rsid w:val="0052758A"/>
    <w:rsid w:val="00530917"/>
    <w:rsid w:val="0053489D"/>
    <w:rsid w:val="0053621D"/>
    <w:rsid w:val="0053773B"/>
    <w:rsid w:val="00543D08"/>
    <w:rsid w:val="0054446B"/>
    <w:rsid w:val="0055024F"/>
    <w:rsid w:val="005554F9"/>
    <w:rsid w:val="00561982"/>
    <w:rsid w:val="0056443C"/>
    <w:rsid w:val="00570552"/>
    <w:rsid w:val="00571AB7"/>
    <w:rsid w:val="00575802"/>
    <w:rsid w:val="00581834"/>
    <w:rsid w:val="00581FFB"/>
    <w:rsid w:val="005826C8"/>
    <w:rsid w:val="005832B8"/>
    <w:rsid w:val="00583600"/>
    <w:rsid w:val="00585632"/>
    <w:rsid w:val="0058684A"/>
    <w:rsid w:val="005879CA"/>
    <w:rsid w:val="00594BB2"/>
    <w:rsid w:val="005A4B97"/>
    <w:rsid w:val="005A6B29"/>
    <w:rsid w:val="005A767F"/>
    <w:rsid w:val="005B0EFC"/>
    <w:rsid w:val="005B2223"/>
    <w:rsid w:val="005B32F1"/>
    <w:rsid w:val="005B3A6B"/>
    <w:rsid w:val="005C1BF7"/>
    <w:rsid w:val="005C46AA"/>
    <w:rsid w:val="005C7251"/>
    <w:rsid w:val="005C7AA9"/>
    <w:rsid w:val="005D1ED7"/>
    <w:rsid w:val="005E15B3"/>
    <w:rsid w:val="005E51AF"/>
    <w:rsid w:val="005E5587"/>
    <w:rsid w:val="005E7964"/>
    <w:rsid w:val="005F182A"/>
    <w:rsid w:val="005F7A16"/>
    <w:rsid w:val="005F7B8C"/>
    <w:rsid w:val="006002DC"/>
    <w:rsid w:val="0060505C"/>
    <w:rsid w:val="006104F9"/>
    <w:rsid w:val="00611B55"/>
    <w:rsid w:val="00614648"/>
    <w:rsid w:val="00616822"/>
    <w:rsid w:val="006259BD"/>
    <w:rsid w:val="00625DFC"/>
    <w:rsid w:val="00627521"/>
    <w:rsid w:val="006306A8"/>
    <w:rsid w:val="0063575A"/>
    <w:rsid w:val="00635EF3"/>
    <w:rsid w:val="00640174"/>
    <w:rsid w:val="00640636"/>
    <w:rsid w:val="006419E7"/>
    <w:rsid w:val="00641AD3"/>
    <w:rsid w:val="00646BFB"/>
    <w:rsid w:val="00647B4B"/>
    <w:rsid w:val="00647ECC"/>
    <w:rsid w:val="006510E9"/>
    <w:rsid w:val="00652DE0"/>
    <w:rsid w:val="00653B50"/>
    <w:rsid w:val="00655F95"/>
    <w:rsid w:val="00656B1C"/>
    <w:rsid w:val="00656CC7"/>
    <w:rsid w:val="00657E0B"/>
    <w:rsid w:val="00663C56"/>
    <w:rsid w:val="00665DAE"/>
    <w:rsid w:val="006664C3"/>
    <w:rsid w:val="00676982"/>
    <w:rsid w:val="00677294"/>
    <w:rsid w:val="00686DDF"/>
    <w:rsid w:val="00692BB0"/>
    <w:rsid w:val="006A119C"/>
    <w:rsid w:val="006A19B7"/>
    <w:rsid w:val="006A2B5B"/>
    <w:rsid w:val="006B6847"/>
    <w:rsid w:val="006B7B9E"/>
    <w:rsid w:val="006C648F"/>
    <w:rsid w:val="006C683B"/>
    <w:rsid w:val="006C6D4C"/>
    <w:rsid w:val="006D09B4"/>
    <w:rsid w:val="006D1DFD"/>
    <w:rsid w:val="006D530F"/>
    <w:rsid w:val="006D796F"/>
    <w:rsid w:val="006E6454"/>
    <w:rsid w:val="006F0397"/>
    <w:rsid w:val="006F214C"/>
    <w:rsid w:val="006F2DF2"/>
    <w:rsid w:val="006F3415"/>
    <w:rsid w:val="006F3AFA"/>
    <w:rsid w:val="006F6F82"/>
    <w:rsid w:val="006F77CE"/>
    <w:rsid w:val="006F7A6F"/>
    <w:rsid w:val="007057F0"/>
    <w:rsid w:val="00706196"/>
    <w:rsid w:val="00707B3B"/>
    <w:rsid w:val="00715DD1"/>
    <w:rsid w:val="00716030"/>
    <w:rsid w:val="00720159"/>
    <w:rsid w:val="00721BA9"/>
    <w:rsid w:val="00723E6F"/>
    <w:rsid w:val="00732C27"/>
    <w:rsid w:val="007342E5"/>
    <w:rsid w:val="007353C0"/>
    <w:rsid w:val="00735538"/>
    <w:rsid w:val="00740166"/>
    <w:rsid w:val="00755D35"/>
    <w:rsid w:val="007573EA"/>
    <w:rsid w:val="0076119A"/>
    <w:rsid w:val="00765C2D"/>
    <w:rsid w:val="00765F83"/>
    <w:rsid w:val="00776C4A"/>
    <w:rsid w:val="00783F5A"/>
    <w:rsid w:val="00785AF5"/>
    <w:rsid w:val="0079304E"/>
    <w:rsid w:val="007A1025"/>
    <w:rsid w:val="007A1709"/>
    <w:rsid w:val="007A2303"/>
    <w:rsid w:val="007A2BCE"/>
    <w:rsid w:val="007A2C3D"/>
    <w:rsid w:val="007A31D5"/>
    <w:rsid w:val="007A52D8"/>
    <w:rsid w:val="007B54D6"/>
    <w:rsid w:val="007B63C3"/>
    <w:rsid w:val="007B7EE3"/>
    <w:rsid w:val="007C08BD"/>
    <w:rsid w:val="007C6E23"/>
    <w:rsid w:val="007D6908"/>
    <w:rsid w:val="007E0C30"/>
    <w:rsid w:val="007E4AF3"/>
    <w:rsid w:val="007E76FD"/>
    <w:rsid w:val="007E7C3A"/>
    <w:rsid w:val="007F4C2E"/>
    <w:rsid w:val="007F7583"/>
    <w:rsid w:val="007F76EB"/>
    <w:rsid w:val="007F7C9F"/>
    <w:rsid w:val="00800023"/>
    <w:rsid w:val="00802055"/>
    <w:rsid w:val="008046EB"/>
    <w:rsid w:val="0080724D"/>
    <w:rsid w:val="008168FC"/>
    <w:rsid w:val="008173CF"/>
    <w:rsid w:val="008220D5"/>
    <w:rsid w:val="00823753"/>
    <w:rsid w:val="008316DB"/>
    <w:rsid w:val="0083211C"/>
    <w:rsid w:val="00832AE4"/>
    <w:rsid w:val="00835A80"/>
    <w:rsid w:val="00837AE6"/>
    <w:rsid w:val="00865727"/>
    <w:rsid w:val="00866681"/>
    <w:rsid w:val="008709C4"/>
    <w:rsid w:val="00872300"/>
    <w:rsid w:val="00874569"/>
    <w:rsid w:val="00883A87"/>
    <w:rsid w:val="00890378"/>
    <w:rsid w:val="00890E5D"/>
    <w:rsid w:val="008930ED"/>
    <w:rsid w:val="0089782A"/>
    <w:rsid w:val="008A1A0C"/>
    <w:rsid w:val="008A3586"/>
    <w:rsid w:val="008B3A11"/>
    <w:rsid w:val="008B3EB4"/>
    <w:rsid w:val="008B667D"/>
    <w:rsid w:val="008C07AD"/>
    <w:rsid w:val="008C09C4"/>
    <w:rsid w:val="008C7470"/>
    <w:rsid w:val="008D3B01"/>
    <w:rsid w:val="008D5496"/>
    <w:rsid w:val="008D5528"/>
    <w:rsid w:val="008E147D"/>
    <w:rsid w:val="008E516D"/>
    <w:rsid w:val="008E5B11"/>
    <w:rsid w:val="008F6B2A"/>
    <w:rsid w:val="00900C5B"/>
    <w:rsid w:val="00902134"/>
    <w:rsid w:val="00902213"/>
    <w:rsid w:val="00906ACD"/>
    <w:rsid w:val="00907DA4"/>
    <w:rsid w:val="009148E3"/>
    <w:rsid w:val="0092760B"/>
    <w:rsid w:val="00930FD3"/>
    <w:rsid w:val="009333AA"/>
    <w:rsid w:val="00935095"/>
    <w:rsid w:val="00935ABA"/>
    <w:rsid w:val="009360FC"/>
    <w:rsid w:val="009371DB"/>
    <w:rsid w:val="00940F62"/>
    <w:rsid w:val="009431CF"/>
    <w:rsid w:val="0095094D"/>
    <w:rsid w:val="00951EE2"/>
    <w:rsid w:val="0095571C"/>
    <w:rsid w:val="00956C61"/>
    <w:rsid w:val="0096422B"/>
    <w:rsid w:val="009645C5"/>
    <w:rsid w:val="009650D8"/>
    <w:rsid w:val="00972D6F"/>
    <w:rsid w:val="009748FB"/>
    <w:rsid w:val="009752F9"/>
    <w:rsid w:val="00976AA8"/>
    <w:rsid w:val="009773EC"/>
    <w:rsid w:val="00981E7A"/>
    <w:rsid w:val="00990F55"/>
    <w:rsid w:val="0099670B"/>
    <w:rsid w:val="009A1884"/>
    <w:rsid w:val="009A31C9"/>
    <w:rsid w:val="009A34A1"/>
    <w:rsid w:val="009A3945"/>
    <w:rsid w:val="009A3F84"/>
    <w:rsid w:val="009A698F"/>
    <w:rsid w:val="009A6D63"/>
    <w:rsid w:val="009A73F6"/>
    <w:rsid w:val="009B0C34"/>
    <w:rsid w:val="009B3B21"/>
    <w:rsid w:val="009B5A2A"/>
    <w:rsid w:val="009C20B2"/>
    <w:rsid w:val="009C4D62"/>
    <w:rsid w:val="009D0B82"/>
    <w:rsid w:val="009D4807"/>
    <w:rsid w:val="009D5078"/>
    <w:rsid w:val="009E0DF7"/>
    <w:rsid w:val="009E1C08"/>
    <w:rsid w:val="009E202F"/>
    <w:rsid w:val="009E40F3"/>
    <w:rsid w:val="009E6983"/>
    <w:rsid w:val="009F040C"/>
    <w:rsid w:val="009F2941"/>
    <w:rsid w:val="009F3047"/>
    <w:rsid w:val="00A02986"/>
    <w:rsid w:val="00A03DB8"/>
    <w:rsid w:val="00A07D8A"/>
    <w:rsid w:val="00A11CE2"/>
    <w:rsid w:val="00A138CA"/>
    <w:rsid w:val="00A175A4"/>
    <w:rsid w:val="00A20E8C"/>
    <w:rsid w:val="00A20EB3"/>
    <w:rsid w:val="00A310FC"/>
    <w:rsid w:val="00A35233"/>
    <w:rsid w:val="00A41272"/>
    <w:rsid w:val="00A45D63"/>
    <w:rsid w:val="00A47406"/>
    <w:rsid w:val="00A47B07"/>
    <w:rsid w:val="00A550FC"/>
    <w:rsid w:val="00A60947"/>
    <w:rsid w:val="00A60FA0"/>
    <w:rsid w:val="00A63EF3"/>
    <w:rsid w:val="00A7018C"/>
    <w:rsid w:val="00A70B89"/>
    <w:rsid w:val="00A70E2F"/>
    <w:rsid w:val="00A74246"/>
    <w:rsid w:val="00A76E5B"/>
    <w:rsid w:val="00A8129C"/>
    <w:rsid w:val="00A81716"/>
    <w:rsid w:val="00A81DB3"/>
    <w:rsid w:val="00A84EF0"/>
    <w:rsid w:val="00A86E97"/>
    <w:rsid w:val="00A9086B"/>
    <w:rsid w:val="00A955CF"/>
    <w:rsid w:val="00AA0299"/>
    <w:rsid w:val="00AA1090"/>
    <w:rsid w:val="00AA1241"/>
    <w:rsid w:val="00AA432A"/>
    <w:rsid w:val="00AA607D"/>
    <w:rsid w:val="00AA6E2C"/>
    <w:rsid w:val="00AB07FC"/>
    <w:rsid w:val="00AB4BBF"/>
    <w:rsid w:val="00AB519E"/>
    <w:rsid w:val="00AB7E2E"/>
    <w:rsid w:val="00AC0F8A"/>
    <w:rsid w:val="00AC517A"/>
    <w:rsid w:val="00AC548D"/>
    <w:rsid w:val="00AC630B"/>
    <w:rsid w:val="00AC6C04"/>
    <w:rsid w:val="00AD29BF"/>
    <w:rsid w:val="00AD7247"/>
    <w:rsid w:val="00AE075F"/>
    <w:rsid w:val="00AE1098"/>
    <w:rsid w:val="00AE1446"/>
    <w:rsid w:val="00B0517A"/>
    <w:rsid w:val="00B12A97"/>
    <w:rsid w:val="00B13C3D"/>
    <w:rsid w:val="00B157E1"/>
    <w:rsid w:val="00B16A05"/>
    <w:rsid w:val="00B16FDF"/>
    <w:rsid w:val="00B17BED"/>
    <w:rsid w:val="00B225A1"/>
    <w:rsid w:val="00B25ACB"/>
    <w:rsid w:val="00B25ECF"/>
    <w:rsid w:val="00B268A7"/>
    <w:rsid w:val="00B26DA2"/>
    <w:rsid w:val="00B33BB0"/>
    <w:rsid w:val="00B35061"/>
    <w:rsid w:val="00B35686"/>
    <w:rsid w:val="00B410BB"/>
    <w:rsid w:val="00B51EB2"/>
    <w:rsid w:val="00B51EBA"/>
    <w:rsid w:val="00B5261C"/>
    <w:rsid w:val="00B5585B"/>
    <w:rsid w:val="00B5628D"/>
    <w:rsid w:val="00B60034"/>
    <w:rsid w:val="00B62606"/>
    <w:rsid w:val="00B6431E"/>
    <w:rsid w:val="00B67AB9"/>
    <w:rsid w:val="00B70285"/>
    <w:rsid w:val="00B702CE"/>
    <w:rsid w:val="00B721A7"/>
    <w:rsid w:val="00B73213"/>
    <w:rsid w:val="00B73739"/>
    <w:rsid w:val="00B77B07"/>
    <w:rsid w:val="00B801DE"/>
    <w:rsid w:val="00B818DE"/>
    <w:rsid w:val="00B9061D"/>
    <w:rsid w:val="00B92BA3"/>
    <w:rsid w:val="00BA03FF"/>
    <w:rsid w:val="00BA11D2"/>
    <w:rsid w:val="00BA28A5"/>
    <w:rsid w:val="00BA5F87"/>
    <w:rsid w:val="00BA79F7"/>
    <w:rsid w:val="00BB1683"/>
    <w:rsid w:val="00BB6613"/>
    <w:rsid w:val="00BB66A5"/>
    <w:rsid w:val="00BC66D9"/>
    <w:rsid w:val="00BE0DAD"/>
    <w:rsid w:val="00BE0FA0"/>
    <w:rsid w:val="00BE3F1D"/>
    <w:rsid w:val="00BE4761"/>
    <w:rsid w:val="00BE6E00"/>
    <w:rsid w:val="00BF23CB"/>
    <w:rsid w:val="00BF3612"/>
    <w:rsid w:val="00BF497A"/>
    <w:rsid w:val="00BF7426"/>
    <w:rsid w:val="00C02B28"/>
    <w:rsid w:val="00C04B3A"/>
    <w:rsid w:val="00C1171C"/>
    <w:rsid w:val="00C12027"/>
    <w:rsid w:val="00C206C9"/>
    <w:rsid w:val="00C20862"/>
    <w:rsid w:val="00C237CD"/>
    <w:rsid w:val="00C300F2"/>
    <w:rsid w:val="00C31EAC"/>
    <w:rsid w:val="00C32979"/>
    <w:rsid w:val="00C414E3"/>
    <w:rsid w:val="00C43A54"/>
    <w:rsid w:val="00C54675"/>
    <w:rsid w:val="00C5671C"/>
    <w:rsid w:val="00C56BCB"/>
    <w:rsid w:val="00C57105"/>
    <w:rsid w:val="00C653D6"/>
    <w:rsid w:val="00C801A0"/>
    <w:rsid w:val="00C834F1"/>
    <w:rsid w:val="00C838B9"/>
    <w:rsid w:val="00C92977"/>
    <w:rsid w:val="00C940BC"/>
    <w:rsid w:val="00CB1743"/>
    <w:rsid w:val="00CB38E0"/>
    <w:rsid w:val="00CB713F"/>
    <w:rsid w:val="00CC269B"/>
    <w:rsid w:val="00CC29F3"/>
    <w:rsid w:val="00CC313F"/>
    <w:rsid w:val="00CC5C59"/>
    <w:rsid w:val="00CC7025"/>
    <w:rsid w:val="00CC718E"/>
    <w:rsid w:val="00CD1EF2"/>
    <w:rsid w:val="00CD235D"/>
    <w:rsid w:val="00CD40ED"/>
    <w:rsid w:val="00CD5591"/>
    <w:rsid w:val="00CD6BA9"/>
    <w:rsid w:val="00CE10CC"/>
    <w:rsid w:val="00CE4FEB"/>
    <w:rsid w:val="00CF2AB8"/>
    <w:rsid w:val="00CF3B6D"/>
    <w:rsid w:val="00CF3F96"/>
    <w:rsid w:val="00CF4C37"/>
    <w:rsid w:val="00CF55CF"/>
    <w:rsid w:val="00CF67FC"/>
    <w:rsid w:val="00D00807"/>
    <w:rsid w:val="00D008AB"/>
    <w:rsid w:val="00D01696"/>
    <w:rsid w:val="00D11BD7"/>
    <w:rsid w:val="00D25146"/>
    <w:rsid w:val="00D265BD"/>
    <w:rsid w:val="00D269C2"/>
    <w:rsid w:val="00D30F49"/>
    <w:rsid w:val="00D32294"/>
    <w:rsid w:val="00D35322"/>
    <w:rsid w:val="00D35B18"/>
    <w:rsid w:val="00D36525"/>
    <w:rsid w:val="00D40C79"/>
    <w:rsid w:val="00D4159D"/>
    <w:rsid w:val="00D42D9F"/>
    <w:rsid w:val="00D4729F"/>
    <w:rsid w:val="00D50ADF"/>
    <w:rsid w:val="00D50C1C"/>
    <w:rsid w:val="00D53BDA"/>
    <w:rsid w:val="00D55D61"/>
    <w:rsid w:val="00D55D80"/>
    <w:rsid w:val="00D56873"/>
    <w:rsid w:val="00D6679F"/>
    <w:rsid w:val="00D66856"/>
    <w:rsid w:val="00D70783"/>
    <w:rsid w:val="00D71F29"/>
    <w:rsid w:val="00D7246D"/>
    <w:rsid w:val="00D76186"/>
    <w:rsid w:val="00D76968"/>
    <w:rsid w:val="00D81510"/>
    <w:rsid w:val="00D824D3"/>
    <w:rsid w:val="00D83C03"/>
    <w:rsid w:val="00D83FD9"/>
    <w:rsid w:val="00D84899"/>
    <w:rsid w:val="00D8571F"/>
    <w:rsid w:val="00D87B1D"/>
    <w:rsid w:val="00D9048F"/>
    <w:rsid w:val="00D91064"/>
    <w:rsid w:val="00D9357D"/>
    <w:rsid w:val="00DA3393"/>
    <w:rsid w:val="00DA4D2B"/>
    <w:rsid w:val="00DA55AC"/>
    <w:rsid w:val="00DA6F93"/>
    <w:rsid w:val="00DA778B"/>
    <w:rsid w:val="00DB023D"/>
    <w:rsid w:val="00DB16DE"/>
    <w:rsid w:val="00DB3F05"/>
    <w:rsid w:val="00DB45DF"/>
    <w:rsid w:val="00DB49FE"/>
    <w:rsid w:val="00DB5B27"/>
    <w:rsid w:val="00DB6213"/>
    <w:rsid w:val="00DB6749"/>
    <w:rsid w:val="00DC1E31"/>
    <w:rsid w:val="00DD1B47"/>
    <w:rsid w:val="00DD35F5"/>
    <w:rsid w:val="00DD6665"/>
    <w:rsid w:val="00DE030F"/>
    <w:rsid w:val="00DE0A57"/>
    <w:rsid w:val="00DE62BC"/>
    <w:rsid w:val="00DF75FB"/>
    <w:rsid w:val="00E007A7"/>
    <w:rsid w:val="00E02117"/>
    <w:rsid w:val="00E1075C"/>
    <w:rsid w:val="00E10EEE"/>
    <w:rsid w:val="00E11D71"/>
    <w:rsid w:val="00E128B8"/>
    <w:rsid w:val="00E12DE7"/>
    <w:rsid w:val="00E1511E"/>
    <w:rsid w:val="00E153A5"/>
    <w:rsid w:val="00E15446"/>
    <w:rsid w:val="00E1684D"/>
    <w:rsid w:val="00E313E5"/>
    <w:rsid w:val="00E40778"/>
    <w:rsid w:val="00E4342D"/>
    <w:rsid w:val="00E45C87"/>
    <w:rsid w:val="00E50787"/>
    <w:rsid w:val="00E5087B"/>
    <w:rsid w:val="00E5336E"/>
    <w:rsid w:val="00E65759"/>
    <w:rsid w:val="00E65E7B"/>
    <w:rsid w:val="00E675F5"/>
    <w:rsid w:val="00E72AA7"/>
    <w:rsid w:val="00E73226"/>
    <w:rsid w:val="00E743D2"/>
    <w:rsid w:val="00E7558A"/>
    <w:rsid w:val="00E77E48"/>
    <w:rsid w:val="00E82831"/>
    <w:rsid w:val="00E83D69"/>
    <w:rsid w:val="00E856FB"/>
    <w:rsid w:val="00E87227"/>
    <w:rsid w:val="00E8779D"/>
    <w:rsid w:val="00E87A9B"/>
    <w:rsid w:val="00E921D7"/>
    <w:rsid w:val="00E945DE"/>
    <w:rsid w:val="00E97D24"/>
    <w:rsid w:val="00E97F04"/>
    <w:rsid w:val="00E97F64"/>
    <w:rsid w:val="00EA0229"/>
    <w:rsid w:val="00EA4967"/>
    <w:rsid w:val="00EA73B7"/>
    <w:rsid w:val="00EB1B83"/>
    <w:rsid w:val="00EB3E73"/>
    <w:rsid w:val="00EC181A"/>
    <w:rsid w:val="00EC2949"/>
    <w:rsid w:val="00ED4FEF"/>
    <w:rsid w:val="00EE49F7"/>
    <w:rsid w:val="00EE4BA3"/>
    <w:rsid w:val="00EE6119"/>
    <w:rsid w:val="00EE62E6"/>
    <w:rsid w:val="00EF4FA7"/>
    <w:rsid w:val="00EF6354"/>
    <w:rsid w:val="00F018C6"/>
    <w:rsid w:val="00F01CC9"/>
    <w:rsid w:val="00F02B04"/>
    <w:rsid w:val="00F13970"/>
    <w:rsid w:val="00F206C1"/>
    <w:rsid w:val="00F20B8D"/>
    <w:rsid w:val="00F3132E"/>
    <w:rsid w:val="00F376E5"/>
    <w:rsid w:val="00F404B1"/>
    <w:rsid w:val="00F408C2"/>
    <w:rsid w:val="00F45A5D"/>
    <w:rsid w:val="00F46163"/>
    <w:rsid w:val="00F46275"/>
    <w:rsid w:val="00F53502"/>
    <w:rsid w:val="00F548C9"/>
    <w:rsid w:val="00F61C35"/>
    <w:rsid w:val="00F62C56"/>
    <w:rsid w:val="00F70CE8"/>
    <w:rsid w:val="00F70E5B"/>
    <w:rsid w:val="00F71AB8"/>
    <w:rsid w:val="00F76590"/>
    <w:rsid w:val="00F76E36"/>
    <w:rsid w:val="00F801FB"/>
    <w:rsid w:val="00F82F6D"/>
    <w:rsid w:val="00F90029"/>
    <w:rsid w:val="00F905A3"/>
    <w:rsid w:val="00F91D2A"/>
    <w:rsid w:val="00F9597B"/>
    <w:rsid w:val="00F96198"/>
    <w:rsid w:val="00FA0144"/>
    <w:rsid w:val="00FA016B"/>
    <w:rsid w:val="00FA4C49"/>
    <w:rsid w:val="00FA5C66"/>
    <w:rsid w:val="00FA6295"/>
    <w:rsid w:val="00FB516C"/>
    <w:rsid w:val="00FB68ED"/>
    <w:rsid w:val="00FB70C9"/>
    <w:rsid w:val="00FC4686"/>
    <w:rsid w:val="00FD10D9"/>
    <w:rsid w:val="00FD180D"/>
    <w:rsid w:val="00FD395A"/>
    <w:rsid w:val="00FD4182"/>
    <w:rsid w:val="00FE1AB5"/>
    <w:rsid w:val="00FE3524"/>
    <w:rsid w:val="00FE478E"/>
    <w:rsid w:val="00FE4D6A"/>
    <w:rsid w:val="00FE60B8"/>
    <w:rsid w:val="00FF2731"/>
    <w:rsid w:val="00FF4593"/>
    <w:rsid w:val="00FF6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77AE50"/>
  <w15:docId w15:val="{4363AD4C-A814-4901-A1F2-816A0BB4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27284D"/>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link w:val="DecisionBodyChar"/>
    <w:autoRedefine/>
    <w:rsid w:val="002A464C"/>
    <w:pPr>
      <w:widowControl w:val="0"/>
      <w:numPr>
        <w:numId w:val="33"/>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customStyle="1" w:styleId="DecisionBodyChar">
    <w:name w:val="DecisionBody Char"/>
    <w:link w:val="DecisionBody"/>
    <w:locked/>
    <w:rsid w:val="002A464C"/>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812527560">
      <w:bodyDiv w:val="1"/>
      <w:marLeft w:val="0"/>
      <w:marRight w:val="0"/>
      <w:marTop w:val="0"/>
      <w:marBottom w:val="0"/>
      <w:divBdr>
        <w:top w:val="none" w:sz="0" w:space="0" w:color="auto"/>
        <w:left w:val="none" w:sz="0" w:space="0" w:color="auto"/>
        <w:bottom w:val="none" w:sz="0" w:space="0" w:color="auto"/>
        <w:right w:val="none" w:sz="0" w:space="0" w:color="auto"/>
      </w:divBdr>
    </w:div>
    <w:div w:id="909998908">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990327187">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75C98B5200B4E85C3A85C1ED3C92A" ma:contentTypeVersion="7" ma:contentTypeDescription="Create a new document." ma:contentTypeScope="" ma:versionID="fc57ee7b73551c5761db14af24b7702d">
  <xsd:schema xmlns:xsd="http://www.w3.org/2001/XMLSchema" xmlns:xs="http://www.w3.org/2001/XMLSchema" xmlns:p="http://schemas.microsoft.com/office/2006/metadata/properties" xmlns:ns3="1c0a7d68-60c8-4d31-afce-8dc65ae7566a" xmlns:ns4="10d5aef0-9806-4d9f-95f7-f58b2a29b29a" targetNamespace="http://schemas.microsoft.com/office/2006/metadata/properties" ma:root="true" ma:fieldsID="d6320e951f01e795c4a4cb89e32b6351" ns3:_="" ns4:_="">
    <xsd:import namespace="1c0a7d68-60c8-4d31-afce-8dc65ae7566a"/>
    <xsd:import namespace="10d5aef0-9806-4d9f-95f7-f58b2a29b2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a7d68-60c8-4d31-afce-8dc65ae75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5aef0-9806-4d9f-95f7-f58b2a29b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87DE-EF9C-4C9B-A986-82216D25C4E8}">
  <ds:schemaRefs>
    <ds:schemaRef ds:uri="http://schemas.microsoft.com/sharepoint/v3/contenttype/forms"/>
  </ds:schemaRefs>
</ds:datastoreItem>
</file>

<file path=customXml/itemProps2.xml><?xml version="1.0" encoding="utf-8"?>
<ds:datastoreItem xmlns:ds="http://schemas.openxmlformats.org/officeDocument/2006/customXml" ds:itemID="{F0828D05-C4B9-407D-8DC1-348D33FE832D}">
  <ds:schemaRefs>
    <ds:schemaRef ds:uri="http://schemas.microsoft.com/office/2006/documentManagement/types"/>
    <ds:schemaRef ds:uri="1c0a7d68-60c8-4d31-afce-8dc65ae7566a"/>
    <ds:schemaRef ds:uri="10d5aef0-9806-4d9f-95f7-f58b2a29b29a"/>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949921A-47F9-4864-BD46-524786EB1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a7d68-60c8-4d31-afce-8dc65ae7566a"/>
    <ds:schemaRef ds:uri="10d5aef0-9806-4d9f-95f7-f58b2a29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166C0-6392-40BD-9108-0C917FF1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2020-02-03T13:38:00Z</cp:lastPrinted>
  <dcterms:created xsi:type="dcterms:W3CDTF">2020-02-03T13:38:00Z</dcterms:created>
  <dcterms:modified xsi:type="dcterms:W3CDTF">2020-02-03T13:52:00Z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Thomas.Hodgins@ontario.ca</vt:lpwstr>
  </property>
  <property fmtid="{D5CDD505-2E9C-101B-9397-08002B2CF9AE}" pid="5" name="MSIP_Label_034a106e-6316-442c-ad35-738afd673d2b_SetDate">
    <vt:lpwstr>2019-11-26T19:31:15.9446002Z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d25634b3-ac7d-45d4-8448-6aebe7b3473c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0x0101007EE75C98B5200B4E85C3A85C1ED3C92A</vt:lpwstr>
  </property>
</Properties>
</file>