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230BDA8A" w14:textId="77777777" w:rsidTr="000F1CE9">
        <w:trPr>
          <w:trHeight w:val="281"/>
        </w:trPr>
        <w:tc>
          <w:tcPr>
            <w:tcW w:w="5778" w:type="dxa"/>
          </w:tcPr>
          <w:p w14:paraId="65396DCC" w14:textId="77777777" w:rsidR="006D09B4" w:rsidRPr="001E764F" w:rsidRDefault="006D09B4" w:rsidP="006D09B4">
            <w:pPr>
              <w:rPr>
                <w:rFonts w:ascii="Arial" w:hAnsi="Arial" w:cs="Arial"/>
                <w:b/>
                <w:sz w:val="16"/>
                <w:szCs w:val="16"/>
              </w:rPr>
            </w:pPr>
          </w:p>
        </w:tc>
        <w:tc>
          <w:tcPr>
            <w:tcW w:w="3828" w:type="dxa"/>
            <w:vMerge w:val="restart"/>
          </w:tcPr>
          <w:p w14:paraId="673623E4"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6AC1AC7D" wp14:editId="230335F7">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30C7917B" w14:textId="77777777" w:rsidTr="000F1CE9">
        <w:tc>
          <w:tcPr>
            <w:tcW w:w="5778" w:type="dxa"/>
          </w:tcPr>
          <w:p w14:paraId="18CBAB83"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587F9016" w14:textId="77777777" w:rsidR="006D09B4" w:rsidRPr="001E764F" w:rsidRDefault="006D09B4" w:rsidP="006D09B4">
            <w:pPr>
              <w:rPr>
                <w:rFonts w:ascii="Arial" w:hAnsi="Arial" w:cs="Arial"/>
                <w:b/>
                <w:sz w:val="32"/>
                <w:szCs w:val="32"/>
              </w:rPr>
            </w:pPr>
          </w:p>
        </w:tc>
      </w:tr>
      <w:tr w:rsidR="006D09B4" w:rsidRPr="001E764F" w14:paraId="64489B66" w14:textId="77777777" w:rsidTr="000F1CE9">
        <w:tc>
          <w:tcPr>
            <w:tcW w:w="5778" w:type="dxa"/>
          </w:tcPr>
          <w:p w14:paraId="7324EE54"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6AD7F3C4" w14:textId="77777777" w:rsidR="006D09B4" w:rsidRPr="001E764F" w:rsidRDefault="006D09B4" w:rsidP="006D09B4">
            <w:pPr>
              <w:rPr>
                <w:rFonts w:ascii="Arial" w:hAnsi="Arial" w:cs="Arial"/>
                <w:sz w:val="32"/>
                <w:szCs w:val="32"/>
                <w:lang w:val="fr-CA"/>
              </w:rPr>
            </w:pPr>
          </w:p>
          <w:p w14:paraId="79AF8BBA" w14:textId="77777777" w:rsidR="006D09B4" w:rsidRPr="001E764F" w:rsidRDefault="006D09B4" w:rsidP="006D09B4">
            <w:pPr>
              <w:rPr>
                <w:rFonts w:ascii="Arial" w:hAnsi="Arial" w:cs="Arial"/>
                <w:sz w:val="32"/>
                <w:szCs w:val="32"/>
                <w:lang w:val="fr-CA"/>
              </w:rPr>
            </w:pPr>
          </w:p>
        </w:tc>
        <w:tc>
          <w:tcPr>
            <w:tcW w:w="3828" w:type="dxa"/>
            <w:vMerge/>
          </w:tcPr>
          <w:p w14:paraId="5E906391" w14:textId="77777777" w:rsidR="006D09B4" w:rsidRPr="001E764F" w:rsidRDefault="006D09B4" w:rsidP="006D09B4">
            <w:pPr>
              <w:rPr>
                <w:rFonts w:ascii="Arial" w:hAnsi="Arial" w:cs="Arial"/>
                <w:sz w:val="32"/>
                <w:szCs w:val="32"/>
                <w:lang w:val="fr-CA"/>
              </w:rPr>
            </w:pPr>
          </w:p>
        </w:tc>
      </w:tr>
    </w:tbl>
    <w:p w14:paraId="507E7D35"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010708E3" w14:textId="77777777" w:rsidTr="00657FF0">
        <w:trPr>
          <w:trHeight w:val="260"/>
        </w:trPr>
        <w:tc>
          <w:tcPr>
            <w:tcW w:w="1818" w:type="dxa"/>
            <w:shd w:val="clear" w:color="auto" w:fill="auto"/>
            <w:vAlign w:val="center"/>
          </w:tcPr>
          <w:p w14:paraId="1F963C56"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6195802A" w14:textId="1F34A9FD" w:rsidR="00EA73B7" w:rsidRPr="001D67CE" w:rsidRDefault="00D635AE" w:rsidP="002159B4">
            <w:pPr>
              <w:rPr>
                <w:rFonts w:ascii="Arial" w:hAnsi="Arial" w:cs="Arial"/>
              </w:rPr>
            </w:pPr>
            <w:r>
              <w:rPr>
                <w:rFonts w:ascii="Arial" w:hAnsi="Arial" w:cs="Arial"/>
              </w:rPr>
              <w:t>March 17, 2021</w:t>
            </w:r>
          </w:p>
        </w:tc>
        <w:tc>
          <w:tcPr>
            <w:tcW w:w="1890" w:type="dxa"/>
            <w:shd w:val="clear" w:color="auto" w:fill="auto"/>
            <w:vAlign w:val="center"/>
          </w:tcPr>
          <w:p w14:paraId="3F62ABB1" w14:textId="22B1859E"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47617660" w14:textId="7AFD354C" w:rsidR="00EA73B7" w:rsidRPr="001E764F" w:rsidRDefault="00E1253E" w:rsidP="00280925">
            <w:pPr>
              <w:jc w:val="right"/>
              <w:rPr>
                <w:rFonts w:ascii="Arial" w:hAnsi="Arial" w:cs="Arial"/>
              </w:rPr>
            </w:pPr>
            <w:r>
              <w:rPr>
                <w:rFonts w:ascii="Arial" w:hAnsi="Arial" w:cs="Arial"/>
              </w:rPr>
              <w:t>PL190551</w:t>
            </w:r>
          </w:p>
        </w:tc>
      </w:tr>
    </w:tbl>
    <w:p w14:paraId="05EC8EF0" w14:textId="77777777" w:rsidR="00FD395A" w:rsidRPr="00FD395A" w:rsidRDefault="00FD395A" w:rsidP="00F46275">
      <w:pPr>
        <w:rPr>
          <w:rFonts w:ascii="Arial" w:hAnsi="Arial" w:cs="Arial"/>
        </w:rPr>
      </w:pPr>
    </w:p>
    <w:tbl>
      <w:tblPr>
        <w:tblW w:w="9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8"/>
        <w:gridCol w:w="3360"/>
        <w:gridCol w:w="108"/>
        <w:gridCol w:w="42"/>
        <w:gridCol w:w="5988"/>
        <w:gridCol w:w="108"/>
      </w:tblGrid>
      <w:tr w:rsidR="001D67CE" w:rsidRPr="001E764F" w14:paraId="70123469" w14:textId="77777777" w:rsidTr="00E1253E">
        <w:trPr>
          <w:gridAfter w:val="1"/>
          <w:wAfter w:w="108" w:type="dxa"/>
        </w:trPr>
        <w:tc>
          <w:tcPr>
            <w:tcW w:w="9606" w:type="dxa"/>
            <w:gridSpan w:val="5"/>
            <w:tcBorders>
              <w:top w:val="nil"/>
              <w:left w:val="nil"/>
              <w:bottom w:val="nil"/>
              <w:right w:val="nil"/>
            </w:tcBorders>
          </w:tcPr>
          <w:p w14:paraId="5F342F94"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r w:rsidR="00E1253E" w:rsidRPr="00CB1E86" w14:paraId="77164E5A"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732"/>
        </w:trPr>
        <w:tc>
          <w:tcPr>
            <w:tcW w:w="9606" w:type="dxa"/>
            <w:gridSpan w:val="5"/>
          </w:tcPr>
          <w:p w14:paraId="73170127" w14:textId="1FE99BA8" w:rsidR="00E1253E" w:rsidRDefault="00E1253E" w:rsidP="00E1253E">
            <w:pPr>
              <w:ind w:left="-108"/>
              <w:rPr>
                <w:rFonts w:ascii="Arial" w:hAnsi="Arial" w:cs="Arial"/>
                <w:b/>
              </w:rPr>
            </w:pPr>
          </w:p>
          <w:p w14:paraId="60053221" w14:textId="77777777" w:rsidR="00E1253E" w:rsidRDefault="00E1253E" w:rsidP="00E1253E">
            <w:pPr>
              <w:ind w:left="-108"/>
              <w:rPr>
                <w:rFonts w:ascii="Arial" w:hAnsi="Arial" w:cs="Arial"/>
                <w:b/>
              </w:rPr>
            </w:pPr>
          </w:p>
          <w:p w14:paraId="519A343F" w14:textId="77777777" w:rsidR="00E1253E" w:rsidRDefault="00E1253E" w:rsidP="00E1253E">
            <w:pPr>
              <w:ind w:left="-108"/>
              <w:rPr>
                <w:rFonts w:ascii="Arial" w:hAnsi="Arial" w:cs="Arial"/>
              </w:rPr>
            </w:pPr>
            <w:r w:rsidRPr="00CB1E86">
              <w:rPr>
                <w:rFonts w:ascii="Arial" w:hAnsi="Arial" w:cs="Arial"/>
                <w:b/>
              </w:rPr>
              <w:t xml:space="preserve">PROCEEDING COMMENCED UNDER </w:t>
            </w:r>
            <w:r w:rsidRPr="00CB1E86">
              <w:rPr>
                <w:rFonts w:ascii="Arial" w:hAnsi="Arial" w:cs="Arial"/>
              </w:rPr>
              <w:t xml:space="preserve">subsection 53(19) of the </w:t>
            </w:r>
            <w:r w:rsidRPr="00CB1E86">
              <w:rPr>
                <w:rFonts w:ascii="Arial" w:hAnsi="Arial" w:cs="Arial"/>
                <w:i/>
              </w:rPr>
              <w:t>Planning Act</w:t>
            </w:r>
            <w:r w:rsidRPr="00CB1E86">
              <w:rPr>
                <w:rFonts w:ascii="Arial" w:hAnsi="Arial" w:cs="Arial"/>
              </w:rPr>
              <w:t>, R.S.O. 1990, c. P.13, as amended</w:t>
            </w:r>
          </w:p>
          <w:p w14:paraId="23D32A9B" w14:textId="77777777" w:rsidR="00E1253E" w:rsidRPr="00CB1E86" w:rsidRDefault="00E1253E" w:rsidP="00E1253E">
            <w:pPr>
              <w:ind w:left="-108"/>
              <w:rPr>
                <w:rFonts w:ascii="Arial" w:hAnsi="Arial" w:cs="Arial"/>
              </w:rPr>
            </w:pPr>
          </w:p>
        </w:tc>
      </w:tr>
      <w:tr w:rsidR="00E1253E" w:rsidRPr="00CB1E86" w14:paraId="0F41C500"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468" w:type="dxa"/>
            <w:gridSpan w:val="2"/>
          </w:tcPr>
          <w:p w14:paraId="2DC8CEEE" w14:textId="77777777" w:rsidR="00E1253E" w:rsidRPr="00CB1E86" w:rsidRDefault="00E1253E" w:rsidP="00E1253E">
            <w:pPr>
              <w:ind w:left="-108"/>
              <w:rPr>
                <w:rFonts w:ascii="Arial" w:hAnsi="Arial" w:cs="Arial"/>
              </w:rPr>
            </w:pPr>
            <w:r w:rsidRPr="00CB1E86">
              <w:rPr>
                <w:rFonts w:ascii="Arial" w:hAnsi="Arial" w:cs="Arial"/>
              </w:rPr>
              <w:t>Applicant and Appellant:</w:t>
            </w:r>
          </w:p>
        </w:tc>
        <w:tc>
          <w:tcPr>
            <w:tcW w:w="6138" w:type="dxa"/>
            <w:gridSpan w:val="3"/>
          </w:tcPr>
          <w:p w14:paraId="0BB73A3C" w14:textId="77777777" w:rsidR="00E1253E" w:rsidRPr="00CB1E86" w:rsidRDefault="00E1253E" w:rsidP="00E1253E">
            <w:pPr>
              <w:ind w:left="393"/>
              <w:rPr>
                <w:rFonts w:ascii="Arial" w:hAnsi="Arial" w:cs="Arial"/>
              </w:rPr>
            </w:pPr>
            <w:r w:rsidRPr="00CB1E86">
              <w:rPr>
                <w:rFonts w:ascii="Arial" w:hAnsi="Arial" w:cs="Arial"/>
              </w:rPr>
              <w:t>2628934 Ontario Inc.</w:t>
            </w:r>
          </w:p>
        </w:tc>
      </w:tr>
      <w:tr w:rsidR="00E1253E" w:rsidRPr="00CB1E86" w14:paraId="0991F0A2"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468" w:type="dxa"/>
            <w:gridSpan w:val="2"/>
          </w:tcPr>
          <w:p w14:paraId="692F4320" w14:textId="77777777" w:rsidR="00E1253E" w:rsidRPr="00CB1E86" w:rsidRDefault="00E1253E" w:rsidP="00E1253E">
            <w:pPr>
              <w:ind w:left="-108"/>
              <w:rPr>
                <w:rFonts w:ascii="Arial" w:hAnsi="Arial" w:cs="Arial"/>
              </w:rPr>
            </w:pPr>
            <w:r w:rsidRPr="00CB1E86">
              <w:rPr>
                <w:rFonts w:ascii="Arial" w:hAnsi="Arial" w:cs="Arial"/>
              </w:rPr>
              <w:t>Subject:</w:t>
            </w:r>
          </w:p>
        </w:tc>
        <w:tc>
          <w:tcPr>
            <w:tcW w:w="6138" w:type="dxa"/>
            <w:gridSpan w:val="3"/>
          </w:tcPr>
          <w:p w14:paraId="552F1052" w14:textId="77777777" w:rsidR="00E1253E" w:rsidRPr="00CB1E86" w:rsidRDefault="00E1253E" w:rsidP="00E1253E">
            <w:pPr>
              <w:ind w:left="393"/>
              <w:rPr>
                <w:rFonts w:ascii="Arial" w:hAnsi="Arial" w:cs="Arial"/>
              </w:rPr>
            </w:pPr>
            <w:r w:rsidRPr="00CB1E86">
              <w:rPr>
                <w:rFonts w:ascii="Arial" w:hAnsi="Arial" w:cs="Arial"/>
              </w:rPr>
              <w:t>Consent</w:t>
            </w:r>
          </w:p>
        </w:tc>
      </w:tr>
      <w:tr w:rsidR="00E1253E" w:rsidRPr="00CB1E86" w14:paraId="62233DA2"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468" w:type="dxa"/>
            <w:gridSpan w:val="2"/>
          </w:tcPr>
          <w:p w14:paraId="3EC93E55" w14:textId="77777777" w:rsidR="00E1253E" w:rsidRPr="00CB1E86" w:rsidRDefault="00E1253E" w:rsidP="00E1253E">
            <w:pPr>
              <w:ind w:left="-108"/>
              <w:rPr>
                <w:rFonts w:ascii="Arial" w:hAnsi="Arial" w:cs="Arial"/>
              </w:rPr>
            </w:pPr>
            <w:r w:rsidRPr="00CB1E86">
              <w:rPr>
                <w:rFonts w:ascii="Arial" w:hAnsi="Arial" w:cs="Arial"/>
              </w:rPr>
              <w:t>Property Address/Description:</w:t>
            </w:r>
          </w:p>
        </w:tc>
        <w:tc>
          <w:tcPr>
            <w:tcW w:w="6138" w:type="dxa"/>
            <w:gridSpan w:val="3"/>
          </w:tcPr>
          <w:p w14:paraId="496927A8" w14:textId="77777777" w:rsidR="00E1253E" w:rsidRPr="00CB1E86" w:rsidRDefault="00E1253E" w:rsidP="00E1253E">
            <w:pPr>
              <w:ind w:left="393"/>
              <w:rPr>
                <w:rFonts w:ascii="Arial" w:hAnsi="Arial" w:cs="Arial"/>
              </w:rPr>
            </w:pPr>
            <w:r w:rsidRPr="00CB1E86">
              <w:rPr>
                <w:rFonts w:ascii="Arial" w:hAnsi="Arial" w:cs="Arial"/>
              </w:rPr>
              <w:t>152 Stone Church Road East</w:t>
            </w:r>
          </w:p>
        </w:tc>
      </w:tr>
      <w:tr w:rsidR="00E1253E" w:rsidRPr="00CB1E86" w14:paraId="546D9CF0"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468" w:type="dxa"/>
            <w:gridSpan w:val="2"/>
          </w:tcPr>
          <w:p w14:paraId="7D005560" w14:textId="77777777" w:rsidR="00E1253E" w:rsidRPr="00CB1E86" w:rsidRDefault="00E1253E" w:rsidP="00E1253E">
            <w:pPr>
              <w:ind w:left="-108"/>
              <w:rPr>
                <w:rFonts w:ascii="Arial" w:hAnsi="Arial" w:cs="Arial"/>
              </w:rPr>
            </w:pPr>
            <w:r w:rsidRPr="00CB1E86">
              <w:rPr>
                <w:rFonts w:ascii="Arial" w:hAnsi="Arial" w:cs="Arial"/>
              </w:rPr>
              <w:t xml:space="preserve">Municipality: </w:t>
            </w:r>
          </w:p>
        </w:tc>
        <w:tc>
          <w:tcPr>
            <w:tcW w:w="6138" w:type="dxa"/>
            <w:gridSpan w:val="3"/>
          </w:tcPr>
          <w:p w14:paraId="10D848CD" w14:textId="77777777" w:rsidR="00E1253E" w:rsidRPr="00CB1E86" w:rsidRDefault="00E1253E" w:rsidP="00E1253E">
            <w:pPr>
              <w:ind w:left="393"/>
              <w:rPr>
                <w:rFonts w:ascii="Arial" w:hAnsi="Arial" w:cs="Arial"/>
              </w:rPr>
            </w:pPr>
            <w:r w:rsidRPr="00CB1E86">
              <w:rPr>
                <w:rFonts w:ascii="Arial" w:hAnsi="Arial" w:cs="Arial"/>
              </w:rPr>
              <w:t>City of Hamilton</w:t>
            </w:r>
          </w:p>
        </w:tc>
      </w:tr>
      <w:tr w:rsidR="00E1253E" w:rsidRPr="00CB1E86" w14:paraId="78F58FAD"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468" w:type="dxa"/>
            <w:gridSpan w:val="2"/>
          </w:tcPr>
          <w:p w14:paraId="0C2A936F" w14:textId="77777777" w:rsidR="00E1253E" w:rsidRPr="00CB1E86" w:rsidRDefault="00E1253E" w:rsidP="00E1253E">
            <w:pPr>
              <w:ind w:left="-108"/>
              <w:rPr>
                <w:rFonts w:ascii="Arial" w:hAnsi="Arial" w:cs="Arial"/>
              </w:rPr>
            </w:pPr>
            <w:r w:rsidRPr="00CB1E86">
              <w:rPr>
                <w:rFonts w:ascii="Arial" w:hAnsi="Arial" w:cs="Arial"/>
              </w:rPr>
              <w:t xml:space="preserve">Municipal File No.: </w:t>
            </w:r>
          </w:p>
        </w:tc>
        <w:tc>
          <w:tcPr>
            <w:tcW w:w="6138" w:type="dxa"/>
            <w:gridSpan w:val="3"/>
          </w:tcPr>
          <w:p w14:paraId="5866C08C" w14:textId="77777777" w:rsidR="00E1253E" w:rsidRPr="00CB1E86" w:rsidRDefault="00E1253E" w:rsidP="00E1253E">
            <w:pPr>
              <w:ind w:left="393"/>
              <w:rPr>
                <w:rFonts w:ascii="Arial" w:hAnsi="Arial" w:cs="Arial"/>
              </w:rPr>
            </w:pPr>
            <w:r w:rsidRPr="00CB1E86">
              <w:rPr>
                <w:rFonts w:ascii="Arial" w:hAnsi="Arial" w:cs="Arial"/>
              </w:rPr>
              <w:t>B-86/19</w:t>
            </w:r>
          </w:p>
        </w:tc>
      </w:tr>
      <w:tr w:rsidR="00E1253E" w:rsidRPr="00CB1E86" w14:paraId="25B7DD75"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468" w:type="dxa"/>
            <w:gridSpan w:val="2"/>
          </w:tcPr>
          <w:p w14:paraId="7F95D15C" w14:textId="77777777" w:rsidR="00E1253E" w:rsidRPr="00CB1E86" w:rsidRDefault="00E1253E" w:rsidP="00E1253E">
            <w:pPr>
              <w:ind w:left="-108"/>
              <w:rPr>
                <w:rFonts w:ascii="Arial" w:hAnsi="Arial" w:cs="Arial"/>
              </w:rPr>
            </w:pPr>
            <w:r w:rsidRPr="00CB1E86">
              <w:rPr>
                <w:rFonts w:ascii="Arial" w:hAnsi="Arial" w:cs="Arial"/>
              </w:rPr>
              <w:t xml:space="preserve">LPAT Case No.: </w:t>
            </w:r>
          </w:p>
        </w:tc>
        <w:tc>
          <w:tcPr>
            <w:tcW w:w="6138" w:type="dxa"/>
            <w:gridSpan w:val="3"/>
          </w:tcPr>
          <w:p w14:paraId="318DBDD2" w14:textId="77777777" w:rsidR="00E1253E" w:rsidRPr="00CB1E86" w:rsidRDefault="00E1253E" w:rsidP="00E1253E">
            <w:pPr>
              <w:ind w:left="393"/>
              <w:rPr>
                <w:rFonts w:ascii="Arial" w:hAnsi="Arial" w:cs="Arial"/>
              </w:rPr>
            </w:pPr>
            <w:r w:rsidRPr="00CB1E86">
              <w:rPr>
                <w:rFonts w:ascii="Arial" w:hAnsi="Arial" w:cs="Arial"/>
              </w:rPr>
              <w:t>PL190551</w:t>
            </w:r>
          </w:p>
        </w:tc>
      </w:tr>
      <w:tr w:rsidR="00E1253E" w:rsidRPr="00CB1E86" w14:paraId="3D1DDAF3"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468" w:type="dxa"/>
            <w:gridSpan w:val="2"/>
          </w:tcPr>
          <w:p w14:paraId="19B7A5E0" w14:textId="77777777" w:rsidR="00E1253E" w:rsidRPr="00CB1E86" w:rsidRDefault="00E1253E" w:rsidP="00E1253E">
            <w:pPr>
              <w:ind w:left="-108"/>
              <w:rPr>
                <w:rFonts w:ascii="Arial" w:hAnsi="Arial" w:cs="Arial"/>
              </w:rPr>
            </w:pPr>
            <w:r w:rsidRPr="00CB1E86">
              <w:rPr>
                <w:rFonts w:ascii="Arial" w:hAnsi="Arial" w:cs="Arial"/>
              </w:rPr>
              <w:t xml:space="preserve">LPAT File No.: </w:t>
            </w:r>
          </w:p>
        </w:tc>
        <w:tc>
          <w:tcPr>
            <w:tcW w:w="6138" w:type="dxa"/>
            <w:gridSpan w:val="3"/>
          </w:tcPr>
          <w:p w14:paraId="35634A15" w14:textId="77777777" w:rsidR="00E1253E" w:rsidRPr="00CB1E86" w:rsidRDefault="00E1253E" w:rsidP="00E1253E">
            <w:pPr>
              <w:ind w:left="393"/>
              <w:rPr>
                <w:rFonts w:ascii="Arial" w:hAnsi="Arial" w:cs="Arial"/>
              </w:rPr>
            </w:pPr>
            <w:r w:rsidRPr="00CB1E86">
              <w:rPr>
                <w:rFonts w:ascii="Arial" w:hAnsi="Arial" w:cs="Arial"/>
              </w:rPr>
              <w:t>PL190551</w:t>
            </w:r>
          </w:p>
        </w:tc>
      </w:tr>
      <w:tr w:rsidR="00E1253E" w:rsidRPr="00CB1E86" w14:paraId="36E1214E"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468" w:type="dxa"/>
            <w:gridSpan w:val="2"/>
          </w:tcPr>
          <w:p w14:paraId="3D657584" w14:textId="77777777" w:rsidR="00E1253E" w:rsidRPr="00CB1E86" w:rsidRDefault="00E1253E" w:rsidP="00E1253E">
            <w:pPr>
              <w:ind w:left="-108"/>
              <w:rPr>
                <w:rFonts w:ascii="Arial" w:hAnsi="Arial" w:cs="Arial"/>
              </w:rPr>
            </w:pPr>
            <w:r w:rsidRPr="00CB1E86">
              <w:rPr>
                <w:rFonts w:ascii="Arial" w:hAnsi="Arial" w:cs="Arial"/>
              </w:rPr>
              <w:t xml:space="preserve">LPAT Case Name: </w:t>
            </w:r>
          </w:p>
        </w:tc>
        <w:tc>
          <w:tcPr>
            <w:tcW w:w="6138" w:type="dxa"/>
            <w:gridSpan w:val="3"/>
          </w:tcPr>
          <w:p w14:paraId="785A2F9A" w14:textId="77777777" w:rsidR="00E1253E" w:rsidRPr="00CB1E86" w:rsidRDefault="00E1253E" w:rsidP="00E1253E">
            <w:pPr>
              <w:ind w:left="393"/>
              <w:rPr>
                <w:rFonts w:ascii="Arial" w:hAnsi="Arial" w:cs="Arial"/>
              </w:rPr>
            </w:pPr>
            <w:bookmarkStart w:id="1" w:name="_GoBack"/>
            <w:r w:rsidRPr="00CB1E86">
              <w:rPr>
                <w:rFonts w:ascii="Arial" w:hAnsi="Arial" w:cs="Arial"/>
              </w:rPr>
              <w:t>2628934 Ontario Inc. v. Hamilton (City)</w:t>
            </w:r>
            <w:bookmarkEnd w:id="1"/>
          </w:p>
        </w:tc>
      </w:tr>
      <w:tr w:rsidR="00E1253E" w:rsidRPr="00CB1E86" w14:paraId="2D4F06E7"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Height w:val="732"/>
        </w:trPr>
        <w:tc>
          <w:tcPr>
            <w:tcW w:w="9606" w:type="dxa"/>
            <w:gridSpan w:val="5"/>
          </w:tcPr>
          <w:p w14:paraId="10DF49EC" w14:textId="72588BF1" w:rsidR="00E1253E" w:rsidRDefault="00E1253E" w:rsidP="00E1253E">
            <w:pPr>
              <w:ind w:left="-108"/>
              <w:rPr>
                <w:rFonts w:ascii="Arial" w:hAnsi="Arial" w:cs="Arial"/>
                <w:b/>
              </w:rPr>
            </w:pPr>
          </w:p>
          <w:p w14:paraId="49FD927D" w14:textId="77777777" w:rsidR="00E1253E" w:rsidRDefault="00E1253E" w:rsidP="00E1253E">
            <w:pPr>
              <w:ind w:left="-108"/>
              <w:rPr>
                <w:rFonts w:ascii="Arial" w:hAnsi="Arial" w:cs="Arial"/>
                <w:b/>
              </w:rPr>
            </w:pPr>
          </w:p>
          <w:p w14:paraId="6123966F" w14:textId="77777777" w:rsidR="00E1253E" w:rsidRPr="00CB1E86" w:rsidRDefault="00E1253E" w:rsidP="00E1253E">
            <w:pPr>
              <w:ind w:left="-108"/>
              <w:rPr>
                <w:rFonts w:ascii="Arial" w:hAnsi="Arial" w:cs="Arial"/>
              </w:rPr>
            </w:pPr>
            <w:r w:rsidRPr="00CB1E86">
              <w:rPr>
                <w:rFonts w:ascii="Arial" w:hAnsi="Arial" w:cs="Arial"/>
                <w:b/>
              </w:rPr>
              <w:t xml:space="preserve">PROCEEDING COMMENCED UNDER </w:t>
            </w:r>
            <w:r w:rsidRPr="00CB1E86">
              <w:rPr>
                <w:rFonts w:ascii="Arial" w:hAnsi="Arial" w:cs="Arial"/>
              </w:rPr>
              <w:t xml:space="preserve">subsection 53(19) of the </w:t>
            </w:r>
            <w:r w:rsidRPr="00CB1E86">
              <w:rPr>
                <w:rFonts w:ascii="Arial" w:hAnsi="Arial" w:cs="Arial"/>
                <w:i/>
              </w:rPr>
              <w:t>Planning Act</w:t>
            </w:r>
            <w:r w:rsidRPr="00CB1E86">
              <w:rPr>
                <w:rFonts w:ascii="Arial" w:hAnsi="Arial" w:cs="Arial"/>
              </w:rPr>
              <w:t>, R.S.O. 1990, c. P.13, as amended</w:t>
            </w:r>
          </w:p>
        </w:tc>
      </w:tr>
      <w:tr w:rsidR="00E1253E" w:rsidRPr="00CB1E86" w14:paraId="457430E4"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510" w:type="dxa"/>
            <w:gridSpan w:val="3"/>
          </w:tcPr>
          <w:p w14:paraId="5EAB440A" w14:textId="77777777" w:rsidR="00E1253E" w:rsidRDefault="00E1253E" w:rsidP="00E1253E">
            <w:pPr>
              <w:ind w:left="-108"/>
              <w:rPr>
                <w:rFonts w:ascii="Arial" w:hAnsi="Arial" w:cs="Arial"/>
              </w:rPr>
            </w:pPr>
          </w:p>
          <w:p w14:paraId="4BC898F2" w14:textId="00B2992F" w:rsidR="00E1253E" w:rsidRPr="00CB1E86" w:rsidRDefault="00E1253E" w:rsidP="00E1253E">
            <w:pPr>
              <w:ind w:left="-108"/>
              <w:rPr>
                <w:rFonts w:ascii="Arial" w:hAnsi="Arial" w:cs="Arial"/>
              </w:rPr>
            </w:pPr>
            <w:r w:rsidRPr="00CB1E86">
              <w:rPr>
                <w:rFonts w:ascii="Arial" w:hAnsi="Arial" w:cs="Arial"/>
              </w:rPr>
              <w:t>Applicant and Appellant:</w:t>
            </w:r>
          </w:p>
        </w:tc>
        <w:tc>
          <w:tcPr>
            <w:tcW w:w="6096" w:type="dxa"/>
            <w:gridSpan w:val="2"/>
          </w:tcPr>
          <w:p w14:paraId="134BABAE" w14:textId="77777777" w:rsidR="00E1253E" w:rsidRDefault="00E1253E" w:rsidP="00E1253E">
            <w:pPr>
              <w:ind w:left="345"/>
              <w:rPr>
                <w:rFonts w:ascii="Arial" w:hAnsi="Arial" w:cs="Arial"/>
              </w:rPr>
            </w:pPr>
          </w:p>
          <w:p w14:paraId="69A04B43" w14:textId="6B5E14AA" w:rsidR="00E1253E" w:rsidRPr="00CB1E86" w:rsidRDefault="00E1253E" w:rsidP="00E1253E">
            <w:pPr>
              <w:ind w:left="345"/>
              <w:rPr>
                <w:rFonts w:ascii="Arial" w:hAnsi="Arial" w:cs="Arial"/>
              </w:rPr>
            </w:pPr>
            <w:r w:rsidRPr="00CB1E86">
              <w:rPr>
                <w:rFonts w:ascii="Arial" w:hAnsi="Arial" w:cs="Arial"/>
              </w:rPr>
              <w:t>2628934 Ontario Inc.</w:t>
            </w:r>
          </w:p>
        </w:tc>
      </w:tr>
      <w:tr w:rsidR="00E1253E" w:rsidRPr="00CB1E86" w14:paraId="6F65309A"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510" w:type="dxa"/>
            <w:gridSpan w:val="3"/>
          </w:tcPr>
          <w:p w14:paraId="158475B8" w14:textId="77777777" w:rsidR="00E1253E" w:rsidRPr="00CB1E86" w:rsidRDefault="00E1253E" w:rsidP="00E1253E">
            <w:pPr>
              <w:ind w:left="-108"/>
              <w:rPr>
                <w:rFonts w:ascii="Arial" w:hAnsi="Arial" w:cs="Arial"/>
              </w:rPr>
            </w:pPr>
            <w:r w:rsidRPr="00CB1E86">
              <w:rPr>
                <w:rFonts w:ascii="Arial" w:hAnsi="Arial" w:cs="Arial"/>
              </w:rPr>
              <w:t>Subject:</w:t>
            </w:r>
          </w:p>
        </w:tc>
        <w:tc>
          <w:tcPr>
            <w:tcW w:w="6096" w:type="dxa"/>
            <w:gridSpan w:val="2"/>
          </w:tcPr>
          <w:p w14:paraId="15A4D3FC" w14:textId="77777777" w:rsidR="00E1253E" w:rsidRPr="00CB1E86" w:rsidRDefault="00E1253E" w:rsidP="00E1253E">
            <w:pPr>
              <w:ind w:left="345"/>
              <w:rPr>
                <w:rFonts w:ascii="Arial" w:hAnsi="Arial" w:cs="Arial"/>
              </w:rPr>
            </w:pPr>
            <w:r w:rsidRPr="00CB1E86">
              <w:rPr>
                <w:rFonts w:ascii="Arial" w:hAnsi="Arial" w:cs="Arial"/>
              </w:rPr>
              <w:t>Consent</w:t>
            </w:r>
          </w:p>
        </w:tc>
      </w:tr>
      <w:tr w:rsidR="00E1253E" w:rsidRPr="00CB1E86" w14:paraId="3B80F3BF"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510" w:type="dxa"/>
            <w:gridSpan w:val="3"/>
          </w:tcPr>
          <w:p w14:paraId="18067DC8" w14:textId="77777777" w:rsidR="00E1253E" w:rsidRPr="00CB1E86" w:rsidRDefault="00E1253E" w:rsidP="00E1253E">
            <w:pPr>
              <w:ind w:left="-108"/>
              <w:rPr>
                <w:rFonts w:ascii="Arial" w:hAnsi="Arial" w:cs="Arial"/>
              </w:rPr>
            </w:pPr>
            <w:r w:rsidRPr="00CB1E86">
              <w:rPr>
                <w:rFonts w:ascii="Arial" w:hAnsi="Arial" w:cs="Arial"/>
              </w:rPr>
              <w:t>Property Address/Description:</w:t>
            </w:r>
          </w:p>
        </w:tc>
        <w:tc>
          <w:tcPr>
            <w:tcW w:w="6096" w:type="dxa"/>
            <w:gridSpan w:val="2"/>
          </w:tcPr>
          <w:p w14:paraId="4C14229E" w14:textId="77777777" w:rsidR="00E1253E" w:rsidRPr="00CB1E86" w:rsidRDefault="00E1253E" w:rsidP="00E1253E">
            <w:pPr>
              <w:ind w:left="345"/>
              <w:rPr>
                <w:rFonts w:ascii="Arial" w:hAnsi="Arial" w:cs="Arial"/>
              </w:rPr>
            </w:pPr>
            <w:r w:rsidRPr="00CB1E86">
              <w:rPr>
                <w:rFonts w:ascii="Arial" w:hAnsi="Arial" w:cs="Arial"/>
              </w:rPr>
              <w:t>152 Stone Church Road East</w:t>
            </w:r>
          </w:p>
        </w:tc>
      </w:tr>
      <w:tr w:rsidR="00E1253E" w:rsidRPr="00CB1E86" w14:paraId="5F91ABE0"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510" w:type="dxa"/>
            <w:gridSpan w:val="3"/>
          </w:tcPr>
          <w:p w14:paraId="5D13B2E3" w14:textId="77777777" w:rsidR="00E1253E" w:rsidRPr="00CB1E86" w:rsidRDefault="00E1253E" w:rsidP="00E1253E">
            <w:pPr>
              <w:ind w:left="-108"/>
              <w:rPr>
                <w:rFonts w:ascii="Arial" w:hAnsi="Arial" w:cs="Arial"/>
              </w:rPr>
            </w:pPr>
            <w:r w:rsidRPr="00CB1E86">
              <w:rPr>
                <w:rFonts w:ascii="Arial" w:hAnsi="Arial" w:cs="Arial"/>
              </w:rPr>
              <w:t xml:space="preserve">Municipality: </w:t>
            </w:r>
          </w:p>
        </w:tc>
        <w:tc>
          <w:tcPr>
            <w:tcW w:w="6096" w:type="dxa"/>
            <w:gridSpan w:val="2"/>
          </w:tcPr>
          <w:p w14:paraId="57C299C3" w14:textId="77777777" w:rsidR="00E1253E" w:rsidRPr="00CB1E86" w:rsidRDefault="00E1253E" w:rsidP="00E1253E">
            <w:pPr>
              <w:ind w:left="345"/>
              <w:rPr>
                <w:rFonts w:ascii="Arial" w:hAnsi="Arial" w:cs="Arial"/>
              </w:rPr>
            </w:pPr>
            <w:r w:rsidRPr="00CB1E86">
              <w:rPr>
                <w:rFonts w:ascii="Arial" w:hAnsi="Arial" w:cs="Arial"/>
              </w:rPr>
              <w:t>City of Hamilton</w:t>
            </w:r>
          </w:p>
        </w:tc>
      </w:tr>
      <w:tr w:rsidR="00E1253E" w:rsidRPr="00CB1E86" w14:paraId="1420FD6E"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510" w:type="dxa"/>
            <w:gridSpan w:val="3"/>
          </w:tcPr>
          <w:p w14:paraId="727B88A3" w14:textId="77777777" w:rsidR="00E1253E" w:rsidRPr="00CB1E86" w:rsidRDefault="00E1253E" w:rsidP="00E1253E">
            <w:pPr>
              <w:ind w:left="-108"/>
              <w:rPr>
                <w:rFonts w:ascii="Arial" w:hAnsi="Arial" w:cs="Arial"/>
              </w:rPr>
            </w:pPr>
            <w:r w:rsidRPr="00CB1E86">
              <w:rPr>
                <w:rFonts w:ascii="Arial" w:hAnsi="Arial" w:cs="Arial"/>
              </w:rPr>
              <w:t xml:space="preserve">Municipal File No.: </w:t>
            </w:r>
          </w:p>
        </w:tc>
        <w:tc>
          <w:tcPr>
            <w:tcW w:w="6096" w:type="dxa"/>
            <w:gridSpan w:val="2"/>
          </w:tcPr>
          <w:p w14:paraId="0835D45F" w14:textId="77777777" w:rsidR="00E1253E" w:rsidRPr="00CB1E86" w:rsidRDefault="00E1253E" w:rsidP="00E1253E">
            <w:pPr>
              <w:ind w:left="345"/>
              <w:rPr>
                <w:rFonts w:ascii="Arial" w:hAnsi="Arial" w:cs="Arial"/>
              </w:rPr>
            </w:pPr>
            <w:r w:rsidRPr="00CB1E86">
              <w:rPr>
                <w:rFonts w:ascii="Arial" w:hAnsi="Arial" w:cs="Arial"/>
              </w:rPr>
              <w:t>B-87/19</w:t>
            </w:r>
          </w:p>
        </w:tc>
      </w:tr>
      <w:tr w:rsidR="00E1253E" w:rsidRPr="00CB1E86" w14:paraId="0E862118"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510" w:type="dxa"/>
            <w:gridSpan w:val="3"/>
          </w:tcPr>
          <w:p w14:paraId="50A73249" w14:textId="77777777" w:rsidR="00E1253E" w:rsidRPr="00CB1E86" w:rsidRDefault="00E1253E" w:rsidP="00E1253E">
            <w:pPr>
              <w:ind w:left="-108"/>
              <w:rPr>
                <w:rFonts w:ascii="Arial" w:hAnsi="Arial" w:cs="Arial"/>
              </w:rPr>
            </w:pPr>
            <w:r w:rsidRPr="00CB1E86">
              <w:rPr>
                <w:rFonts w:ascii="Arial" w:hAnsi="Arial" w:cs="Arial"/>
              </w:rPr>
              <w:t xml:space="preserve">LPAT Case No.: </w:t>
            </w:r>
          </w:p>
        </w:tc>
        <w:tc>
          <w:tcPr>
            <w:tcW w:w="6096" w:type="dxa"/>
            <w:gridSpan w:val="2"/>
          </w:tcPr>
          <w:p w14:paraId="394105BE" w14:textId="77777777" w:rsidR="00E1253E" w:rsidRPr="00CB1E86" w:rsidRDefault="00E1253E" w:rsidP="00E1253E">
            <w:pPr>
              <w:ind w:left="345"/>
              <w:rPr>
                <w:rFonts w:ascii="Arial" w:hAnsi="Arial" w:cs="Arial"/>
              </w:rPr>
            </w:pPr>
            <w:r w:rsidRPr="00CB1E86">
              <w:rPr>
                <w:rFonts w:ascii="Arial" w:hAnsi="Arial" w:cs="Arial"/>
              </w:rPr>
              <w:t>PL190551</w:t>
            </w:r>
          </w:p>
        </w:tc>
      </w:tr>
      <w:tr w:rsidR="00E1253E" w:rsidRPr="00CB1E86" w14:paraId="5BEFFF6A"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510" w:type="dxa"/>
            <w:gridSpan w:val="3"/>
          </w:tcPr>
          <w:p w14:paraId="4AB04BBE" w14:textId="77777777" w:rsidR="00E1253E" w:rsidRPr="00CB1E86" w:rsidRDefault="00E1253E" w:rsidP="00E1253E">
            <w:pPr>
              <w:ind w:left="-108"/>
              <w:rPr>
                <w:rFonts w:ascii="Arial" w:hAnsi="Arial" w:cs="Arial"/>
              </w:rPr>
            </w:pPr>
            <w:r w:rsidRPr="00CB1E86">
              <w:rPr>
                <w:rFonts w:ascii="Arial" w:hAnsi="Arial" w:cs="Arial"/>
              </w:rPr>
              <w:t xml:space="preserve">LPAT File No.: </w:t>
            </w:r>
          </w:p>
        </w:tc>
        <w:tc>
          <w:tcPr>
            <w:tcW w:w="6096" w:type="dxa"/>
            <w:gridSpan w:val="2"/>
          </w:tcPr>
          <w:p w14:paraId="68569070" w14:textId="77777777" w:rsidR="00E1253E" w:rsidRPr="00CB1E86" w:rsidRDefault="00E1253E" w:rsidP="00E1253E">
            <w:pPr>
              <w:ind w:left="345"/>
              <w:rPr>
                <w:rFonts w:ascii="Arial" w:hAnsi="Arial" w:cs="Arial"/>
              </w:rPr>
            </w:pPr>
            <w:r w:rsidRPr="00CB1E86">
              <w:rPr>
                <w:rFonts w:ascii="Arial" w:hAnsi="Arial" w:cs="Arial"/>
              </w:rPr>
              <w:t>PL190552</w:t>
            </w:r>
          </w:p>
        </w:tc>
      </w:tr>
      <w:tr w:rsidR="00E1253E" w14:paraId="4787E26E"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cantSplit/>
          <w:trHeight w:val="732"/>
        </w:trPr>
        <w:tc>
          <w:tcPr>
            <w:tcW w:w="9606" w:type="dxa"/>
            <w:gridSpan w:val="5"/>
          </w:tcPr>
          <w:p w14:paraId="01D33E18" w14:textId="465C19D2" w:rsidR="00E1253E" w:rsidRDefault="00E1253E" w:rsidP="00E1253E">
            <w:pPr>
              <w:rPr>
                <w:rFonts w:ascii="Arial" w:hAnsi="Arial" w:cs="Arial"/>
                <w:b/>
              </w:rPr>
            </w:pPr>
          </w:p>
          <w:p w14:paraId="565768B3" w14:textId="77777777" w:rsidR="00E1253E" w:rsidRDefault="00E1253E" w:rsidP="00E1253E">
            <w:pPr>
              <w:rPr>
                <w:rFonts w:ascii="Arial" w:hAnsi="Arial" w:cs="Arial"/>
                <w:b/>
              </w:rPr>
            </w:pPr>
          </w:p>
          <w:p w14:paraId="54FB4392" w14:textId="77777777" w:rsidR="00E1253E" w:rsidRDefault="00E1253E" w:rsidP="00E1253E">
            <w:pPr>
              <w:rPr>
                <w:rFonts w:ascii="Arial" w:hAnsi="Arial" w:cs="Arial"/>
              </w:rPr>
            </w:pPr>
            <w:r w:rsidRPr="00CB1E86">
              <w:rPr>
                <w:rFonts w:ascii="Arial" w:hAnsi="Arial" w:cs="Arial"/>
                <w:b/>
              </w:rPr>
              <w:t xml:space="preserve">PROCEEDING COMMENCED UNDER </w:t>
            </w:r>
            <w:r w:rsidRPr="00CB1E86">
              <w:rPr>
                <w:rFonts w:ascii="Arial" w:hAnsi="Arial" w:cs="Arial"/>
              </w:rPr>
              <w:t xml:space="preserve">subsection 45(12) of the </w:t>
            </w:r>
            <w:r w:rsidRPr="00CB1E86">
              <w:rPr>
                <w:rFonts w:ascii="Arial" w:hAnsi="Arial" w:cs="Arial"/>
                <w:i/>
              </w:rPr>
              <w:t>Planning Act</w:t>
            </w:r>
            <w:r w:rsidRPr="00CB1E86">
              <w:rPr>
                <w:rFonts w:ascii="Arial" w:hAnsi="Arial" w:cs="Arial"/>
              </w:rPr>
              <w:t>, R.S.O. 1990, c. P.13, as amended</w:t>
            </w:r>
          </w:p>
          <w:p w14:paraId="7132DE52" w14:textId="5905F7AB" w:rsidR="00E1253E" w:rsidRPr="000F1CE9" w:rsidRDefault="00E1253E" w:rsidP="00E1253E">
            <w:pPr>
              <w:rPr>
                <w:rFonts w:ascii="Arial" w:hAnsi="Arial" w:cs="Arial"/>
              </w:rPr>
            </w:pPr>
          </w:p>
        </w:tc>
      </w:tr>
      <w:tr w:rsidR="00E1253E" w14:paraId="2D457AA5"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3468" w:type="dxa"/>
            <w:gridSpan w:val="2"/>
          </w:tcPr>
          <w:p w14:paraId="43066C81" w14:textId="506C04C3" w:rsidR="00E1253E" w:rsidRPr="000F1CE9" w:rsidRDefault="00E1253E" w:rsidP="00E1253E">
            <w:pPr>
              <w:rPr>
                <w:rFonts w:ascii="Arial" w:hAnsi="Arial" w:cs="Arial"/>
              </w:rPr>
            </w:pPr>
            <w:r w:rsidRPr="00CB1E86">
              <w:rPr>
                <w:rFonts w:ascii="Arial" w:hAnsi="Arial" w:cs="Arial"/>
              </w:rPr>
              <w:t>Applicant and Appellant:</w:t>
            </w:r>
          </w:p>
        </w:tc>
        <w:tc>
          <w:tcPr>
            <w:tcW w:w="6138" w:type="dxa"/>
            <w:gridSpan w:val="3"/>
          </w:tcPr>
          <w:p w14:paraId="687D62D5" w14:textId="5AFF9630" w:rsidR="00E1253E" w:rsidRPr="000F1CE9" w:rsidRDefault="00E1253E" w:rsidP="00E1253E">
            <w:pPr>
              <w:ind w:left="501"/>
              <w:rPr>
                <w:rFonts w:ascii="Arial" w:hAnsi="Arial" w:cs="Arial"/>
              </w:rPr>
            </w:pPr>
            <w:r w:rsidRPr="00CB1E86">
              <w:rPr>
                <w:rFonts w:ascii="Arial" w:hAnsi="Arial" w:cs="Arial"/>
              </w:rPr>
              <w:t>2628934 Ontario Inc.</w:t>
            </w:r>
          </w:p>
        </w:tc>
      </w:tr>
      <w:tr w:rsidR="00E1253E" w14:paraId="05CA6599"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3468" w:type="dxa"/>
            <w:gridSpan w:val="2"/>
          </w:tcPr>
          <w:p w14:paraId="1281A6F9" w14:textId="40A8591A" w:rsidR="00E1253E" w:rsidRPr="00CB1E86" w:rsidRDefault="00E1253E" w:rsidP="00E1253E">
            <w:pPr>
              <w:rPr>
                <w:rFonts w:ascii="Arial" w:hAnsi="Arial" w:cs="Arial"/>
              </w:rPr>
            </w:pPr>
            <w:r w:rsidRPr="00CB1E86">
              <w:rPr>
                <w:rFonts w:ascii="Arial" w:hAnsi="Arial" w:cs="Arial"/>
              </w:rPr>
              <w:t>Subject:</w:t>
            </w:r>
          </w:p>
        </w:tc>
        <w:tc>
          <w:tcPr>
            <w:tcW w:w="6138" w:type="dxa"/>
            <w:gridSpan w:val="3"/>
          </w:tcPr>
          <w:p w14:paraId="12EF6A36" w14:textId="156F0EF8" w:rsidR="00E1253E" w:rsidRPr="00CB1E86" w:rsidRDefault="00E1253E" w:rsidP="00E1253E">
            <w:pPr>
              <w:ind w:left="501"/>
              <w:rPr>
                <w:rFonts w:ascii="Arial" w:hAnsi="Arial" w:cs="Arial"/>
              </w:rPr>
            </w:pPr>
            <w:r w:rsidRPr="00CB1E86">
              <w:rPr>
                <w:rFonts w:ascii="Arial" w:hAnsi="Arial" w:cs="Arial"/>
              </w:rPr>
              <w:t>Minor Variance</w:t>
            </w:r>
          </w:p>
        </w:tc>
      </w:tr>
      <w:tr w:rsidR="00E1253E" w14:paraId="0658CA3C"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3468" w:type="dxa"/>
            <w:gridSpan w:val="2"/>
          </w:tcPr>
          <w:p w14:paraId="43326AA1" w14:textId="1753086A" w:rsidR="00E1253E" w:rsidRPr="00CB1E86" w:rsidRDefault="00E1253E" w:rsidP="00E1253E">
            <w:pPr>
              <w:rPr>
                <w:rFonts w:ascii="Arial" w:hAnsi="Arial" w:cs="Arial"/>
              </w:rPr>
            </w:pPr>
            <w:r w:rsidRPr="00CB1E86">
              <w:rPr>
                <w:rFonts w:ascii="Arial" w:hAnsi="Arial" w:cs="Arial"/>
              </w:rPr>
              <w:t>Variance from By-law No.:</w:t>
            </w:r>
          </w:p>
        </w:tc>
        <w:tc>
          <w:tcPr>
            <w:tcW w:w="6138" w:type="dxa"/>
            <w:gridSpan w:val="3"/>
          </w:tcPr>
          <w:p w14:paraId="0031821A" w14:textId="67767739" w:rsidR="00E1253E" w:rsidRPr="00CB1E86" w:rsidRDefault="00E1253E" w:rsidP="00E1253E">
            <w:pPr>
              <w:ind w:left="501"/>
              <w:rPr>
                <w:rFonts w:ascii="Arial" w:hAnsi="Arial" w:cs="Arial"/>
              </w:rPr>
            </w:pPr>
            <w:r>
              <w:rPr>
                <w:rFonts w:ascii="Arial" w:hAnsi="Arial" w:cs="Arial"/>
              </w:rPr>
              <w:t>6593</w:t>
            </w:r>
          </w:p>
        </w:tc>
      </w:tr>
      <w:tr w:rsidR="00E1253E" w14:paraId="67910FD1"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3468" w:type="dxa"/>
            <w:gridSpan w:val="2"/>
          </w:tcPr>
          <w:p w14:paraId="2C49198E" w14:textId="4318AB6E" w:rsidR="00E1253E" w:rsidRPr="00CB1E86" w:rsidRDefault="00E1253E" w:rsidP="00E1253E">
            <w:pPr>
              <w:rPr>
                <w:rFonts w:ascii="Arial" w:hAnsi="Arial" w:cs="Arial"/>
              </w:rPr>
            </w:pPr>
            <w:r w:rsidRPr="00CB1E86">
              <w:rPr>
                <w:rFonts w:ascii="Arial" w:hAnsi="Arial" w:cs="Arial"/>
              </w:rPr>
              <w:t xml:space="preserve">Property Address/Description: </w:t>
            </w:r>
          </w:p>
        </w:tc>
        <w:tc>
          <w:tcPr>
            <w:tcW w:w="6138" w:type="dxa"/>
            <w:gridSpan w:val="3"/>
          </w:tcPr>
          <w:p w14:paraId="0B661DC7" w14:textId="24756105" w:rsidR="00E1253E" w:rsidRDefault="00E1253E" w:rsidP="00E1253E">
            <w:pPr>
              <w:ind w:left="501"/>
              <w:rPr>
                <w:rFonts w:ascii="Arial" w:hAnsi="Arial" w:cs="Arial"/>
              </w:rPr>
            </w:pPr>
            <w:r w:rsidRPr="00CB1E86">
              <w:rPr>
                <w:rFonts w:ascii="Arial" w:hAnsi="Arial" w:cs="Arial"/>
              </w:rPr>
              <w:t>152 Stone Church Road East</w:t>
            </w:r>
          </w:p>
        </w:tc>
      </w:tr>
      <w:tr w:rsidR="00E1253E" w14:paraId="26C0A37E"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3468" w:type="dxa"/>
            <w:gridSpan w:val="2"/>
          </w:tcPr>
          <w:p w14:paraId="49FCF613" w14:textId="474CD77D" w:rsidR="00E1253E" w:rsidRPr="00CB1E86" w:rsidRDefault="00E1253E" w:rsidP="00E1253E">
            <w:pPr>
              <w:rPr>
                <w:rFonts w:ascii="Arial" w:hAnsi="Arial" w:cs="Arial"/>
              </w:rPr>
            </w:pPr>
            <w:r w:rsidRPr="00CB1E86">
              <w:rPr>
                <w:rFonts w:ascii="Arial" w:hAnsi="Arial" w:cs="Arial"/>
              </w:rPr>
              <w:lastRenderedPageBreak/>
              <w:t xml:space="preserve">Municipality: </w:t>
            </w:r>
          </w:p>
        </w:tc>
        <w:tc>
          <w:tcPr>
            <w:tcW w:w="6138" w:type="dxa"/>
            <w:gridSpan w:val="3"/>
          </w:tcPr>
          <w:p w14:paraId="08790BA6" w14:textId="69F3B185" w:rsidR="00E1253E" w:rsidRPr="00CB1E86" w:rsidRDefault="00E1253E" w:rsidP="00E1253E">
            <w:pPr>
              <w:ind w:left="501"/>
              <w:rPr>
                <w:rFonts w:ascii="Arial" w:hAnsi="Arial" w:cs="Arial"/>
              </w:rPr>
            </w:pPr>
            <w:r w:rsidRPr="00CB1E86">
              <w:rPr>
                <w:rFonts w:ascii="Arial" w:hAnsi="Arial" w:cs="Arial"/>
              </w:rPr>
              <w:t>City of Hamilton</w:t>
            </w:r>
          </w:p>
        </w:tc>
      </w:tr>
      <w:tr w:rsidR="00E1253E" w14:paraId="43AFA8AB"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3468" w:type="dxa"/>
            <w:gridSpan w:val="2"/>
          </w:tcPr>
          <w:p w14:paraId="4673004C" w14:textId="44E6796B" w:rsidR="00E1253E" w:rsidRPr="00CB1E86" w:rsidRDefault="00E1253E" w:rsidP="00E1253E">
            <w:pPr>
              <w:rPr>
                <w:rFonts w:ascii="Arial" w:hAnsi="Arial" w:cs="Arial"/>
              </w:rPr>
            </w:pPr>
            <w:r w:rsidRPr="00CB1E86">
              <w:rPr>
                <w:rFonts w:ascii="Arial" w:hAnsi="Arial" w:cs="Arial"/>
              </w:rPr>
              <w:t xml:space="preserve">Municipal File No.: </w:t>
            </w:r>
          </w:p>
        </w:tc>
        <w:tc>
          <w:tcPr>
            <w:tcW w:w="6138" w:type="dxa"/>
            <w:gridSpan w:val="3"/>
          </w:tcPr>
          <w:p w14:paraId="44DF4039" w14:textId="58CCDAC8" w:rsidR="00E1253E" w:rsidRPr="00CB1E86" w:rsidRDefault="00E1253E" w:rsidP="00E1253E">
            <w:pPr>
              <w:ind w:left="501"/>
              <w:rPr>
                <w:rFonts w:ascii="Arial" w:hAnsi="Arial" w:cs="Arial"/>
              </w:rPr>
            </w:pPr>
            <w:r w:rsidRPr="00CB1E86">
              <w:rPr>
                <w:rFonts w:ascii="Arial" w:hAnsi="Arial" w:cs="Arial"/>
              </w:rPr>
              <w:t>A-399/19</w:t>
            </w:r>
          </w:p>
        </w:tc>
      </w:tr>
      <w:tr w:rsidR="00E1253E" w14:paraId="6D80E79B"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3468" w:type="dxa"/>
            <w:gridSpan w:val="2"/>
          </w:tcPr>
          <w:p w14:paraId="74EE7A77" w14:textId="05420931" w:rsidR="00E1253E" w:rsidRPr="00CB1E86" w:rsidRDefault="00E1253E" w:rsidP="00E1253E">
            <w:pPr>
              <w:rPr>
                <w:rFonts w:ascii="Arial" w:hAnsi="Arial" w:cs="Arial"/>
              </w:rPr>
            </w:pPr>
            <w:r w:rsidRPr="00CB1E86">
              <w:rPr>
                <w:rFonts w:ascii="Arial" w:hAnsi="Arial" w:cs="Arial"/>
              </w:rPr>
              <w:t xml:space="preserve">LPAT Case No.: </w:t>
            </w:r>
          </w:p>
        </w:tc>
        <w:tc>
          <w:tcPr>
            <w:tcW w:w="6138" w:type="dxa"/>
            <w:gridSpan w:val="3"/>
          </w:tcPr>
          <w:p w14:paraId="7BDD227C" w14:textId="51675539" w:rsidR="00E1253E" w:rsidRPr="00CB1E86" w:rsidRDefault="00E1253E" w:rsidP="00E1253E">
            <w:pPr>
              <w:ind w:left="501"/>
              <w:rPr>
                <w:rFonts w:ascii="Arial" w:hAnsi="Arial" w:cs="Arial"/>
              </w:rPr>
            </w:pPr>
            <w:r w:rsidRPr="00CB1E86">
              <w:rPr>
                <w:rFonts w:ascii="Arial" w:hAnsi="Arial" w:cs="Arial"/>
              </w:rPr>
              <w:t>PL190551</w:t>
            </w:r>
          </w:p>
        </w:tc>
      </w:tr>
      <w:tr w:rsidR="00E1253E" w14:paraId="5A94AAA2" w14:textId="77777777" w:rsidTr="00E12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8" w:type="dxa"/>
        </w:trPr>
        <w:tc>
          <w:tcPr>
            <w:tcW w:w="3468" w:type="dxa"/>
            <w:gridSpan w:val="2"/>
          </w:tcPr>
          <w:p w14:paraId="7C1AF25E" w14:textId="1462F93F" w:rsidR="00E1253E" w:rsidRPr="00CB1E86" w:rsidRDefault="00E1253E" w:rsidP="00E1253E">
            <w:pPr>
              <w:rPr>
                <w:rFonts w:ascii="Arial" w:hAnsi="Arial" w:cs="Arial"/>
              </w:rPr>
            </w:pPr>
            <w:r w:rsidRPr="00CB1E86">
              <w:rPr>
                <w:rFonts w:ascii="Arial" w:hAnsi="Arial" w:cs="Arial"/>
              </w:rPr>
              <w:t xml:space="preserve">LPAT File No.: </w:t>
            </w:r>
          </w:p>
        </w:tc>
        <w:tc>
          <w:tcPr>
            <w:tcW w:w="6138" w:type="dxa"/>
            <w:gridSpan w:val="3"/>
          </w:tcPr>
          <w:p w14:paraId="30D0F005" w14:textId="3400AB0C" w:rsidR="00E1253E" w:rsidRPr="00CB1E86" w:rsidRDefault="00E1253E" w:rsidP="00E1253E">
            <w:pPr>
              <w:ind w:left="501"/>
              <w:rPr>
                <w:rFonts w:ascii="Arial" w:hAnsi="Arial" w:cs="Arial"/>
              </w:rPr>
            </w:pPr>
            <w:r w:rsidRPr="00CB1E86">
              <w:rPr>
                <w:rFonts w:ascii="Arial" w:hAnsi="Arial" w:cs="Arial"/>
              </w:rPr>
              <w:t>PL200043</w:t>
            </w:r>
          </w:p>
        </w:tc>
      </w:tr>
    </w:tbl>
    <w:p w14:paraId="5D7EC9AE"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B268A7" w:rsidRPr="001E764F" w14:paraId="3C3A7C78" w14:textId="77777777" w:rsidTr="008E10BC">
        <w:tc>
          <w:tcPr>
            <w:tcW w:w="3936" w:type="dxa"/>
          </w:tcPr>
          <w:p w14:paraId="6484CA80" w14:textId="77777777" w:rsidR="00411AA2" w:rsidRDefault="00411AA2" w:rsidP="00270AAE">
            <w:pPr>
              <w:rPr>
                <w:rFonts w:ascii="Arial" w:hAnsi="Arial" w:cs="Arial"/>
                <w:b/>
              </w:rPr>
            </w:pPr>
          </w:p>
          <w:p w14:paraId="640C0BD3" w14:textId="78A1714F" w:rsidR="00B268A7" w:rsidRPr="00C940BC" w:rsidRDefault="00B268A7" w:rsidP="00270AAE">
            <w:pPr>
              <w:rPr>
                <w:rFonts w:ascii="Arial" w:hAnsi="Arial" w:cs="Arial"/>
              </w:rPr>
            </w:pPr>
            <w:r w:rsidRPr="001E764F">
              <w:rPr>
                <w:rFonts w:ascii="Arial" w:hAnsi="Arial" w:cs="Arial"/>
                <w:b/>
              </w:rPr>
              <w:t>Heard:</w:t>
            </w:r>
          </w:p>
        </w:tc>
        <w:tc>
          <w:tcPr>
            <w:tcW w:w="5640" w:type="dxa"/>
          </w:tcPr>
          <w:p w14:paraId="6387CF4F" w14:textId="77777777" w:rsidR="00411AA2" w:rsidRDefault="00411AA2" w:rsidP="00270AAE">
            <w:pPr>
              <w:rPr>
                <w:rFonts w:ascii="Arial" w:hAnsi="Arial" w:cs="Arial"/>
              </w:rPr>
            </w:pPr>
          </w:p>
          <w:p w14:paraId="3D2E81E8" w14:textId="5559726E" w:rsidR="00B268A7" w:rsidRPr="001E764F" w:rsidRDefault="00E1253E" w:rsidP="00270AAE">
            <w:pPr>
              <w:rPr>
                <w:rFonts w:ascii="Arial" w:hAnsi="Arial" w:cs="Arial"/>
              </w:rPr>
            </w:pPr>
            <w:r>
              <w:rPr>
                <w:rFonts w:ascii="Arial" w:hAnsi="Arial" w:cs="Arial"/>
              </w:rPr>
              <w:t>September 29, 2020 by video hearing</w:t>
            </w:r>
          </w:p>
        </w:tc>
      </w:tr>
    </w:tbl>
    <w:p w14:paraId="2AC5E39B"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3936"/>
        <w:gridCol w:w="5670"/>
      </w:tblGrid>
      <w:tr w:rsidR="0089782A" w:rsidRPr="001E764F" w14:paraId="264B70A6" w14:textId="77777777" w:rsidTr="008E10BC">
        <w:tc>
          <w:tcPr>
            <w:tcW w:w="3936" w:type="dxa"/>
          </w:tcPr>
          <w:bookmarkEnd w:id="0"/>
          <w:p w14:paraId="04B98D40" w14:textId="77777777"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5D6C7EDB" w14:textId="77777777" w:rsidR="0089782A" w:rsidRPr="001E764F" w:rsidRDefault="0089782A" w:rsidP="00270AAE">
            <w:pPr>
              <w:rPr>
                <w:rFonts w:ascii="Arial" w:hAnsi="Arial" w:cs="Arial"/>
              </w:rPr>
            </w:pPr>
          </w:p>
        </w:tc>
      </w:tr>
      <w:tr w:rsidR="0089782A" w:rsidRPr="001E764F" w14:paraId="24550091" w14:textId="77777777" w:rsidTr="008E10BC">
        <w:tc>
          <w:tcPr>
            <w:tcW w:w="3936" w:type="dxa"/>
          </w:tcPr>
          <w:p w14:paraId="372D6905" w14:textId="77777777" w:rsidR="0089782A" w:rsidRPr="001E764F" w:rsidRDefault="0089782A" w:rsidP="00270AAE">
            <w:pPr>
              <w:rPr>
                <w:rFonts w:ascii="Arial" w:hAnsi="Arial" w:cs="Arial"/>
              </w:rPr>
            </w:pPr>
          </w:p>
        </w:tc>
        <w:tc>
          <w:tcPr>
            <w:tcW w:w="5670" w:type="dxa"/>
          </w:tcPr>
          <w:p w14:paraId="6422C10D" w14:textId="77777777" w:rsidR="0089782A" w:rsidRPr="001E764F" w:rsidRDefault="0089782A" w:rsidP="00270AAE">
            <w:pPr>
              <w:rPr>
                <w:rFonts w:ascii="Arial" w:hAnsi="Arial" w:cs="Arial"/>
              </w:rPr>
            </w:pPr>
          </w:p>
        </w:tc>
      </w:tr>
      <w:tr w:rsidR="008046EB" w:rsidRPr="001E764F" w14:paraId="188279AA" w14:textId="77777777" w:rsidTr="008E10BC">
        <w:tc>
          <w:tcPr>
            <w:tcW w:w="3936" w:type="dxa"/>
          </w:tcPr>
          <w:p w14:paraId="6C038347"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670" w:type="dxa"/>
          </w:tcPr>
          <w:p w14:paraId="5DD03B5E" w14:textId="64CCDACF"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14:paraId="679546B9" w14:textId="77777777" w:rsidTr="002C0E1B">
        <w:tc>
          <w:tcPr>
            <w:tcW w:w="3936" w:type="dxa"/>
          </w:tcPr>
          <w:p w14:paraId="6082338A" w14:textId="77777777" w:rsidR="00CF3F96" w:rsidRPr="001E764F" w:rsidRDefault="00CF3F96" w:rsidP="00270AAE">
            <w:pPr>
              <w:rPr>
                <w:rFonts w:ascii="Arial" w:hAnsi="Arial" w:cs="Arial"/>
              </w:rPr>
            </w:pPr>
          </w:p>
        </w:tc>
        <w:tc>
          <w:tcPr>
            <w:tcW w:w="5670" w:type="dxa"/>
          </w:tcPr>
          <w:p w14:paraId="7E002B97" w14:textId="77777777" w:rsidR="00CF3F96" w:rsidRPr="001D67CE" w:rsidRDefault="00CF3F96" w:rsidP="00270AAE">
            <w:pPr>
              <w:rPr>
                <w:rFonts w:ascii="Arial" w:hAnsi="Arial" w:cs="Arial"/>
              </w:rPr>
            </w:pPr>
          </w:p>
        </w:tc>
      </w:tr>
      <w:tr w:rsidR="001D67CE" w:rsidRPr="001E764F" w14:paraId="1C0815F1" w14:textId="77777777" w:rsidTr="002C0E1B">
        <w:tc>
          <w:tcPr>
            <w:tcW w:w="3936" w:type="dxa"/>
          </w:tcPr>
          <w:p w14:paraId="64C7259C" w14:textId="2672066C" w:rsidR="001D67CE" w:rsidRPr="000F1CE9" w:rsidRDefault="00B90E39" w:rsidP="00270AAE">
            <w:pPr>
              <w:rPr>
                <w:rFonts w:ascii="Arial" w:hAnsi="Arial" w:cs="Arial"/>
              </w:rPr>
            </w:pPr>
            <w:r w:rsidRPr="00CB1E86">
              <w:rPr>
                <w:rFonts w:ascii="Arial" w:hAnsi="Arial" w:cs="Arial"/>
              </w:rPr>
              <w:t>2628934 Ontario Inc.</w:t>
            </w:r>
          </w:p>
        </w:tc>
        <w:tc>
          <w:tcPr>
            <w:tcW w:w="5670" w:type="dxa"/>
          </w:tcPr>
          <w:p w14:paraId="46FABBEC" w14:textId="66895B55" w:rsidR="001D67CE" w:rsidRPr="000F1CE9" w:rsidRDefault="00B90E39" w:rsidP="00270AAE">
            <w:pPr>
              <w:rPr>
                <w:rFonts w:ascii="Arial" w:hAnsi="Arial" w:cs="Arial"/>
              </w:rPr>
            </w:pPr>
            <w:r>
              <w:rPr>
                <w:rFonts w:ascii="Arial" w:hAnsi="Arial" w:cs="Arial"/>
              </w:rPr>
              <w:t>Scott Snider</w:t>
            </w:r>
          </w:p>
        </w:tc>
      </w:tr>
      <w:tr w:rsidR="001D67CE" w:rsidRPr="001E764F" w14:paraId="13744789" w14:textId="77777777" w:rsidTr="002C0E1B">
        <w:tc>
          <w:tcPr>
            <w:tcW w:w="3936" w:type="dxa"/>
          </w:tcPr>
          <w:p w14:paraId="7D3E83C8" w14:textId="77777777" w:rsidR="001D67CE" w:rsidRPr="000F1CE9" w:rsidRDefault="001D67CE" w:rsidP="00270AAE">
            <w:pPr>
              <w:rPr>
                <w:rFonts w:ascii="Arial" w:hAnsi="Arial" w:cs="Arial"/>
              </w:rPr>
            </w:pPr>
          </w:p>
        </w:tc>
        <w:tc>
          <w:tcPr>
            <w:tcW w:w="5670" w:type="dxa"/>
          </w:tcPr>
          <w:p w14:paraId="62528990" w14:textId="77777777" w:rsidR="001D67CE" w:rsidRPr="000F1CE9" w:rsidRDefault="001D67CE" w:rsidP="00270AAE">
            <w:pPr>
              <w:rPr>
                <w:rFonts w:ascii="Arial" w:hAnsi="Arial" w:cs="Arial"/>
              </w:rPr>
            </w:pPr>
          </w:p>
        </w:tc>
      </w:tr>
      <w:tr w:rsidR="001D67CE" w:rsidRPr="001E764F" w14:paraId="7DA2EA96" w14:textId="77777777" w:rsidTr="002C0E1B">
        <w:tc>
          <w:tcPr>
            <w:tcW w:w="3936" w:type="dxa"/>
          </w:tcPr>
          <w:p w14:paraId="6EE90DA9" w14:textId="3A0314A1" w:rsidR="001D67CE" w:rsidRPr="000F1CE9" w:rsidRDefault="00B90E39" w:rsidP="00270AAE">
            <w:pPr>
              <w:rPr>
                <w:rFonts w:ascii="Arial" w:hAnsi="Arial" w:cs="Arial"/>
              </w:rPr>
            </w:pPr>
            <w:r>
              <w:rPr>
                <w:rFonts w:ascii="Arial" w:hAnsi="Arial" w:cs="Arial"/>
              </w:rPr>
              <w:t>City of Hamilton</w:t>
            </w:r>
          </w:p>
        </w:tc>
        <w:tc>
          <w:tcPr>
            <w:tcW w:w="5670" w:type="dxa"/>
          </w:tcPr>
          <w:p w14:paraId="7DBE03C0" w14:textId="231DDFDE" w:rsidR="001D67CE" w:rsidRPr="000F1CE9" w:rsidRDefault="00B90E39" w:rsidP="00270AAE">
            <w:pPr>
              <w:rPr>
                <w:rFonts w:ascii="Arial" w:hAnsi="Arial" w:cs="Arial"/>
              </w:rPr>
            </w:pPr>
            <w:r>
              <w:rPr>
                <w:rFonts w:ascii="Arial" w:hAnsi="Arial" w:cs="Arial"/>
              </w:rPr>
              <w:t>Patrick MacDonald</w:t>
            </w:r>
          </w:p>
        </w:tc>
      </w:tr>
      <w:tr w:rsidR="001D67CE" w:rsidRPr="001E764F" w14:paraId="5AA07B1B" w14:textId="77777777" w:rsidTr="002C0E1B">
        <w:tc>
          <w:tcPr>
            <w:tcW w:w="3936" w:type="dxa"/>
          </w:tcPr>
          <w:p w14:paraId="6E0E76D9" w14:textId="77777777" w:rsidR="001D67CE" w:rsidRPr="001E764F" w:rsidRDefault="001D67CE" w:rsidP="00270AAE">
            <w:pPr>
              <w:rPr>
                <w:rFonts w:ascii="Arial" w:hAnsi="Arial" w:cs="Arial"/>
              </w:rPr>
            </w:pPr>
          </w:p>
        </w:tc>
        <w:tc>
          <w:tcPr>
            <w:tcW w:w="5670" w:type="dxa"/>
          </w:tcPr>
          <w:p w14:paraId="3BF25480" w14:textId="77777777" w:rsidR="001D67CE" w:rsidRPr="001D67CE" w:rsidRDefault="001D67CE" w:rsidP="00270AAE">
            <w:pPr>
              <w:rPr>
                <w:rFonts w:ascii="Arial" w:hAnsi="Arial" w:cs="Arial"/>
              </w:rPr>
            </w:pPr>
          </w:p>
        </w:tc>
      </w:tr>
    </w:tbl>
    <w:p w14:paraId="599F9505" w14:textId="77777777" w:rsidR="00935095" w:rsidRDefault="00935095" w:rsidP="00270AAE">
      <w:pPr>
        <w:rPr>
          <w:rFonts w:ascii="Arial" w:hAnsi="Arial" w:cs="Arial"/>
        </w:rPr>
      </w:pPr>
    </w:p>
    <w:p w14:paraId="5A24D554" w14:textId="77777777" w:rsidR="00FF6BB4" w:rsidRDefault="00FF6BB4" w:rsidP="00270AAE">
      <w:pPr>
        <w:rPr>
          <w:rFonts w:ascii="Arial" w:hAnsi="Arial" w:cs="Arial"/>
        </w:rPr>
      </w:pPr>
    </w:p>
    <w:p w14:paraId="5218E2AA" w14:textId="7158AB39" w:rsidR="00D265BD" w:rsidRPr="000F1CE9" w:rsidRDefault="00935095" w:rsidP="000F1CE9">
      <w:pPr>
        <w:pStyle w:val="DecisionDeliveredby"/>
      </w:pPr>
      <w:r w:rsidRPr="005A767F">
        <w:t xml:space="preserve">DECISION </w:t>
      </w:r>
      <w:r w:rsidR="00C321C9">
        <w:t xml:space="preserve">DELIVERED BY </w:t>
      </w:r>
      <w:r w:rsidR="00411AA2">
        <w:t>C. TUCCI</w:t>
      </w:r>
      <w:r w:rsidR="00C321C9">
        <w:t xml:space="preserve"> </w:t>
      </w:r>
      <w:r w:rsidR="008E10BC">
        <w:t>AND ORDER OF THE TRIBUNAL</w:t>
      </w:r>
      <w:r w:rsidR="000F1CE9">
        <w:t xml:space="preserve"> </w:t>
      </w:r>
    </w:p>
    <w:p w14:paraId="5628FE55" w14:textId="77777777" w:rsidR="008010F6" w:rsidRDefault="008010F6" w:rsidP="008010F6">
      <w:pPr>
        <w:rPr>
          <w:shd w:val="clear" w:color="auto" w:fill="FFFFFF"/>
        </w:rPr>
      </w:pPr>
    </w:p>
    <w:p w14:paraId="3E5F322E" w14:textId="59A2D096" w:rsidR="00C56B9E" w:rsidRPr="0059766C" w:rsidRDefault="00C56B9E" w:rsidP="0059766C">
      <w:pPr>
        <w:rPr>
          <w:rFonts w:cs="Arial"/>
          <w:b/>
          <w:bCs/>
          <w:shd w:val="clear" w:color="auto" w:fill="FFFFFF"/>
        </w:rPr>
      </w:pPr>
      <w:r w:rsidRPr="0059766C">
        <w:rPr>
          <w:rFonts w:ascii="Arial" w:hAnsi="Arial" w:cs="Arial"/>
          <w:b/>
          <w:bCs/>
          <w:shd w:val="clear" w:color="auto" w:fill="FFFFFF"/>
        </w:rPr>
        <w:t>INTRODUCTION</w:t>
      </w:r>
    </w:p>
    <w:p w14:paraId="199970B1" w14:textId="77777777" w:rsidR="0059766C" w:rsidRDefault="00411AA2" w:rsidP="00AE600B">
      <w:pPr>
        <w:pStyle w:val="ListParagraph"/>
      </w:pPr>
      <w:r w:rsidRPr="00411AA2">
        <w:t>The matters before the Tribunal are two appeals under s. 53(19) of the </w:t>
      </w:r>
      <w:r w:rsidRPr="00411AA2">
        <w:rPr>
          <w:i/>
          <w:iCs/>
        </w:rPr>
        <w:t>Planning Act </w:t>
      </w:r>
      <w:r w:rsidRPr="00411AA2">
        <w:t xml:space="preserve">(the "Act") and one appeal under </w:t>
      </w:r>
      <w:r w:rsidR="00290807">
        <w:t>s</w:t>
      </w:r>
      <w:r w:rsidRPr="00411AA2">
        <w:t>. 45(12) of the Act from decisions of the City of Hamilton’s (“City”) Committee of Adjustment (“COA”).</w:t>
      </w:r>
    </w:p>
    <w:p w14:paraId="77DC0BE8" w14:textId="6BAD7DB3" w:rsidR="008010F6" w:rsidRDefault="00411AA2" w:rsidP="00AE600B">
      <w:pPr>
        <w:pStyle w:val="ListParagraph"/>
      </w:pPr>
      <w:r w:rsidRPr="0059766C">
        <w:t>2628934 Ontario Inc. (“Applicant”)  owns the property at 152 Stone Church Road East (“S</w:t>
      </w:r>
      <w:r w:rsidR="00636529" w:rsidRPr="0059766C">
        <w:t>ubject Lands</w:t>
      </w:r>
      <w:r w:rsidRPr="0059766C">
        <w:t>”)  in the City of Hamilton and is proposing to sever the rear portion of the S</w:t>
      </w:r>
      <w:r w:rsidR="00636529" w:rsidRPr="0059766C">
        <w:t>ubject Lands</w:t>
      </w:r>
      <w:r w:rsidRPr="0059766C">
        <w:t xml:space="preserve"> through a </w:t>
      </w:r>
      <w:r w:rsidR="007E62B9" w:rsidRPr="0059766C">
        <w:t>c</w:t>
      </w:r>
      <w:r w:rsidRPr="0059766C">
        <w:t xml:space="preserve">onsent application and to further subdivide the severed lands into two residential building lots with frontage on Cielo Court through a concurrent </w:t>
      </w:r>
      <w:r w:rsidR="007E62B9" w:rsidRPr="0059766C">
        <w:t>c</w:t>
      </w:r>
      <w:r w:rsidRPr="0059766C">
        <w:t xml:space="preserve">onsent application.  A </w:t>
      </w:r>
      <w:r w:rsidR="007E62B9" w:rsidRPr="0059766C">
        <w:t>m</w:t>
      </w:r>
      <w:r w:rsidRPr="0059766C">
        <w:t xml:space="preserve">inor </w:t>
      </w:r>
      <w:r w:rsidR="007E62B9" w:rsidRPr="0059766C">
        <w:t>v</w:t>
      </w:r>
      <w:r w:rsidRPr="0059766C">
        <w:t>ariance application was also submitted to facilitate the related consent applications.</w:t>
      </w:r>
    </w:p>
    <w:p w14:paraId="56C378C2" w14:textId="0BA8C3FA" w:rsidR="00001489" w:rsidRPr="0059766C" w:rsidRDefault="00001489" w:rsidP="00AE600B">
      <w:pPr>
        <w:pStyle w:val="ListParagraph"/>
        <w:rPr>
          <w:bCs/>
          <w:iCs/>
          <w:shd w:val="clear" w:color="auto" w:fill="auto"/>
        </w:rPr>
      </w:pPr>
      <w:r>
        <w:t xml:space="preserve">The subject lands are zoned “B/S-1788” (Suburban Agriculture and Residential, etc.) District, Modified, in the Former City of Hamilton Zoning By-law No. 6593. Single family dwellings are permitted in accordance with the applicable provisions. </w:t>
      </w:r>
    </w:p>
    <w:p w14:paraId="680AFCB0" w14:textId="4BD58681" w:rsidR="00636529" w:rsidRPr="00636529" w:rsidRDefault="00411AA2" w:rsidP="00AE600B">
      <w:pPr>
        <w:pStyle w:val="ListParagraph"/>
        <w:rPr>
          <w:lang w:val="en-CA"/>
        </w:rPr>
      </w:pPr>
      <w:r w:rsidRPr="00411AA2">
        <w:t>The</w:t>
      </w:r>
      <w:r w:rsidRPr="00411AA2">
        <w:rPr>
          <w:spacing w:val="-15"/>
        </w:rPr>
        <w:t xml:space="preserve"> </w:t>
      </w:r>
      <w:r w:rsidRPr="00411AA2">
        <w:t>Subject</w:t>
      </w:r>
      <w:r w:rsidRPr="00411AA2">
        <w:rPr>
          <w:spacing w:val="-16"/>
        </w:rPr>
        <w:t xml:space="preserve"> </w:t>
      </w:r>
      <w:r w:rsidRPr="00411AA2">
        <w:t>Lands</w:t>
      </w:r>
      <w:r w:rsidRPr="00411AA2">
        <w:rPr>
          <w:spacing w:val="-14"/>
        </w:rPr>
        <w:t xml:space="preserve"> </w:t>
      </w:r>
      <w:r w:rsidRPr="00411AA2">
        <w:t>are</w:t>
      </w:r>
      <w:r w:rsidRPr="00411AA2">
        <w:rPr>
          <w:spacing w:val="-15"/>
        </w:rPr>
        <w:t xml:space="preserve"> </w:t>
      </w:r>
      <w:r w:rsidRPr="00411AA2">
        <w:t>located</w:t>
      </w:r>
      <w:r w:rsidRPr="00411AA2">
        <w:rPr>
          <w:spacing w:val="-14"/>
        </w:rPr>
        <w:t xml:space="preserve"> </w:t>
      </w:r>
      <w:r w:rsidRPr="00411AA2">
        <w:t>on</w:t>
      </w:r>
      <w:r w:rsidRPr="00411AA2">
        <w:rPr>
          <w:spacing w:val="-14"/>
        </w:rPr>
        <w:t xml:space="preserve"> </w:t>
      </w:r>
      <w:r w:rsidRPr="00411AA2">
        <w:t>the</w:t>
      </w:r>
      <w:r w:rsidRPr="00411AA2">
        <w:rPr>
          <w:spacing w:val="-15"/>
        </w:rPr>
        <w:t xml:space="preserve"> </w:t>
      </w:r>
      <w:r w:rsidRPr="00411AA2">
        <w:t>south</w:t>
      </w:r>
      <w:r w:rsidRPr="00411AA2">
        <w:rPr>
          <w:spacing w:val="-17"/>
        </w:rPr>
        <w:t xml:space="preserve"> </w:t>
      </w:r>
      <w:r w:rsidRPr="00411AA2">
        <w:t>side</w:t>
      </w:r>
      <w:r w:rsidRPr="00411AA2">
        <w:rPr>
          <w:spacing w:val="-14"/>
        </w:rPr>
        <w:t xml:space="preserve"> </w:t>
      </w:r>
      <w:r w:rsidRPr="00411AA2">
        <w:t>of</w:t>
      </w:r>
      <w:r w:rsidRPr="00411AA2">
        <w:rPr>
          <w:spacing w:val="-14"/>
        </w:rPr>
        <w:t xml:space="preserve"> </w:t>
      </w:r>
      <w:r w:rsidRPr="00411AA2">
        <w:t>152</w:t>
      </w:r>
      <w:r w:rsidRPr="00411AA2">
        <w:rPr>
          <w:spacing w:val="-14"/>
        </w:rPr>
        <w:t xml:space="preserve"> </w:t>
      </w:r>
      <w:r w:rsidRPr="00411AA2">
        <w:t>Stone</w:t>
      </w:r>
      <w:r w:rsidRPr="00411AA2">
        <w:rPr>
          <w:spacing w:val="-17"/>
        </w:rPr>
        <w:t xml:space="preserve"> </w:t>
      </w:r>
      <w:r w:rsidRPr="00411AA2">
        <w:t>Church</w:t>
      </w:r>
      <w:r w:rsidRPr="00411AA2">
        <w:rPr>
          <w:spacing w:val="-14"/>
        </w:rPr>
        <w:t xml:space="preserve"> </w:t>
      </w:r>
      <w:r w:rsidRPr="00411AA2">
        <w:t>Road</w:t>
      </w:r>
      <w:r w:rsidRPr="00411AA2">
        <w:rPr>
          <w:spacing w:val="-14"/>
        </w:rPr>
        <w:t xml:space="preserve"> </w:t>
      </w:r>
      <w:r w:rsidRPr="00411AA2">
        <w:t>East,</w:t>
      </w:r>
      <w:r w:rsidRPr="00411AA2">
        <w:rPr>
          <w:spacing w:val="-14"/>
        </w:rPr>
        <w:t xml:space="preserve"> </w:t>
      </w:r>
      <w:r w:rsidRPr="00411AA2">
        <w:lastRenderedPageBreak/>
        <w:t>between Upper</w:t>
      </w:r>
      <w:r w:rsidRPr="00411AA2">
        <w:rPr>
          <w:spacing w:val="-5"/>
        </w:rPr>
        <w:t xml:space="preserve"> </w:t>
      </w:r>
      <w:r w:rsidRPr="00411AA2">
        <w:t>James</w:t>
      </w:r>
      <w:r w:rsidRPr="00411AA2">
        <w:rPr>
          <w:spacing w:val="-4"/>
        </w:rPr>
        <w:t xml:space="preserve"> </w:t>
      </w:r>
      <w:r w:rsidRPr="00411AA2">
        <w:t>Street</w:t>
      </w:r>
      <w:r w:rsidRPr="00411AA2">
        <w:rPr>
          <w:spacing w:val="-4"/>
        </w:rPr>
        <w:t xml:space="preserve"> </w:t>
      </w:r>
      <w:r w:rsidRPr="00411AA2">
        <w:t>to</w:t>
      </w:r>
      <w:r w:rsidRPr="00411AA2">
        <w:rPr>
          <w:spacing w:val="-5"/>
        </w:rPr>
        <w:t xml:space="preserve"> </w:t>
      </w:r>
      <w:r w:rsidRPr="00411AA2">
        <w:t>the</w:t>
      </w:r>
      <w:r w:rsidRPr="00411AA2">
        <w:rPr>
          <w:spacing w:val="-4"/>
        </w:rPr>
        <w:t xml:space="preserve"> </w:t>
      </w:r>
      <w:r w:rsidRPr="00411AA2">
        <w:t>west</w:t>
      </w:r>
      <w:r w:rsidRPr="00411AA2">
        <w:rPr>
          <w:spacing w:val="-5"/>
        </w:rPr>
        <w:t xml:space="preserve"> </w:t>
      </w:r>
      <w:r w:rsidRPr="00411AA2">
        <w:t>and</w:t>
      </w:r>
      <w:r w:rsidRPr="00411AA2">
        <w:rPr>
          <w:spacing w:val="-5"/>
        </w:rPr>
        <w:t xml:space="preserve"> </w:t>
      </w:r>
      <w:r w:rsidRPr="00411AA2">
        <w:t>Upper</w:t>
      </w:r>
      <w:r w:rsidRPr="00411AA2">
        <w:rPr>
          <w:spacing w:val="-4"/>
        </w:rPr>
        <w:t xml:space="preserve"> </w:t>
      </w:r>
      <w:r w:rsidRPr="00411AA2">
        <w:t>Wellington</w:t>
      </w:r>
      <w:r w:rsidRPr="00411AA2">
        <w:rPr>
          <w:spacing w:val="-4"/>
        </w:rPr>
        <w:t xml:space="preserve"> </w:t>
      </w:r>
      <w:r w:rsidRPr="00411AA2">
        <w:t>Street</w:t>
      </w:r>
      <w:r w:rsidRPr="00411AA2">
        <w:rPr>
          <w:spacing w:val="-5"/>
        </w:rPr>
        <w:t xml:space="preserve"> </w:t>
      </w:r>
      <w:r w:rsidRPr="00411AA2">
        <w:t>to</w:t>
      </w:r>
      <w:r w:rsidRPr="00411AA2">
        <w:rPr>
          <w:spacing w:val="-4"/>
        </w:rPr>
        <w:t xml:space="preserve"> </w:t>
      </w:r>
      <w:r w:rsidRPr="00411AA2">
        <w:t>the</w:t>
      </w:r>
      <w:r w:rsidRPr="00411AA2">
        <w:rPr>
          <w:spacing w:val="-6"/>
        </w:rPr>
        <w:t xml:space="preserve"> </w:t>
      </w:r>
      <w:r w:rsidRPr="00411AA2">
        <w:t>east.</w:t>
      </w:r>
      <w:r w:rsidRPr="00411AA2">
        <w:rPr>
          <w:spacing w:val="-5"/>
        </w:rPr>
        <w:t xml:space="preserve"> </w:t>
      </w:r>
      <w:r w:rsidRPr="00411AA2">
        <w:t>The</w:t>
      </w:r>
      <w:r w:rsidRPr="00411AA2">
        <w:rPr>
          <w:spacing w:val="-3"/>
        </w:rPr>
        <w:t xml:space="preserve"> </w:t>
      </w:r>
      <w:r w:rsidRPr="00411AA2">
        <w:t>rear</w:t>
      </w:r>
      <w:r w:rsidRPr="00411AA2">
        <w:rPr>
          <w:spacing w:val="-4"/>
        </w:rPr>
        <w:t xml:space="preserve"> </w:t>
      </w:r>
      <w:r w:rsidRPr="00411AA2">
        <w:t>portion of</w:t>
      </w:r>
      <w:r w:rsidRPr="00411AA2">
        <w:rPr>
          <w:spacing w:val="-12"/>
        </w:rPr>
        <w:t xml:space="preserve"> </w:t>
      </w:r>
      <w:r w:rsidRPr="00411AA2">
        <w:t>the</w:t>
      </w:r>
      <w:r w:rsidRPr="00411AA2">
        <w:rPr>
          <w:spacing w:val="-11"/>
        </w:rPr>
        <w:t xml:space="preserve"> </w:t>
      </w:r>
      <w:r w:rsidRPr="00411AA2">
        <w:t>Subject</w:t>
      </w:r>
      <w:r w:rsidRPr="00411AA2">
        <w:rPr>
          <w:spacing w:val="-11"/>
        </w:rPr>
        <w:t xml:space="preserve"> </w:t>
      </w:r>
      <w:r w:rsidRPr="00411AA2">
        <w:t>Lands</w:t>
      </w:r>
      <w:r w:rsidRPr="00411AA2">
        <w:rPr>
          <w:spacing w:val="-12"/>
        </w:rPr>
        <w:t xml:space="preserve"> </w:t>
      </w:r>
      <w:r w:rsidRPr="00411AA2">
        <w:t>abut</w:t>
      </w:r>
      <w:r w:rsidRPr="00411AA2">
        <w:rPr>
          <w:spacing w:val="-11"/>
        </w:rPr>
        <w:t xml:space="preserve"> </w:t>
      </w:r>
      <w:r w:rsidRPr="00411AA2">
        <w:t>Cielo</w:t>
      </w:r>
      <w:r w:rsidRPr="00411AA2">
        <w:rPr>
          <w:spacing w:val="-11"/>
        </w:rPr>
        <w:t xml:space="preserve"> </w:t>
      </w:r>
      <w:r w:rsidRPr="00411AA2">
        <w:t>Court,</w:t>
      </w:r>
      <w:r w:rsidRPr="00411AA2">
        <w:rPr>
          <w:spacing w:val="-11"/>
        </w:rPr>
        <w:t xml:space="preserve"> </w:t>
      </w:r>
      <w:r w:rsidRPr="00411AA2">
        <w:t>an</w:t>
      </w:r>
      <w:r w:rsidRPr="00411AA2">
        <w:rPr>
          <w:spacing w:val="-12"/>
        </w:rPr>
        <w:t xml:space="preserve"> </w:t>
      </w:r>
      <w:r w:rsidRPr="00411AA2">
        <w:t>internal</w:t>
      </w:r>
      <w:r w:rsidRPr="00411AA2">
        <w:rPr>
          <w:spacing w:val="-11"/>
        </w:rPr>
        <w:t xml:space="preserve"> </w:t>
      </w:r>
      <w:r w:rsidRPr="00411AA2">
        <w:t>subdivision</w:t>
      </w:r>
      <w:r w:rsidRPr="00411AA2">
        <w:rPr>
          <w:spacing w:val="-9"/>
        </w:rPr>
        <w:t xml:space="preserve"> </w:t>
      </w:r>
      <w:r w:rsidRPr="00411AA2">
        <w:t>road</w:t>
      </w:r>
      <w:r w:rsidRPr="00411AA2">
        <w:rPr>
          <w:spacing w:val="-11"/>
        </w:rPr>
        <w:t xml:space="preserve"> </w:t>
      </w:r>
      <w:r w:rsidRPr="00411AA2">
        <w:t>to</w:t>
      </w:r>
      <w:r w:rsidRPr="00411AA2">
        <w:rPr>
          <w:spacing w:val="-12"/>
        </w:rPr>
        <w:t xml:space="preserve"> </w:t>
      </w:r>
      <w:r w:rsidRPr="00411AA2">
        <w:t>the</w:t>
      </w:r>
      <w:r w:rsidRPr="00411AA2">
        <w:rPr>
          <w:spacing w:val="-10"/>
        </w:rPr>
        <w:t xml:space="preserve"> </w:t>
      </w:r>
      <w:r w:rsidRPr="00411AA2">
        <w:t>south,</w:t>
      </w:r>
      <w:r w:rsidRPr="00411AA2">
        <w:rPr>
          <w:spacing w:val="-11"/>
        </w:rPr>
        <w:t xml:space="preserve"> </w:t>
      </w:r>
      <w:r w:rsidRPr="00411AA2">
        <w:t xml:space="preserve">separated by a 0.3 </w:t>
      </w:r>
      <w:r w:rsidRPr="00636529">
        <w:rPr>
          <w:lang w:val="en-CA"/>
        </w:rPr>
        <w:t>metre</w:t>
      </w:r>
      <w:r w:rsidR="00636529">
        <w:rPr>
          <w:lang w:val="en-CA"/>
        </w:rPr>
        <w:t xml:space="preserve"> </w:t>
      </w:r>
      <w:r w:rsidR="004F53B2">
        <w:rPr>
          <w:lang w:val="en-CA"/>
        </w:rPr>
        <w:t>(</w:t>
      </w:r>
      <w:r w:rsidR="00636529">
        <w:rPr>
          <w:lang w:val="en-CA"/>
        </w:rPr>
        <w:t>“m”)</w:t>
      </w:r>
      <w:r w:rsidRPr="00411AA2">
        <w:t xml:space="preserve"> reserve.  152 Stone Church </w:t>
      </w:r>
      <w:r w:rsidR="003A2259">
        <w:t xml:space="preserve">Road </w:t>
      </w:r>
      <w:r w:rsidRPr="00411AA2">
        <w:t xml:space="preserve">East has a frontage of 22.86 </w:t>
      </w:r>
      <w:r w:rsidRPr="00636529">
        <w:rPr>
          <w:lang w:val="en-CA"/>
        </w:rPr>
        <w:t>m, a depth of 90.02 m and an area of 0.206 hectares (2,063 square metres</w:t>
      </w:r>
      <w:r w:rsidR="004F53B2">
        <w:rPr>
          <w:lang w:val="en-CA"/>
        </w:rPr>
        <w:t xml:space="preserve"> (“</w:t>
      </w:r>
      <w:proofErr w:type="spellStart"/>
      <w:r w:rsidR="004F53B2">
        <w:rPr>
          <w:lang w:val="en-CA"/>
        </w:rPr>
        <w:t>sq</w:t>
      </w:r>
      <w:proofErr w:type="spellEnd"/>
      <w:r w:rsidR="004F53B2">
        <w:rPr>
          <w:lang w:val="en-CA"/>
        </w:rPr>
        <w:t xml:space="preserve"> m”)</w:t>
      </w:r>
      <w:r w:rsidRPr="00636529">
        <w:rPr>
          <w:lang w:val="en-CA"/>
        </w:rPr>
        <w:t>).</w:t>
      </w:r>
    </w:p>
    <w:p w14:paraId="26D9BFA5" w14:textId="5EC8743F" w:rsidR="00636529" w:rsidRDefault="00411AA2" w:rsidP="00AE600B">
      <w:pPr>
        <w:pStyle w:val="ListParagraph"/>
      </w:pPr>
      <w:r w:rsidRPr="00636529">
        <w:t>On September 26, 2019, the C</w:t>
      </w:r>
      <w:r w:rsidR="00636529">
        <w:t>OA</w:t>
      </w:r>
      <w:r w:rsidRPr="00636529">
        <w:t xml:space="preserve"> considered and denied each of the three applications. No one attended in opposition to the applications.</w:t>
      </w:r>
    </w:p>
    <w:p w14:paraId="68B87E5B" w14:textId="77777777" w:rsidR="00636529" w:rsidRDefault="00411AA2" w:rsidP="00AE600B">
      <w:pPr>
        <w:pStyle w:val="ListParagraph"/>
      </w:pPr>
      <w:r w:rsidRPr="00636529">
        <w:t>A Joint Book of Documents was filed with the Tribunal and marked as Exhibit 1</w:t>
      </w:r>
    </w:p>
    <w:p w14:paraId="2BDD1C8F" w14:textId="1AE9514B" w:rsidR="00636529" w:rsidRDefault="00411AA2" w:rsidP="00AE600B">
      <w:pPr>
        <w:pStyle w:val="ListParagraph"/>
      </w:pPr>
      <w:r w:rsidRPr="00636529">
        <w:t xml:space="preserve">The Tribunal heard planning opinion evidence from Nancy </w:t>
      </w:r>
      <w:proofErr w:type="spellStart"/>
      <w:r w:rsidRPr="00636529">
        <w:t>Frieday</w:t>
      </w:r>
      <w:proofErr w:type="spellEnd"/>
      <w:r w:rsidRPr="00636529">
        <w:t>, qualified in the area of land use planning, in support of the applications.</w:t>
      </w:r>
    </w:p>
    <w:p w14:paraId="06C4BCC9" w14:textId="267B33CB" w:rsidR="00411AA2" w:rsidRPr="00636529" w:rsidRDefault="00411AA2" w:rsidP="00AE600B">
      <w:pPr>
        <w:pStyle w:val="ListParagraph"/>
      </w:pPr>
      <w:r w:rsidRPr="00636529">
        <w:t xml:space="preserve">The Tribunal also heard planning opinion evidence from Sara Rogers, a planning technician with the City of Hamilton, against the applications.  </w:t>
      </w:r>
    </w:p>
    <w:p w14:paraId="70B8F3C8" w14:textId="4AB863CD" w:rsidR="00411AA2" w:rsidRPr="00290807" w:rsidRDefault="00043CEB" w:rsidP="00353B7C">
      <w:pPr>
        <w:rPr>
          <w:rFonts w:ascii="Arial" w:hAnsi="Arial" w:cs="Arial"/>
          <w:b/>
          <w:bCs/>
        </w:rPr>
      </w:pPr>
      <w:r w:rsidRPr="00290807">
        <w:rPr>
          <w:rFonts w:ascii="Arial" w:hAnsi="Arial" w:cs="Arial"/>
          <w:b/>
          <w:bCs/>
        </w:rPr>
        <w:t>Applications</w:t>
      </w:r>
    </w:p>
    <w:p w14:paraId="445E43E1" w14:textId="5F7B0BBF" w:rsidR="00636529" w:rsidRDefault="00411AA2" w:rsidP="00AE600B">
      <w:pPr>
        <w:pStyle w:val="ListParagraph"/>
      </w:pPr>
      <w:r w:rsidRPr="00411AA2">
        <w:t xml:space="preserve">The purpose of the first consent application is to sever the rear portion of the Subject Lands from the front portion which contains the existing single-detached dwelling. The retained lands will have an area of 1,290 </w:t>
      </w:r>
      <w:proofErr w:type="spellStart"/>
      <w:r w:rsidRPr="00411AA2">
        <w:t>sq</w:t>
      </w:r>
      <w:proofErr w:type="spellEnd"/>
      <w:r w:rsidR="004F53B2">
        <w:t xml:space="preserve"> m</w:t>
      </w:r>
      <w:r w:rsidRPr="00636529">
        <w:rPr>
          <w:lang w:val="en-CA"/>
        </w:rPr>
        <w:t xml:space="preserve"> (approximately 0.13 hectares) and the severed land will have an area of 768 </w:t>
      </w:r>
      <w:proofErr w:type="spellStart"/>
      <w:r w:rsidRPr="00636529">
        <w:rPr>
          <w:lang w:val="en-CA"/>
        </w:rPr>
        <w:t>sq</w:t>
      </w:r>
      <w:proofErr w:type="spellEnd"/>
      <w:r w:rsidR="004F53B2">
        <w:rPr>
          <w:lang w:val="en-CA"/>
        </w:rPr>
        <w:t xml:space="preserve"> m</w:t>
      </w:r>
      <w:r w:rsidRPr="00411AA2">
        <w:t xml:space="preserve"> (approximately 0.077 hectares)</w:t>
      </w:r>
      <w:r w:rsidR="00636529">
        <w:t>.</w:t>
      </w:r>
    </w:p>
    <w:p w14:paraId="59D8C177" w14:textId="77777777" w:rsidR="00636529" w:rsidRDefault="00411AA2" w:rsidP="00AE600B">
      <w:pPr>
        <w:pStyle w:val="ListParagraph"/>
      </w:pPr>
      <w:r w:rsidRPr="00636529">
        <w:t>The location of the severance line (rear lot line of the proposed new lot) was determined based on the rear lot line of the severed lot immediately adjacent to the</w:t>
      </w:r>
      <w:r w:rsidRPr="00636529">
        <w:rPr>
          <w:spacing w:val="-7"/>
        </w:rPr>
        <w:t xml:space="preserve"> </w:t>
      </w:r>
      <w:r w:rsidRPr="00636529">
        <w:t>west.</w:t>
      </w:r>
    </w:p>
    <w:p w14:paraId="54DBEB6E" w14:textId="41ABDA31" w:rsidR="00636529" w:rsidRDefault="00411AA2" w:rsidP="00AE600B">
      <w:pPr>
        <w:pStyle w:val="ListParagraph"/>
      </w:pPr>
      <w:r w:rsidRPr="00636529">
        <w:t>The</w:t>
      </w:r>
      <w:r w:rsidRPr="00636529">
        <w:rPr>
          <w:spacing w:val="-12"/>
        </w:rPr>
        <w:t xml:space="preserve"> </w:t>
      </w:r>
      <w:r w:rsidRPr="00636529">
        <w:t>purpose</w:t>
      </w:r>
      <w:r w:rsidRPr="00636529">
        <w:rPr>
          <w:spacing w:val="-12"/>
        </w:rPr>
        <w:t xml:space="preserve"> </w:t>
      </w:r>
      <w:r w:rsidRPr="00636529">
        <w:t>of</w:t>
      </w:r>
      <w:r w:rsidRPr="00636529">
        <w:rPr>
          <w:spacing w:val="-11"/>
        </w:rPr>
        <w:t xml:space="preserve"> </w:t>
      </w:r>
      <w:r w:rsidRPr="00636529">
        <w:t>the</w:t>
      </w:r>
      <w:r w:rsidRPr="00636529">
        <w:rPr>
          <w:spacing w:val="-13"/>
        </w:rPr>
        <w:t xml:space="preserve"> </w:t>
      </w:r>
      <w:r w:rsidRPr="00636529">
        <w:t>second</w:t>
      </w:r>
      <w:r w:rsidRPr="00636529">
        <w:rPr>
          <w:spacing w:val="-11"/>
        </w:rPr>
        <w:t xml:space="preserve"> </w:t>
      </w:r>
      <w:r w:rsidRPr="00636529">
        <w:t>consent</w:t>
      </w:r>
      <w:r w:rsidRPr="00636529">
        <w:rPr>
          <w:spacing w:val="-13"/>
        </w:rPr>
        <w:t xml:space="preserve"> </w:t>
      </w:r>
      <w:r w:rsidRPr="00636529">
        <w:t>application</w:t>
      </w:r>
      <w:r w:rsidRPr="00636529">
        <w:rPr>
          <w:spacing w:val="-13"/>
        </w:rPr>
        <w:t xml:space="preserve"> </w:t>
      </w:r>
      <w:r w:rsidRPr="00636529">
        <w:t>is</w:t>
      </w:r>
      <w:r w:rsidRPr="00636529">
        <w:rPr>
          <w:spacing w:val="-11"/>
        </w:rPr>
        <w:t xml:space="preserve"> </w:t>
      </w:r>
      <w:r w:rsidRPr="00636529">
        <w:t>to</w:t>
      </w:r>
      <w:r w:rsidRPr="00636529">
        <w:rPr>
          <w:spacing w:val="-12"/>
        </w:rPr>
        <w:t xml:space="preserve"> </w:t>
      </w:r>
      <w:r w:rsidRPr="00636529">
        <w:t>sever</w:t>
      </w:r>
      <w:r w:rsidRPr="00636529">
        <w:rPr>
          <w:spacing w:val="-13"/>
        </w:rPr>
        <w:t xml:space="preserve"> </w:t>
      </w:r>
      <w:r w:rsidRPr="00636529">
        <w:t>the</w:t>
      </w:r>
      <w:r w:rsidRPr="00636529">
        <w:rPr>
          <w:spacing w:val="-11"/>
        </w:rPr>
        <w:t xml:space="preserve"> </w:t>
      </w:r>
      <w:r w:rsidRPr="00636529">
        <w:t>rear</w:t>
      </w:r>
      <w:r w:rsidRPr="00636529">
        <w:rPr>
          <w:spacing w:val="-11"/>
        </w:rPr>
        <w:t xml:space="preserve"> </w:t>
      </w:r>
      <w:r w:rsidRPr="00636529">
        <w:t>portion</w:t>
      </w:r>
      <w:r w:rsidRPr="00636529">
        <w:rPr>
          <w:spacing w:val="-12"/>
        </w:rPr>
        <w:t xml:space="preserve"> </w:t>
      </w:r>
      <w:r w:rsidRPr="00636529">
        <w:t>created</w:t>
      </w:r>
      <w:r w:rsidRPr="00636529">
        <w:rPr>
          <w:spacing w:val="-12"/>
        </w:rPr>
        <w:t xml:space="preserve"> </w:t>
      </w:r>
      <w:r w:rsidRPr="00636529">
        <w:t xml:space="preserve">through the first consent into two lots, each being 384 </w:t>
      </w:r>
      <w:proofErr w:type="spellStart"/>
      <w:r w:rsidRPr="00636529">
        <w:t>sq</w:t>
      </w:r>
      <w:proofErr w:type="spellEnd"/>
      <w:r w:rsidR="004F53B2">
        <w:t xml:space="preserve"> m</w:t>
      </w:r>
      <w:r w:rsidRPr="00636529">
        <w:t xml:space="preserve"> in area</w:t>
      </w:r>
      <w:r w:rsidR="0059766C">
        <w:t>.</w:t>
      </w:r>
      <w:r w:rsidRPr="00636529">
        <w:t xml:space="preserve"> </w:t>
      </w:r>
    </w:p>
    <w:p w14:paraId="32552C72" w14:textId="1175A8C0" w:rsidR="00411AA2" w:rsidRPr="0085553C" w:rsidRDefault="00411AA2" w:rsidP="00AE600B">
      <w:pPr>
        <w:pStyle w:val="ListParagraph"/>
      </w:pPr>
      <w:r w:rsidRPr="0059766C">
        <w:t xml:space="preserve">The purpose of the minor variance application is to vary the development </w:t>
      </w:r>
      <w:r w:rsidRPr="0059766C">
        <w:lastRenderedPageBreak/>
        <w:t>standards associated</w:t>
      </w:r>
      <w:r w:rsidRPr="0059766C">
        <w:rPr>
          <w:spacing w:val="-13"/>
        </w:rPr>
        <w:t xml:space="preserve"> </w:t>
      </w:r>
      <w:r w:rsidRPr="0059766C">
        <w:t>with</w:t>
      </w:r>
      <w:r w:rsidRPr="0059766C">
        <w:rPr>
          <w:spacing w:val="-11"/>
        </w:rPr>
        <w:t xml:space="preserve"> </w:t>
      </w:r>
      <w:r w:rsidRPr="0059766C">
        <w:t>the</w:t>
      </w:r>
      <w:r w:rsidRPr="0059766C">
        <w:rPr>
          <w:spacing w:val="-12"/>
        </w:rPr>
        <w:t xml:space="preserve"> </w:t>
      </w:r>
      <w:r w:rsidRPr="0059766C">
        <w:t>“B”</w:t>
      </w:r>
      <w:r w:rsidRPr="0059766C">
        <w:rPr>
          <w:spacing w:val="-11"/>
        </w:rPr>
        <w:t xml:space="preserve"> </w:t>
      </w:r>
      <w:r w:rsidRPr="0059766C">
        <w:t>(Suburban</w:t>
      </w:r>
      <w:r w:rsidRPr="0059766C">
        <w:rPr>
          <w:spacing w:val="-12"/>
        </w:rPr>
        <w:t xml:space="preserve"> </w:t>
      </w:r>
      <w:r w:rsidRPr="0059766C">
        <w:t>Agriculture</w:t>
      </w:r>
      <w:r w:rsidRPr="0059766C">
        <w:rPr>
          <w:spacing w:val="-11"/>
        </w:rPr>
        <w:t xml:space="preserve"> </w:t>
      </w:r>
      <w:r w:rsidRPr="0059766C">
        <w:t>and</w:t>
      </w:r>
      <w:r w:rsidRPr="0059766C">
        <w:rPr>
          <w:spacing w:val="-12"/>
        </w:rPr>
        <w:t xml:space="preserve"> </w:t>
      </w:r>
      <w:r w:rsidRPr="0059766C">
        <w:t>Residential,</w:t>
      </w:r>
      <w:r w:rsidRPr="0059766C">
        <w:rPr>
          <w:spacing w:val="-9"/>
        </w:rPr>
        <w:t xml:space="preserve"> </w:t>
      </w:r>
      <w:r w:rsidRPr="0059766C">
        <w:t>etc.)</w:t>
      </w:r>
      <w:r w:rsidRPr="0059766C">
        <w:rPr>
          <w:spacing w:val="-12"/>
        </w:rPr>
        <w:t xml:space="preserve"> </w:t>
      </w:r>
      <w:r w:rsidRPr="0059766C">
        <w:t>District</w:t>
      </w:r>
      <w:r w:rsidRPr="0059766C">
        <w:rPr>
          <w:spacing w:val="-11"/>
        </w:rPr>
        <w:t xml:space="preserve"> </w:t>
      </w:r>
      <w:r w:rsidRPr="0059766C">
        <w:t>zone</w:t>
      </w:r>
      <w:r w:rsidRPr="0059766C">
        <w:rPr>
          <w:spacing w:val="-12"/>
        </w:rPr>
        <w:t xml:space="preserve"> </w:t>
      </w:r>
      <w:r w:rsidR="000B3B41" w:rsidRPr="0059766C">
        <w:t xml:space="preserve">in </w:t>
      </w:r>
      <w:r w:rsidR="00933B21" w:rsidRPr="0059766C">
        <w:t>Zoning By-law No. 6593 (the “By-law”)</w:t>
      </w:r>
      <w:r w:rsidRPr="0059766C">
        <w:rPr>
          <w:spacing w:val="-10"/>
        </w:rPr>
        <w:t xml:space="preserve"> </w:t>
      </w:r>
      <w:r w:rsidRPr="0059766C">
        <w:t>in</w:t>
      </w:r>
      <w:r w:rsidRPr="0059766C">
        <w:rPr>
          <w:spacing w:val="-10"/>
        </w:rPr>
        <w:t xml:space="preserve"> </w:t>
      </w:r>
      <w:r w:rsidRPr="0059766C">
        <w:t>order</w:t>
      </w:r>
      <w:r w:rsidRPr="0059766C">
        <w:rPr>
          <w:spacing w:val="-11"/>
        </w:rPr>
        <w:t xml:space="preserve"> </w:t>
      </w:r>
      <w:r w:rsidRPr="0059766C">
        <w:t>to</w:t>
      </w:r>
      <w:r w:rsidRPr="0059766C">
        <w:rPr>
          <w:spacing w:val="-10"/>
        </w:rPr>
        <w:t xml:space="preserve"> </w:t>
      </w:r>
      <w:r w:rsidRPr="0059766C">
        <w:t>accommodate</w:t>
      </w:r>
      <w:r w:rsidRPr="0059766C">
        <w:rPr>
          <w:spacing w:val="-6"/>
        </w:rPr>
        <w:t xml:space="preserve"> </w:t>
      </w:r>
      <w:r w:rsidRPr="0059766C">
        <w:t>one</w:t>
      </w:r>
      <w:r w:rsidRPr="0059766C">
        <w:rPr>
          <w:spacing w:val="-10"/>
        </w:rPr>
        <w:t xml:space="preserve"> </w:t>
      </w:r>
      <w:r w:rsidRPr="0059766C">
        <w:t>new</w:t>
      </w:r>
      <w:r w:rsidRPr="0059766C">
        <w:rPr>
          <w:spacing w:val="-10"/>
        </w:rPr>
        <w:t xml:space="preserve"> </w:t>
      </w:r>
      <w:r w:rsidRPr="0059766C">
        <w:t>single</w:t>
      </w:r>
      <w:r w:rsidRPr="0059766C">
        <w:rPr>
          <w:spacing w:val="-10"/>
        </w:rPr>
        <w:t xml:space="preserve"> </w:t>
      </w:r>
      <w:r w:rsidRPr="0059766C">
        <w:t>detached dwelling on each of the new lots fronting Cielo</w:t>
      </w:r>
      <w:r w:rsidRPr="0059766C">
        <w:rPr>
          <w:spacing w:val="-5"/>
        </w:rPr>
        <w:t xml:space="preserve"> </w:t>
      </w:r>
      <w:r w:rsidRPr="0059766C">
        <w:t>Court.  The variance</w:t>
      </w:r>
      <w:r w:rsidR="00D91150" w:rsidRPr="0059766C">
        <w:t>s</w:t>
      </w:r>
      <w:r w:rsidRPr="0059766C">
        <w:t xml:space="preserve"> </w:t>
      </w:r>
      <w:r w:rsidR="000D5CA1" w:rsidRPr="0059766C">
        <w:t xml:space="preserve">sought </w:t>
      </w:r>
      <w:r w:rsidR="00D91150" w:rsidRPr="0059766C">
        <w:t>are as follows</w:t>
      </w:r>
      <w:r w:rsidRPr="0059766C">
        <w:t>:</w:t>
      </w:r>
    </w:p>
    <w:p w14:paraId="6D41CF9C" w14:textId="79027092" w:rsidR="00636529" w:rsidRPr="004F53B2" w:rsidRDefault="00411AA2" w:rsidP="00353B7C">
      <w:pPr>
        <w:pStyle w:val="ListParagraph"/>
        <w:numPr>
          <w:ilvl w:val="0"/>
          <w:numId w:val="3"/>
        </w:numPr>
        <w:ind w:left="993"/>
      </w:pPr>
      <w:r w:rsidRPr="00411AA2">
        <w:t xml:space="preserve">Minimum lot width of </w:t>
      </w:r>
      <w:r w:rsidRPr="004F53B2">
        <w:t>11</w:t>
      </w:r>
      <w:r w:rsidR="004F53B2">
        <w:t xml:space="preserve"> </w:t>
      </w:r>
      <w:r w:rsidRPr="004F53B2">
        <w:t xml:space="preserve">m, </w:t>
      </w:r>
      <w:r w:rsidR="00933B21">
        <w:t>whereas the By-law requires</w:t>
      </w:r>
      <w:r w:rsidRPr="004F53B2">
        <w:t xml:space="preserve"> </w:t>
      </w:r>
      <w:r w:rsidRPr="002C0E1B">
        <w:t>20</w:t>
      </w:r>
      <w:r w:rsidR="004F53B2">
        <w:t xml:space="preserve"> </w:t>
      </w:r>
      <w:r w:rsidRPr="004F53B2">
        <w:t>m</w:t>
      </w:r>
    </w:p>
    <w:p w14:paraId="6C0D8810" w14:textId="7A43AC25" w:rsidR="00411AA2" w:rsidRPr="004F53B2" w:rsidRDefault="00411AA2" w:rsidP="00353B7C">
      <w:pPr>
        <w:pStyle w:val="ListParagraph"/>
        <w:numPr>
          <w:ilvl w:val="0"/>
          <w:numId w:val="3"/>
        </w:numPr>
        <w:ind w:left="993"/>
      </w:pPr>
      <w:r w:rsidRPr="004F53B2">
        <w:t xml:space="preserve">Minimum lot area of 380 </w:t>
      </w:r>
      <w:proofErr w:type="spellStart"/>
      <w:r w:rsidRPr="004F53B2">
        <w:t>sq</w:t>
      </w:r>
      <w:proofErr w:type="spellEnd"/>
      <w:r w:rsidR="004F53B2">
        <w:t xml:space="preserve"> </w:t>
      </w:r>
      <w:r w:rsidRPr="004F53B2">
        <w:t xml:space="preserve">m, </w:t>
      </w:r>
      <w:r w:rsidR="00A83DA0">
        <w:t>whereas the By-law requires</w:t>
      </w:r>
      <w:r w:rsidR="0059766C">
        <w:t xml:space="preserve"> </w:t>
      </w:r>
      <w:r w:rsidRPr="004F53B2">
        <w:t xml:space="preserve">1,100 </w:t>
      </w:r>
      <w:proofErr w:type="spellStart"/>
      <w:r w:rsidRPr="004F53B2">
        <w:t>sq</w:t>
      </w:r>
      <w:proofErr w:type="spellEnd"/>
      <w:r w:rsidR="004F53B2">
        <w:t xml:space="preserve"> </w:t>
      </w:r>
      <w:r w:rsidRPr="004F53B2">
        <w:t>m</w:t>
      </w:r>
    </w:p>
    <w:p w14:paraId="5E29B42A" w14:textId="37786AFE" w:rsidR="00411AA2" w:rsidRPr="004F53B2" w:rsidRDefault="00411AA2" w:rsidP="00353B7C">
      <w:pPr>
        <w:pStyle w:val="ListParagraph"/>
        <w:numPr>
          <w:ilvl w:val="0"/>
          <w:numId w:val="3"/>
        </w:numPr>
        <w:ind w:left="993"/>
      </w:pPr>
      <w:r w:rsidRPr="004F53B2">
        <w:t>Minimum front yard depth of 6</w:t>
      </w:r>
      <w:r w:rsidR="004F53B2">
        <w:t xml:space="preserve"> </w:t>
      </w:r>
      <w:r w:rsidRPr="004F53B2">
        <w:t xml:space="preserve">m, </w:t>
      </w:r>
      <w:r w:rsidR="00A83DA0">
        <w:t xml:space="preserve">whereas the By-law requires </w:t>
      </w:r>
      <w:r w:rsidRPr="004F53B2">
        <w:t>12</w:t>
      </w:r>
      <w:r w:rsidR="004F53B2">
        <w:t xml:space="preserve"> </w:t>
      </w:r>
      <w:r w:rsidRPr="004F53B2">
        <w:t>m</w:t>
      </w:r>
    </w:p>
    <w:p w14:paraId="00F18DE5" w14:textId="15384CD7" w:rsidR="00411AA2" w:rsidRPr="004F53B2" w:rsidRDefault="00411AA2" w:rsidP="00353B7C">
      <w:pPr>
        <w:pStyle w:val="ListParagraph"/>
        <w:numPr>
          <w:ilvl w:val="0"/>
          <w:numId w:val="3"/>
        </w:numPr>
        <w:ind w:left="993"/>
      </w:pPr>
      <w:r w:rsidRPr="004F53B2">
        <w:t>Minimum side yard of 1.2</w:t>
      </w:r>
      <w:r w:rsidR="004F53B2">
        <w:t xml:space="preserve"> </w:t>
      </w:r>
      <w:r w:rsidRPr="004F53B2">
        <w:t xml:space="preserve">m, </w:t>
      </w:r>
      <w:r w:rsidR="00A83DA0">
        <w:t>whereas the By-law requires</w:t>
      </w:r>
      <w:r w:rsidRPr="004F53B2">
        <w:t xml:space="preserve"> 3</w:t>
      </w:r>
      <w:r w:rsidR="004F53B2">
        <w:t xml:space="preserve"> </w:t>
      </w:r>
      <w:r w:rsidRPr="004F53B2">
        <w:t>m</w:t>
      </w:r>
    </w:p>
    <w:p w14:paraId="4DDD4D7A" w14:textId="2BE882F0" w:rsidR="00411AA2" w:rsidRPr="004F53B2" w:rsidRDefault="00411AA2" w:rsidP="00353B7C">
      <w:pPr>
        <w:pStyle w:val="ListParagraph"/>
        <w:numPr>
          <w:ilvl w:val="0"/>
          <w:numId w:val="3"/>
        </w:numPr>
        <w:ind w:left="993"/>
      </w:pPr>
      <w:r w:rsidRPr="004F53B2">
        <w:t>Minimum rear yard depth of 7</w:t>
      </w:r>
      <w:r w:rsidR="004F53B2">
        <w:t xml:space="preserve"> </w:t>
      </w:r>
      <w:r w:rsidRPr="004F53B2">
        <w:t xml:space="preserve">m, </w:t>
      </w:r>
      <w:r w:rsidR="00A83DA0">
        <w:t>whereas the By-law requires</w:t>
      </w:r>
      <w:r w:rsidRPr="004F53B2">
        <w:t xml:space="preserve"> 9</w:t>
      </w:r>
      <w:r w:rsidR="004F53B2">
        <w:t xml:space="preserve"> </w:t>
      </w:r>
      <w:r w:rsidRPr="004F53B2">
        <w:t>m</w:t>
      </w:r>
    </w:p>
    <w:p w14:paraId="274A406F" w14:textId="04FB19AB" w:rsidR="00411AA2" w:rsidRDefault="00E478DB" w:rsidP="00242C6C">
      <w:pPr>
        <w:spacing w:beforeLines="150" w:before="360" w:afterLines="150" w:after="360" w:line="360" w:lineRule="auto"/>
        <w:rPr>
          <w:rFonts w:ascii="Arial" w:hAnsi="Arial" w:cs="Arial"/>
          <w:b/>
          <w:bCs/>
        </w:rPr>
      </w:pPr>
      <w:r>
        <w:rPr>
          <w:rFonts w:ascii="Arial" w:hAnsi="Arial" w:cs="Arial"/>
          <w:b/>
          <w:bCs/>
        </w:rPr>
        <w:t>ISSUES AND ANALYSIS</w:t>
      </w:r>
    </w:p>
    <w:p w14:paraId="0178ADEF" w14:textId="0DB55AD5" w:rsidR="0059766C" w:rsidRDefault="00E478DB" w:rsidP="00AE600B">
      <w:pPr>
        <w:pStyle w:val="ListParagraph"/>
      </w:pPr>
      <w:r w:rsidRPr="00D66D13">
        <w:t xml:space="preserve">In considering the appeals, the Tribunal is to have regard for the criteria as set out in s. 51(24) of the Act when considering whether to </w:t>
      </w:r>
      <w:r w:rsidR="00E45E2C">
        <w:t>give provisional consent.</w:t>
      </w:r>
      <w:r>
        <w:t xml:space="preserve"> </w:t>
      </w:r>
      <w:r w:rsidR="00E45E2C">
        <w:t>W</w:t>
      </w:r>
      <w:r>
        <w:t>hen considering the variances,</w:t>
      </w:r>
      <w:r w:rsidRPr="00D66D13">
        <w:t xml:space="preserve"> the Tribunal must </w:t>
      </w:r>
      <w:r>
        <w:t>determine whether</w:t>
      </w:r>
      <w:r w:rsidRPr="00D66D13">
        <w:t xml:space="preserve"> </w:t>
      </w:r>
      <w:r>
        <w:t>the variances</w:t>
      </w:r>
      <w:r w:rsidRPr="00D66D13">
        <w:t xml:space="preserve"> meet the four tests of a minor variance as set out in s. 45(1) of the Act</w:t>
      </w:r>
      <w:r>
        <w:t xml:space="preserve"> being</w:t>
      </w:r>
      <w:r w:rsidR="00550F48">
        <w:t xml:space="preserve"> that each variance</w:t>
      </w:r>
      <w:r w:rsidR="0059766C">
        <w:t>:</w:t>
      </w:r>
    </w:p>
    <w:p w14:paraId="70387F29" w14:textId="19339CA7" w:rsidR="00061770" w:rsidRPr="00061770" w:rsidRDefault="0059766C" w:rsidP="00AE600B">
      <w:pPr>
        <w:pStyle w:val="ListParagraph"/>
        <w:numPr>
          <w:ilvl w:val="0"/>
          <w:numId w:val="12"/>
        </w:numPr>
      </w:pPr>
      <w:r w:rsidRPr="00061770">
        <w:t xml:space="preserve">maintains the general intent and purpose of the Official </w:t>
      </w:r>
      <w:proofErr w:type="gramStart"/>
      <w:r w:rsidRPr="00061770">
        <w:t>Plan;</w:t>
      </w:r>
      <w:proofErr w:type="gramEnd"/>
      <w:r w:rsidRPr="00061770">
        <w:t xml:space="preserve"> </w:t>
      </w:r>
    </w:p>
    <w:p w14:paraId="62F61B90" w14:textId="16ABD5E0" w:rsidR="0059766C" w:rsidRPr="00061770" w:rsidRDefault="0059766C" w:rsidP="00061770">
      <w:pPr>
        <w:rPr>
          <w:rFonts w:ascii="Arial" w:hAnsi="Arial" w:cs="Arial"/>
          <w:shd w:val="clear" w:color="auto" w:fill="FFFFFF"/>
        </w:rPr>
      </w:pPr>
      <w:r>
        <w:rPr>
          <w:shd w:val="clear" w:color="auto" w:fill="FFFFFF"/>
        </w:rPr>
        <w:tab/>
      </w:r>
      <w:r w:rsidRPr="00061770">
        <w:rPr>
          <w:rFonts w:ascii="Arial" w:hAnsi="Arial" w:cs="Arial"/>
          <w:shd w:val="clear" w:color="auto" w:fill="FFFFFF"/>
        </w:rPr>
        <w:t>ii.</w:t>
      </w:r>
      <w:r w:rsidRPr="00061770">
        <w:rPr>
          <w:rFonts w:ascii="Arial" w:hAnsi="Arial" w:cs="Arial"/>
          <w:shd w:val="clear" w:color="auto" w:fill="FFFFFF"/>
        </w:rPr>
        <w:tab/>
        <w:t xml:space="preserve">maintains the general intent and purpose of the zoning </w:t>
      </w:r>
      <w:proofErr w:type="gramStart"/>
      <w:r w:rsidRPr="00061770">
        <w:rPr>
          <w:rFonts w:ascii="Arial" w:hAnsi="Arial" w:cs="Arial"/>
          <w:shd w:val="clear" w:color="auto" w:fill="FFFFFF"/>
        </w:rPr>
        <w:t>by-law;</w:t>
      </w:r>
      <w:proofErr w:type="gramEnd"/>
      <w:r w:rsidRPr="00061770">
        <w:rPr>
          <w:rFonts w:ascii="Arial" w:hAnsi="Arial" w:cs="Arial"/>
          <w:shd w:val="clear" w:color="auto" w:fill="FFFFFF"/>
        </w:rPr>
        <w:t xml:space="preserve"> </w:t>
      </w:r>
    </w:p>
    <w:p w14:paraId="168C3C1B" w14:textId="63FB6E91" w:rsidR="0059766C" w:rsidRDefault="0059766C" w:rsidP="00AE600B">
      <w:pPr>
        <w:pStyle w:val="ListParagraph"/>
        <w:numPr>
          <w:ilvl w:val="0"/>
          <w:numId w:val="11"/>
        </w:numPr>
      </w:pPr>
      <w:r w:rsidRPr="0059766C">
        <w:t>is desirable for the appropriate development or use of the land</w:t>
      </w:r>
      <w:r>
        <w:t xml:space="preserve">, </w:t>
      </w:r>
      <w:r w:rsidRPr="0059766C">
        <w:t xml:space="preserve">building or structure; and   </w:t>
      </w:r>
    </w:p>
    <w:p w14:paraId="1CEA94A7" w14:textId="5BBAA875" w:rsidR="0059766C" w:rsidRPr="0059766C" w:rsidRDefault="0059766C" w:rsidP="00AE600B">
      <w:pPr>
        <w:pStyle w:val="ListParagraph"/>
        <w:numPr>
          <w:ilvl w:val="0"/>
          <w:numId w:val="11"/>
        </w:numPr>
      </w:pPr>
      <w:r>
        <w:t>i</w:t>
      </w:r>
      <w:r w:rsidRPr="0059766C">
        <w:t xml:space="preserve">s minor. </w:t>
      </w:r>
    </w:p>
    <w:p w14:paraId="57F5D9AC" w14:textId="25C4159B" w:rsidR="006A1948" w:rsidRPr="00061770" w:rsidRDefault="006A1948" w:rsidP="00AE600B">
      <w:pPr>
        <w:pStyle w:val="ListParagraph"/>
      </w:pPr>
      <w:r w:rsidRPr="00061770">
        <w:t>Furthermore, the Tribunal’s decision must be consistent with the Provincial Policy Statement, 2020 (the “PPS</w:t>
      </w:r>
      <w:r w:rsidR="00061770">
        <w:t xml:space="preserve"> 2020</w:t>
      </w:r>
      <w:r w:rsidRPr="00061770">
        <w:t xml:space="preserve">”), conform with the Growth Plan for the Greater </w:t>
      </w:r>
      <w:r w:rsidRPr="00061770">
        <w:lastRenderedPageBreak/>
        <w:t xml:space="preserve">Golden Horseshoe, 2019 (the “Growth Plan”), and have regard for the matters set out in s. 2 of the Act. </w:t>
      </w:r>
    </w:p>
    <w:p w14:paraId="5BA213F1" w14:textId="4BE23ED3" w:rsidR="00411AA2" w:rsidRPr="00411AA2" w:rsidRDefault="00411AA2" w:rsidP="00AE600B">
      <w:pPr>
        <w:pStyle w:val="ListParagraph"/>
      </w:pPr>
      <w:r w:rsidRPr="00411AA2">
        <w:t xml:space="preserve">Ms. </w:t>
      </w:r>
      <w:proofErr w:type="spellStart"/>
      <w:r w:rsidRPr="00411AA2">
        <w:t>Frieday</w:t>
      </w:r>
      <w:proofErr w:type="spellEnd"/>
      <w:r w:rsidRPr="00411AA2">
        <w:t xml:space="preserve"> advised the Tribunal that the subject property </w:t>
      </w:r>
      <w:proofErr w:type="gramStart"/>
      <w:r w:rsidRPr="00411AA2">
        <w:t>is located in</w:t>
      </w:r>
      <w:proofErr w:type="gramEnd"/>
      <w:r w:rsidRPr="00411AA2">
        <w:t xml:space="preserve"> the </w:t>
      </w:r>
      <w:proofErr w:type="spellStart"/>
      <w:r w:rsidRPr="00411AA2">
        <w:t>Ryckman</w:t>
      </w:r>
      <w:proofErr w:type="spellEnd"/>
      <w:r w:rsidRPr="00411AA2">
        <w:t xml:space="preserve"> neighborhood of the City. The proposal is to create two new residential lots and retain the existing dwelling on the resultant lot.</w:t>
      </w:r>
    </w:p>
    <w:p w14:paraId="074A9A57" w14:textId="116249ED" w:rsidR="00411AA2" w:rsidRPr="00411AA2" w:rsidRDefault="00411AA2" w:rsidP="00AE600B">
      <w:pPr>
        <w:pStyle w:val="ListParagraph"/>
      </w:pPr>
      <w:r w:rsidRPr="00411AA2">
        <w:t>She advised that the lands to the south were developed as DiCenzo Gardens located immediately to the south of the Subject</w:t>
      </w:r>
      <w:r w:rsidRPr="00411AA2">
        <w:rPr>
          <w:spacing w:val="-2"/>
        </w:rPr>
        <w:t xml:space="preserve"> </w:t>
      </w:r>
      <w:r w:rsidRPr="00411AA2">
        <w:t xml:space="preserve">Lands.  To the southwest, the new </w:t>
      </w:r>
      <w:proofErr w:type="spellStart"/>
      <w:r w:rsidRPr="00411AA2">
        <w:t>Jamesmount</w:t>
      </w:r>
      <w:proofErr w:type="spellEnd"/>
      <w:r w:rsidRPr="00411AA2">
        <w:t xml:space="preserve"> Gardens was draft approved by the City on August 17, 2020. The lands are located east of Upper James </w:t>
      </w:r>
      <w:r w:rsidR="004F53B2">
        <w:t xml:space="preserve">Street </w:t>
      </w:r>
      <w:r w:rsidRPr="00411AA2">
        <w:t>and south of Stone Church Road</w:t>
      </w:r>
      <w:r w:rsidRPr="00411AA2">
        <w:rPr>
          <w:spacing w:val="-1"/>
        </w:rPr>
        <w:t xml:space="preserve"> </w:t>
      </w:r>
      <w:r w:rsidRPr="00411AA2">
        <w:t xml:space="preserve">East.  The </w:t>
      </w:r>
      <w:proofErr w:type="spellStart"/>
      <w:r w:rsidRPr="00411AA2">
        <w:t>Jamesmount</w:t>
      </w:r>
      <w:proofErr w:type="spellEnd"/>
      <w:r w:rsidRPr="00411AA2">
        <w:t xml:space="preserve"> Draft Plan of Subdivision includes 150 residential units, including 19 blocks</w:t>
      </w:r>
      <w:r w:rsidRPr="00411AA2">
        <w:rPr>
          <w:spacing w:val="-5"/>
        </w:rPr>
        <w:t xml:space="preserve"> </w:t>
      </w:r>
      <w:r w:rsidRPr="00411AA2">
        <w:t>for</w:t>
      </w:r>
      <w:r w:rsidRPr="00411AA2">
        <w:rPr>
          <w:spacing w:val="-3"/>
        </w:rPr>
        <w:t xml:space="preserve"> </w:t>
      </w:r>
      <w:r w:rsidRPr="00411AA2">
        <w:t>38</w:t>
      </w:r>
      <w:r w:rsidRPr="00411AA2">
        <w:rPr>
          <w:spacing w:val="-4"/>
        </w:rPr>
        <w:t xml:space="preserve"> </w:t>
      </w:r>
      <w:r w:rsidRPr="00411AA2">
        <w:t>semi-detached</w:t>
      </w:r>
      <w:r w:rsidRPr="00411AA2">
        <w:rPr>
          <w:spacing w:val="-5"/>
        </w:rPr>
        <w:t xml:space="preserve"> </w:t>
      </w:r>
      <w:proofErr w:type="gramStart"/>
      <w:r w:rsidRPr="00411AA2">
        <w:t>homes;</w:t>
      </w:r>
      <w:proofErr w:type="gramEnd"/>
      <w:r w:rsidRPr="00411AA2">
        <w:rPr>
          <w:spacing w:val="-4"/>
        </w:rPr>
        <w:t xml:space="preserve"> </w:t>
      </w:r>
      <w:r w:rsidRPr="00411AA2">
        <w:t>13</w:t>
      </w:r>
      <w:r w:rsidRPr="00411AA2">
        <w:rPr>
          <w:spacing w:val="-4"/>
        </w:rPr>
        <w:t xml:space="preserve"> </w:t>
      </w:r>
      <w:r w:rsidRPr="00411AA2">
        <w:t>blocks</w:t>
      </w:r>
      <w:r w:rsidRPr="00411AA2">
        <w:rPr>
          <w:spacing w:val="-4"/>
        </w:rPr>
        <w:t xml:space="preserve"> </w:t>
      </w:r>
      <w:r w:rsidRPr="00411AA2">
        <w:t>for</w:t>
      </w:r>
      <w:r w:rsidRPr="00411AA2">
        <w:rPr>
          <w:spacing w:val="-5"/>
        </w:rPr>
        <w:t xml:space="preserve"> </w:t>
      </w:r>
      <w:r w:rsidRPr="00411AA2">
        <w:t>91</w:t>
      </w:r>
      <w:r w:rsidRPr="00411AA2">
        <w:rPr>
          <w:spacing w:val="-4"/>
        </w:rPr>
        <w:t xml:space="preserve"> </w:t>
      </w:r>
      <w:r w:rsidRPr="00411AA2">
        <w:t>townhouses,</w:t>
      </w:r>
      <w:r w:rsidRPr="00411AA2">
        <w:rPr>
          <w:spacing w:val="-2"/>
        </w:rPr>
        <w:t xml:space="preserve"> </w:t>
      </w:r>
      <w:r w:rsidRPr="00411AA2">
        <w:t>one</w:t>
      </w:r>
      <w:r w:rsidRPr="00411AA2">
        <w:rPr>
          <w:spacing w:val="-4"/>
        </w:rPr>
        <w:t xml:space="preserve"> </w:t>
      </w:r>
      <w:r w:rsidRPr="00411AA2">
        <w:t>block</w:t>
      </w:r>
      <w:r w:rsidRPr="00411AA2">
        <w:rPr>
          <w:spacing w:val="-4"/>
        </w:rPr>
        <w:t xml:space="preserve"> </w:t>
      </w:r>
      <w:r w:rsidRPr="00411AA2">
        <w:t>for</w:t>
      </w:r>
      <w:r w:rsidRPr="00411AA2">
        <w:rPr>
          <w:spacing w:val="-5"/>
        </w:rPr>
        <w:t xml:space="preserve"> </w:t>
      </w:r>
      <w:r w:rsidRPr="00411AA2">
        <w:t>block townhouses</w:t>
      </w:r>
      <w:r w:rsidRPr="00411AA2">
        <w:rPr>
          <w:spacing w:val="-12"/>
        </w:rPr>
        <w:t xml:space="preserve"> </w:t>
      </w:r>
      <w:r w:rsidRPr="00411AA2">
        <w:t>and</w:t>
      </w:r>
      <w:r w:rsidRPr="00411AA2">
        <w:rPr>
          <w:spacing w:val="-10"/>
        </w:rPr>
        <w:t xml:space="preserve"> </w:t>
      </w:r>
      <w:r w:rsidRPr="00411AA2">
        <w:t>various</w:t>
      </w:r>
      <w:r w:rsidRPr="00411AA2">
        <w:rPr>
          <w:spacing w:val="-12"/>
        </w:rPr>
        <w:t xml:space="preserve"> </w:t>
      </w:r>
      <w:r w:rsidRPr="00411AA2">
        <w:t>blocks</w:t>
      </w:r>
      <w:r w:rsidRPr="00411AA2">
        <w:rPr>
          <w:spacing w:val="-10"/>
        </w:rPr>
        <w:t xml:space="preserve"> </w:t>
      </w:r>
      <w:r w:rsidRPr="00411AA2">
        <w:t>for</w:t>
      </w:r>
      <w:r w:rsidRPr="00411AA2">
        <w:rPr>
          <w:spacing w:val="-12"/>
        </w:rPr>
        <w:t xml:space="preserve"> </w:t>
      </w:r>
      <w:r w:rsidRPr="00411AA2">
        <w:t>single-detached</w:t>
      </w:r>
      <w:r w:rsidRPr="00411AA2">
        <w:rPr>
          <w:spacing w:val="-10"/>
        </w:rPr>
        <w:t xml:space="preserve"> </w:t>
      </w:r>
      <w:r w:rsidRPr="00411AA2">
        <w:t>dwellings.</w:t>
      </w:r>
      <w:r w:rsidRPr="00411AA2">
        <w:rPr>
          <w:spacing w:val="41"/>
        </w:rPr>
        <w:t xml:space="preserve"> </w:t>
      </w:r>
      <w:r w:rsidRPr="00411AA2">
        <w:t>With</w:t>
      </w:r>
      <w:r w:rsidRPr="00411AA2">
        <w:rPr>
          <w:spacing w:val="-10"/>
        </w:rPr>
        <w:t xml:space="preserve"> </w:t>
      </w:r>
      <w:r w:rsidRPr="00411AA2">
        <w:t>this</w:t>
      </w:r>
      <w:r w:rsidRPr="00411AA2">
        <w:rPr>
          <w:spacing w:val="-10"/>
        </w:rPr>
        <w:t xml:space="preserve"> </w:t>
      </w:r>
      <w:r w:rsidRPr="00411AA2">
        <w:t>development,</w:t>
      </w:r>
      <w:r w:rsidRPr="00411AA2">
        <w:rPr>
          <w:spacing w:val="-10"/>
        </w:rPr>
        <w:t xml:space="preserve"> </w:t>
      </w:r>
      <w:r w:rsidRPr="00411AA2">
        <w:t xml:space="preserve">the </w:t>
      </w:r>
      <w:proofErr w:type="spellStart"/>
      <w:r w:rsidRPr="00411AA2">
        <w:t>Ryckman</w:t>
      </w:r>
      <w:proofErr w:type="spellEnd"/>
      <w:r w:rsidRPr="00411AA2">
        <w:t xml:space="preserve"> </w:t>
      </w:r>
      <w:r w:rsidRPr="00DD7B54">
        <w:rPr>
          <w:lang w:val="en-CA"/>
        </w:rPr>
        <w:t xml:space="preserve">Neighbourhood </w:t>
      </w:r>
      <w:r w:rsidRPr="00411AA2">
        <w:t xml:space="preserve">will be near built-out. </w:t>
      </w:r>
    </w:p>
    <w:p w14:paraId="73D44B25" w14:textId="255EB779" w:rsidR="00411AA2" w:rsidRPr="00411AA2" w:rsidRDefault="00411AA2" w:rsidP="00AE600B">
      <w:pPr>
        <w:pStyle w:val="ListParagraph"/>
      </w:pPr>
      <w:r w:rsidRPr="00411AA2">
        <w:t xml:space="preserve">Ms. </w:t>
      </w:r>
      <w:proofErr w:type="spellStart"/>
      <w:r w:rsidRPr="00411AA2">
        <w:t>Frieday</w:t>
      </w:r>
      <w:proofErr w:type="spellEnd"/>
      <w:r w:rsidRPr="00411AA2">
        <w:t xml:space="preserve"> submitted that the proposed severances will satisfy  </w:t>
      </w:r>
      <w:r w:rsidR="002C0E1B">
        <w:t xml:space="preserve">             </w:t>
      </w:r>
      <w:r w:rsidR="004F53B2">
        <w:t xml:space="preserve">s. </w:t>
      </w:r>
      <w:r w:rsidRPr="00411AA2">
        <w:t xml:space="preserve">51(24) and </w:t>
      </w:r>
      <w:r w:rsidR="004F53B2">
        <w:t>s.</w:t>
      </w:r>
      <w:r w:rsidRPr="00411AA2">
        <w:t xml:space="preserve"> 2 of the Act and that City staff had not identified any concerns with these criteria. The subject applications will clearly contribute to the provision of a full range of housing (</w:t>
      </w:r>
      <w:r w:rsidR="00A93141">
        <w:t xml:space="preserve">s. </w:t>
      </w:r>
      <w:r w:rsidRPr="00411AA2">
        <w:t>2(j)) and represent orderly development (</w:t>
      </w:r>
      <w:r w:rsidR="00A93141">
        <w:t xml:space="preserve">s. </w:t>
      </w:r>
      <w:r w:rsidRPr="00411AA2">
        <w:t>2(h)). The lands are certainly suitable for the proposed dwellings (</w:t>
      </w:r>
      <w:r w:rsidR="00A93141">
        <w:t xml:space="preserve">s. </w:t>
      </w:r>
      <w:r w:rsidRPr="00411AA2">
        <w:t>51(24)(d)</w:t>
      </w:r>
      <w:r w:rsidR="005E50D6">
        <w:t>)</w:t>
      </w:r>
      <w:r w:rsidRPr="00411AA2">
        <w:t xml:space="preserve"> and conform with the Official Plan (</w:t>
      </w:r>
      <w:r w:rsidR="00E32E9D">
        <w:t xml:space="preserve">s. </w:t>
      </w:r>
      <w:r w:rsidRPr="00411AA2">
        <w:t>51(24)</w:t>
      </w:r>
      <w:r w:rsidR="00E32E9D">
        <w:t>(</w:t>
      </w:r>
      <w:r w:rsidRPr="00411AA2">
        <w:t>c)</w:t>
      </w:r>
      <w:r w:rsidR="005E50D6">
        <w:t>)</w:t>
      </w:r>
      <w:r w:rsidRPr="00411AA2">
        <w:t xml:space="preserve">. </w:t>
      </w:r>
    </w:p>
    <w:p w14:paraId="5363EFC2" w14:textId="43A67F2B" w:rsidR="00411AA2" w:rsidRPr="00411AA2" w:rsidRDefault="00411AA2" w:rsidP="00AE600B">
      <w:pPr>
        <w:pStyle w:val="ListParagraph"/>
      </w:pPr>
      <w:r w:rsidRPr="00411AA2">
        <w:t xml:space="preserve">Ms. </w:t>
      </w:r>
      <w:proofErr w:type="spellStart"/>
      <w:r w:rsidRPr="00411AA2">
        <w:t>Frieday</w:t>
      </w:r>
      <w:proofErr w:type="spellEnd"/>
      <w:r w:rsidRPr="00411AA2">
        <w:t xml:space="preserve"> further submitted that staff recommended against the applications because of the form of the applications: minor variances rather than a rezoning. </w:t>
      </w:r>
    </w:p>
    <w:p w14:paraId="43A17F78" w14:textId="17F35FB9" w:rsidR="00411AA2" w:rsidRPr="00411AA2" w:rsidRDefault="00411AA2" w:rsidP="00AE600B">
      <w:pPr>
        <w:pStyle w:val="ListParagraph"/>
      </w:pPr>
      <w:r w:rsidRPr="00411AA2">
        <w:t xml:space="preserve">Throughout the evidence presented by </w:t>
      </w:r>
      <w:r w:rsidR="00D66D13">
        <w:t>C</w:t>
      </w:r>
      <w:r w:rsidRPr="00411AA2">
        <w:t xml:space="preserve">ity staff, this was a recurring theme. </w:t>
      </w:r>
    </w:p>
    <w:p w14:paraId="057B22CC" w14:textId="5077A767" w:rsidR="00411AA2" w:rsidRPr="00061770" w:rsidRDefault="00411AA2" w:rsidP="00061770">
      <w:pPr>
        <w:rPr>
          <w:rFonts w:ascii="Arial" w:hAnsi="Arial" w:cs="Arial"/>
          <w:b/>
        </w:rPr>
      </w:pPr>
      <w:r w:rsidRPr="00061770">
        <w:rPr>
          <w:rFonts w:ascii="Arial" w:hAnsi="Arial" w:cs="Arial"/>
          <w:b/>
        </w:rPr>
        <w:t>PPS 2020</w:t>
      </w:r>
    </w:p>
    <w:p w14:paraId="7B56BE59" w14:textId="19FD3BEA" w:rsidR="00411AA2" w:rsidRPr="00411AA2" w:rsidRDefault="00411AA2" w:rsidP="00AE600B">
      <w:pPr>
        <w:pStyle w:val="ListParagraph"/>
      </w:pPr>
      <w:r w:rsidRPr="00411AA2">
        <w:rPr>
          <w:color w:val="212121"/>
        </w:rPr>
        <w:t xml:space="preserve">Ms. </w:t>
      </w:r>
      <w:proofErr w:type="spellStart"/>
      <w:r w:rsidRPr="00411AA2">
        <w:rPr>
          <w:color w:val="212121"/>
        </w:rPr>
        <w:t>Frieday</w:t>
      </w:r>
      <w:proofErr w:type="spellEnd"/>
      <w:r w:rsidRPr="00411AA2">
        <w:rPr>
          <w:color w:val="212121"/>
        </w:rPr>
        <w:t xml:space="preserve"> reviewed the PPS </w:t>
      </w:r>
      <w:r w:rsidR="00242C6C">
        <w:rPr>
          <w:color w:val="212121"/>
        </w:rPr>
        <w:t xml:space="preserve">2020 </w:t>
      </w:r>
      <w:r w:rsidRPr="00411AA2">
        <w:rPr>
          <w:color w:val="212121"/>
        </w:rPr>
        <w:t xml:space="preserve">and testified </w:t>
      </w:r>
      <w:r w:rsidRPr="00411AA2">
        <w:t>the</w:t>
      </w:r>
      <w:r w:rsidRPr="00411AA2">
        <w:rPr>
          <w:spacing w:val="-16"/>
        </w:rPr>
        <w:t xml:space="preserve"> </w:t>
      </w:r>
      <w:r w:rsidRPr="00411AA2">
        <w:t>consent</w:t>
      </w:r>
      <w:r w:rsidRPr="00411AA2">
        <w:rPr>
          <w:spacing w:val="-17"/>
        </w:rPr>
        <w:t xml:space="preserve"> </w:t>
      </w:r>
      <w:r w:rsidRPr="00411AA2">
        <w:t>applications</w:t>
      </w:r>
      <w:r w:rsidRPr="00411AA2">
        <w:rPr>
          <w:spacing w:val="-15"/>
        </w:rPr>
        <w:t xml:space="preserve"> </w:t>
      </w:r>
      <w:r w:rsidRPr="00411AA2">
        <w:t>and</w:t>
      </w:r>
      <w:r w:rsidRPr="00411AA2">
        <w:rPr>
          <w:spacing w:val="-15"/>
        </w:rPr>
        <w:t xml:space="preserve"> </w:t>
      </w:r>
      <w:r w:rsidRPr="00411AA2">
        <w:t>the</w:t>
      </w:r>
      <w:r w:rsidRPr="00411AA2">
        <w:rPr>
          <w:spacing w:val="-16"/>
        </w:rPr>
        <w:t xml:space="preserve"> </w:t>
      </w:r>
      <w:r w:rsidRPr="00411AA2">
        <w:t>five</w:t>
      </w:r>
      <w:r w:rsidRPr="00411AA2">
        <w:rPr>
          <w:spacing w:val="-18"/>
        </w:rPr>
        <w:t xml:space="preserve"> </w:t>
      </w:r>
      <w:r w:rsidRPr="00411AA2">
        <w:t>variances</w:t>
      </w:r>
      <w:r w:rsidRPr="00411AA2">
        <w:rPr>
          <w:spacing w:val="-15"/>
        </w:rPr>
        <w:t xml:space="preserve"> </w:t>
      </w:r>
      <w:r w:rsidRPr="00411AA2">
        <w:t>requested</w:t>
      </w:r>
      <w:r w:rsidRPr="00411AA2">
        <w:rPr>
          <w:spacing w:val="-18"/>
        </w:rPr>
        <w:t xml:space="preserve"> </w:t>
      </w:r>
      <w:r w:rsidRPr="00411AA2">
        <w:t>are</w:t>
      </w:r>
      <w:r w:rsidRPr="00411AA2">
        <w:rPr>
          <w:spacing w:val="-16"/>
        </w:rPr>
        <w:t xml:space="preserve"> </w:t>
      </w:r>
      <w:r w:rsidRPr="00411AA2">
        <w:t>consistent</w:t>
      </w:r>
      <w:r w:rsidRPr="00411AA2">
        <w:rPr>
          <w:spacing w:val="-16"/>
        </w:rPr>
        <w:t xml:space="preserve"> </w:t>
      </w:r>
      <w:r w:rsidRPr="00411AA2">
        <w:t>with</w:t>
      </w:r>
      <w:r w:rsidRPr="00411AA2">
        <w:rPr>
          <w:spacing w:val="-16"/>
        </w:rPr>
        <w:t xml:space="preserve"> </w:t>
      </w:r>
      <w:r w:rsidRPr="00411AA2">
        <w:t>the</w:t>
      </w:r>
      <w:r w:rsidRPr="00411AA2">
        <w:rPr>
          <w:spacing w:val="-15"/>
        </w:rPr>
        <w:t xml:space="preserve"> </w:t>
      </w:r>
      <w:r w:rsidRPr="00411AA2">
        <w:t xml:space="preserve">PPS 2020.  </w:t>
      </w:r>
    </w:p>
    <w:p w14:paraId="57C4357A" w14:textId="3DABF0A9" w:rsidR="00242C6C" w:rsidRDefault="00411AA2" w:rsidP="00AE600B">
      <w:pPr>
        <w:pStyle w:val="ListParagraph"/>
      </w:pPr>
      <w:r w:rsidRPr="00411AA2">
        <w:lastRenderedPageBreak/>
        <w:t>In her testimony, she states that</w:t>
      </w:r>
      <w:r w:rsidR="002A1355">
        <w:t>:</w:t>
      </w:r>
    </w:p>
    <w:p w14:paraId="2909BFB8" w14:textId="079BE17E" w:rsidR="00627D4A" w:rsidRPr="00061770" w:rsidRDefault="00242C6C" w:rsidP="00353B7C">
      <w:pPr>
        <w:spacing w:beforeLines="50" w:before="120" w:afterLines="50" w:after="120"/>
        <w:ind w:left="2158" w:right="1418" w:hanging="740"/>
        <w:rPr>
          <w:rFonts w:ascii="Arial" w:hAnsi="Arial" w:cs="Arial"/>
          <w:iCs/>
          <w:sz w:val="20"/>
          <w:szCs w:val="20"/>
        </w:rPr>
      </w:pPr>
      <w:r w:rsidRPr="00061770">
        <w:rPr>
          <w:rFonts w:ascii="Arial" w:hAnsi="Arial" w:cs="Arial"/>
        </w:rPr>
        <w:t>A.</w:t>
      </w:r>
      <w:r w:rsidRPr="00061770">
        <w:rPr>
          <w:rFonts w:ascii="Arial" w:hAnsi="Arial" w:cs="Arial"/>
        </w:rPr>
        <w:tab/>
      </w:r>
      <w:r w:rsidR="00411AA2" w:rsidRPr="00061770">
        <w:rPr>
          <w:rFonts w:ascii="Arial" w:hAnsi="Arial" w:cs="Arial"/>
          <w:sz w:val="20"/>
          <w:szCs w:val="20"/>
        </w:rPr>
        <w:t>Part</w:t>
      </w:r>
      <w:r w:rsidR="00411AA2" w:rsidRPr="00061770">
        <w:rPr>
          <w:rFonts w:ascii="Arial" w:hAnsi="Arial" w:cs="Arial"/>
          <w:spacing w:val="-7"/>
          <w:sz w:val="20"/>
          <w:szCs w:val="20"/>
        </w:rPr>
        <w:t xml:space="preserve"> </w:t>
      </w:r>
      <w:r w:rsidR="00411AA2" w:rsidRPr="00061770">
        <w:rPr>
          <w:rFonts w:ascii="Arial" w:hAnsi="Arial" w:cs="Arial"/>
          <w:sz w:val="20"/>
          <w:szCs w:val="20"/>
        </w:rPr>
        <w:t>V,</w:t>
      </w:r>
      <w:r w:rsidR="00411AA2" w:rsidRPr="00061770">
        <w:rPr>
          <w:rFonts w:ascii="Arial" w:hAnsi="Arial" w:cs="Arial"/>
          <w:spacing w:val="-7"/>
          <w:sz w:val="20"/>
          <w:szCs w:val="20"/>
        </w:rPr>
        <w:t xml:space="preserve"> </w:t>
      </w:r>
      <w:r w:rsidR="00411AA2" w:rsidRPr="00061770">
        <w:rPr>
          <w:rFonts w:ascii="Arial" w:hAnsi="Arial" w:cs="Arial"/>
          <w:sz w:val="20"/>
          <w:szCs w:val="20"/>
        </w:rPr>
        <w:t>Policies,</w:t>
      </w:r>
      <w:r w:rsidR="00411AA2" w:rsidRPr="00061770">
        <w:rPr>
          <w:rFonts w:ascii="Arial" w:hAnsi="Arial" w:cs="Arial"/>
          <w:spacing w:val="-6"/>
          <w:sz w:val="20"/>
          <w:szCs w:val="20"/>
        </w:rPr>
        <w:t xml:space="preserve"> </w:t>
      </w:r>
      <w:r w:rsidR="00411AA2" w:rsidRPr="00061770">
        <w:rPr>
          <w:rFonts w:ascii="Arial" w:hAnsi="Arial" w:cs="Arial"/>
          <w:sz w:val="20"/>
          <w:szCs w:val="20"/>
        </w:rPr>
        <w:t>Section</w:t>
      </w:r>
      <w:r w:rsidR="00411AA2" w:rsidRPr="00061770">
        <w:rPr>
          <w:rFonts w:ascii="Arial" w:hAnsi="Arial" w:cs="Arial"/>
          <w:spacing w:val="-8"/>
          <w:sz w:val="20"/>
          <w:szCs w:val="20"/>
        </w:rPr>
        <w:t xml:space="preserve"> </w:t>
      </w:r>
      <w:r w:rsidR="00411AA2" w:rsidRPr="00061770">
        <w:rPr>
          <w:rFonts w:ascii="Arial" w:hAnsi="Arial" w:cs="Arial"/>
          <w:sz w:val="20"/>
          <w:szCs w:val="20"/>
        </w:rPr>
        <w:t>1.0,</w:t>
      </w:r>
      <w:r w:rsidR="00411AA2" w:rsidRPr="00061770">
        <w:rPr>
          <w:rFonts w:ascii="Arial" w:hAnsi="Arial" w:cs="Arial"/>
          <w:spacing w:val="-6"/>
          <w:sz w:val="20"/>
          <w:szCs w:val="20"/>
        </w:rPr>
        <w:t xml:space="preserve"> </w:t>
      </w:r>
      <w:r w:rsidR="00411AA2" w:rsidRPr="00061770">
        <w:rPr>
          <w:rFonts w:ascii="Arial" w:hAnsi="Arial" w:cs="Arial"/>
          <w:sz w:val="20"/>
          <w:szCs w:val="20"/>
        </w:rPr>
        <w:t>Building</w:t>
      </w:r>
      <w:r w:rsidR="00411AA2" w:rsidRPr="00061770">
        <w:rPr>
          <w:rFonts w:ascii="Arial" w:hAnsi="Arial" w:cs="Arial"/>
          <w:spacing w:val="-8"/>
          <w:sz w:val="20"/>
          <w:szCs w:val="20"/>
        </w:rPr>
        <w:t xml:space="preserve"> </w:t>
      </w:r>
      <w:r w:rsidR="00411AA2" w:rsidRPr="00061770">
        <w:rPr>
          <w:rFonts w:ascii="Arial" w:hAnsi="Arial" w:cs="Arial"/>
          <w:sz w:val="20"/>
          <w:szCs w:val="20"/>
        </w:rPr>
        <w:t>Strong</w:t>
      </w:r>
      <w:r w:rsidR="00411AA2" w:rsidRPr="00061770">
        <w:rPr>
          <w:rFonts w:ascii="Arial" w:hAnsi="Arial" w:cs="Arial"/>
          <w:spacing w:val="-7"/>
          <w:sz w:val="20"/>
          <w:szCs w:val="20"/>
        </w:rPr>
        <w:t xml:space="preserve"> </w:t>
      </w:r>
      <w:r w:rsidR="00411AA2" w:rsidRPr="00061770">
        <w:rPr>
          <w:rFonts w:ascii="Arial" w:hAnsi="Arial" w:cs="Arial"/>
          <w:sz w:val="20"/>
          <w:szCs w:val="20"/>
        </w:rPr>
        <w:t>Healthy</w:t>
      </w:r>
      <w:r w:rsidR="00411AA2" w:rsidRPr="00061770">
        <w:rPr>
          <w:rFonts w:ascii="Arial" w:hAnsi="Arial" w:cs="Arial"/>
          <w:spacing w:val="-6"/>
          <w:sz w:val="20"/>
          <w:szCs w:val="20"/>
        </w:rPr>
        <w:t xml:space="preserve"> </w:t>
      </w:r>
      <w:r w:rsidR="00411AA2" w:rsidRPr="00061770">
        <w:rPr>
          <w:rFonts w:ascii="Arial" w:hAnsi="Arial" w:cs="Arial"/>
          <w:sz w:val="20"/>
          <w:szCs w:val="20"/>
        </w:rPr>
        <w:t>Communities,</w:t>
      </w:r>
      <w:r w:rsidR="00411AA2" w:rsidRPr="00061770">
        <w:rPr>
          <w:rFonts w:ascii="Arial" w:hAnsi="Arial" w:cs="Arial"/>
          <w:spacing w:val="-7"/>
          <w:sz w:val="20"/>
          <w:szCs w:val="20"/>
        </w:rPr>
        <w:t xml:space="preserve"> </w:t>
      </w:r>
      <w:r w:rsidR="00411AA2" w:rsidRPr="00061770">
        <w:rPr>
          <w:rFonts w:ascii="Arial" w:hAnsi="Arial" w:cs="Arial"/>
          <w:sz w:val="20"/>
          <w:szCs w:val="20"/>
        </w:rPr>
        <w:t>Policy</w:t>
      </w:r>
      <w:r w:rsidR="00411AA2" w:rsidRPr="00061770">
        <w:rPr>
          <w:rFonts w:ascii="Arial" w:hAnsi="Arial" w:cs="Arial"/>
          <w:spacing w:val="-6"/>
          <w:sz w:val="20"/>
          <w:szCs w:val="20"/>
        </w:rPr>
        <w:t xml:space="preserve"> </w:t>
      </w:r>
      <w:r w:rsidR="00411AA2" w:rsidRPr="00061770">
        <w:rPr>
          <w:rFonts w:ascii="Arial" w:hAnsi="Arial" w:cs="Arial"/>
          <w:sz w:val="20"/>
          <w:szCs w:val="20"/>
        </w:rPr>
        <w:t>1.1.1</w:t>
      </w:r>
      <w:r w:rsidR="00411AA2" w:rsidRPr="00061770">
        <w:rPr>
          <w:rFonts w:ascii="Arial" w:hAnsi="Arial" w:cs="Arial"/>
          <w:spacing w:val="-7"/>
          <w:sz w:val="20"/>
          <w:szCs w:val="20"/>
        </w:rPr>
        <w:t xml:space="preserve"> </w:t>
      </w:r>
      <w:r w:rsidR="00411AA2" w:rsidRPr="00061770">
        <w:rPr>
          <w:rFonts w:ascii="Arial" w:hAnsi="Arial" w:cs="Arial"/>
          <w:sz w:val="20"/>
          <w:szCs w:val="20"/>
        </w:rPr>
        <w:t>e)</w:t>
      </w:r>
      <w:r w:rsidR="00411AA2" w:rsidRPr="00061770">
        <w:rPr>
          <w:rFonts w:ascii="Arial" w:hAnsi="Arial" w:cs="Arial"/>
          <w:spacing w:val="-7"/>
          <w:sz w:val="20"/>
          <w:szCs w:val="20"/>
        </w:rPr>
        <w:t xml:space="preserve"> </w:t>
      </w:r>
      <w:r w:rsidR="00411AA2" w:rsidRPr="00061770">
        <w:rPr>
          <w:rFonts w:ascii="Arial" w:hAnsi="Arial" w:cs="Arial"/>
          <w:sz w:val="20"/>
          <w:szCs w:val="20"/>
        </w:rPr>
        <w:t>states</w:t>
      </w:r>
      <w:r w:rsidR="002C0E1B" w:rsidRPr="00061770">
        <w:rPr>
          <w:rFonts w:ascii="Arial" w:hAnsi="Arial" w:cs="Arial"/>
          <w:sz w:val="20"/>
          <w:szCs w:val="20"/>
        </w:rPr>
        <w:t>:</w:t>
      </w:r>
      <w:r w:rsidR="00627D4A" w:rsidRPr="00061770">
        <w:rPr>
          <w:rFonts w:ascii="Arial" w:hAnsi="Arial" w:cs="Arial"/>
          <w:sz w:val="20"/>
          <w:szCs w:val="20"/>
        </w:rPr>
        <w:t xml:space="preserve"> </w:t>
      </w:r>
      <w:r w:rsidR="00411AA2" w:rsidRPr="00061770">
        <w:rPr>
          <w:rFonts w:ascii="Arial" w:hAnsi="Arial" w:cs="Arial"/>
          <w:iCs/>
          <w:sz w:val="20"/>
          <w:szCs w:val="20"/>
        </w:rPr>
        <w:t>promoting the integration of land use planning, growth management, transit- supportive development, intensification and infrastructure planning to achieve cost-effective development patterns, optimization of transit investments, and standards to minimize land consumption and servicing costs;</w:t>
      </w:r>
      <w:r w:rsidR="00627D4A" w:rsidRPr="00061770">
        <w:rPr>
          <w:rFonts w:ascii="Arial" w:hAnsi="Arial" w:cs="Arial"/>
          <w:iCs/>
          <w:sz w:val="20"/>
          <w:szCs w:val="20"/>
        </w:rPr>
        <w:t xml:space="preserve"> </w:t>
      </w:r>
    </w:p>
    <w:p w14:paraId="6223F9CA" w14:textId="06C3262B" w:rsidR="00627D4A" w:rsidRPr="00061770" w:rsidRDefault="00242C6C" w:rsidP="00353B7C">
      <w:pPr>
        <w:spacing w:beforeLines="50" w:before="120" w:afterLines="50" w:after="120"/>
        <w:ind w:left="2158" w:right="1418" w:hanging="740"/>
        <w:rPr>
          <w:rFonts w:ascii="Arial" w:hAnsi="Arial" w:cs="Arial"/>
          <w:sz w:val="20"/>
          <w:szCs w:val="20"/>
        </w:rPr>
      </w:pPr>
      <w:r w:rsidRPr="00061770">
        <w:rPr>
          <w:rFonts w:ascii="Arial" w:hAnsi="Arial" w:cs="Arial"/>
          <w:sz w:val="20"/>
          <w:szCs w:val="20"/>
        </w:rPr>
        <w:t>B.</w:t>
      </w:r>
      <w:r w:rsidRPr="00061770">
        <w:rPr>
          <w:rFonts w:ascii="Arial" w:hAnsi="Arial" w:cs="Arial"/>
          <w:sz w:val="20"/>
          <w:szCs w:val="20"/>
        </w:rPr>
        <w:tab/>
      </w:r>
      <w:r w:rsidR="00411AA2" w:rsidRPr="00061770">
        <w:rPr>
          <w:rFonts w:ascii="Arial" w:hAnsi="Arial" w:cs="Arial"/>
          <w:sz w:val="20"/>
          <w:szCs w:val="20"/>
        </w:rPr>
        <w:t>The</w:t>
      </w:r>
      <w:r w:rsidR="00411AA2" w:rsidRPr="00061770">
        <w:rPr>
          <w:rFonts w:ascii="Arial" w:hAnsi="Arial" w:cs="Arial"/>
          <w:spacing w:val="-15"/>
          <w:sz w:val="20"/>
          <w:szCs w:val="20"/>
        </w:rPr>
        <w:t xml:space="preserve"> </w:t>
      </w:r>
      <w:r w:rsidR="00411AA2" w:rsidRPr="00061770">
        <w:rPr>
          <w:rFonts w:ascii="Arial" w:hAnsi="Arial" w:cs="Arial"/>
          <w:sz w:val="20"/>
          <w:szCs w:val="20"/>
        </w:rPr>
        <w:t>U</w:t>
      </w:r>
      <w:r w:rsidR="00B25D2C" w:rsidRPr="00061770">
        <w:rPr>
          <w:rFonts w:ascii="Arial" w:hAnsi="Arial" w:cs="Arial"/>
          <w:sz w:val="20"/>
          <w:szCs w:val="20"/>
        </w:rPr>
        <w:t xml:space="preserve">rban </w:t>
      </w:r>
      <w:r w:rsidR="00411AA2" w:rsidRPr="00061770">
        <w:rPr>
          <w:rFonts w:ascii="Arial" w:hAnsi="Arial" w:cs="Arial"/>
          <w:sz w:val="20"/>
          <w:szCs w:val="20"/>
        </w:rPr>
        <w:t>H</w:t>
      </w:r>
      <w:r w:rsidR="00B25D2C" w:rsidRPr="00061770">
        <w:rPr>
          <w:rFonts w:ascii="Arial" w:hAnsi="Arial" w:cs="Arial"/>
          <w:sz w:val="20"/>
          <w:szCs w:val="20"/>
        </w:rPr>
        <w:t xml:space="preserve">amilton </w:t>
      </w:r>
      <w:r w:rsidR="00411AA2" w:rsidRPr="00061770">
        <w:rPr>
          <w:rFonts w:ascii="Arial" w:hAnsi="Arial" w:cs="Arial"/>
          <w:sz w:val="20"/>
          <w:szCs w:val="20"/>
        </w:rPr>
        <w:t>O</w:t>
      </w:r>
      <w:r w:rsidR="00B25D2C" w:rsidRPr="00061770">
        <w:rPr>
          <w:rFonts w:ascii="Arial" w:hAnsi="Arial" w:cs="Arial"/>
          <w:sz w:val="20"/>
          <w:szCs w:val="20"/>
        </w:rPr>
        <w:t xml:space="preserve">fficial </w:t>
      </w:r>
      <w:r w:rsidR="00411AA2" w:rsidRPr="00061770">
        <w:rPr>
          <w:rFonts w:ascii="Arial" w:hAnsi="Arial" w:cs="Arial"/>
          <w:sz w:val="20"/>
          <w:szCs w:val="20"/>
        </w:rPr>
        <w:t>P</w:t>
      </w:r>
      <w:r w:rsidR="00B25D2C" w:rsidRPr="00061770">
        <w:rPr>
          <w:rFonts w:ascii="Arial" w:hAnsi="Arial" w:cs="Arial"/>
          <w:sz w:val="20"/>
          <w:szCs w:val="20"/>
        </w:rPr>
        <w:t>lan (“UHOP”)</w:t>
      </w:r>
      <w:r w:rsidR="00411AA2" w:rsidRPr="00061770">
        <w:rPr>
          <w:rFonts w:ascii="Arial" w:hAnsi="Arial" w:cs="Arial"/>
          <w:spacing w:val="-14"/>
          <w:sz w:val="20"/>
          <w:szCs w:val="20"/>
        </w:rPr>
        <w:t xml:space="preserve"> </w:t>
      </w:r>
      <w:r w:rsidR="00411AA2" w:rsidRPr="00061770">
        <w:rPr>
          <w:rFonts w:ascii="Arial" w:hAnsi="Arial" w:cs="Arial"/>
          <w:sz w:val="20"/>
          <w:szCs w:val="20"/>
        </w:rPr>
        <w:t>promotes</w:t>
      </w:r>
      <w:r w:rsidR="00411AA2" w:rsidRPr="00061770">
        <w:rPr>
          <w:rFonts w:ascii="Arial" w:hAnsi="Arial" w:cs="Arial"/>
          <w:spacing w:val="-15"/>
          <w:sz w:val="20"/>
          <w:szCs w:val="20"/>
        </w:rPr>
        <w:t xml:space="preserve"> </w:t>
      </w:r>
      <w:r w:rsidR="00411AA2" w:rsidRPr="00061770">
        <w:rPr>
          <w:rFonts w:ascii="Arial" w:hAnsi="Arial" w:cs="Arial"/>
          <w:sz w:val="20"/>
          <w:szCs w:val="20"/>
        </w:rPr>
        <w:t>residential</w:t>
      </w:r>
      <w:r w:rsidR="00411AA2" w:rsidRPr="00061770">
        <w:rPr>
          <w:rFonts w:ascii="Arial" w:hAnsi="Arial" w:cs="Arial"/>
          <w:spacing w:val="-14"/>
          <w:sz w:val="20"/>
          <w:szCs w:val="20"/>
        </w:rPr>
        <w:t xml:space="preserve"> </w:t>
      </w:r>
      <w:r w:rsidR="00411AA2" w:rsidRPr="00061770">
        <w:rPr>
          <w:rFonts w:ascii="Arial" w:hAnsi="Arial" w:cs="Arial"/>
          <w:sz w:val="20"/>
          <w:szCs w:val="20"/>
        </w:rPr>
        <w:t>intensification</w:t>
      </w:r>
      <w:r w:rsidR="00411AA2" w:rsidRPr="00061770">
        <w:rPr>
          <w:rFonts w:ascii="Arial" w:hAnsi="Arial" w:cs="Arial"/>
          <w:spacing w:val="-15"/>
          <w:sz w:val="20"/>
          <w:szCs w:val="20"/>
        </w:rPr>
        <w:t xml:space="preserve"> </w:t>
      </w:r>
      <w:r w:rsidR="00411AA2" w:rsidRPr="00061770">
        <w:rPr>
          <w:rFonts w:ascii="Arial" w:hAnsi="Arial" w:cs="Arial"/>
          <w:sz w:val="20"/>
          <w:szCs w:val="20"/>
        </w:rPr>
        <w:t>throughout</w:t>
      </w:r>
      <w:r w:rsidR="00411AA2" w:rsidRPr="00061770">
        <w:rPr>
          <w:rFonts w:ascii="Arial" w:hAnsi="Arial" w:cs="Arial"/>
          <w:spacing w:val="-15"/>
          <w:sz w:val="20"/>
          <w:szCs w:val="20"/>
        </w:rPr>
        <w:t xml:space="preserve"> </w:t>
      </w:r>
      <w:r w:rsidR="00411AA2" w:rsidRPr="00061770">
        <w:rPr>
          <w:rFonts w:ascii="Arial" w:hAnsi="Arial" w:cs="Arial"/>
          <w:sz w:val="20"/>
          <w:szCs w:val="20"/>
        </w:rPr>
        <w:t>the</w:t>
      </w:r>
      <w:r w:rsidR="00411AA2" w:rsidRPr="00061770">
        <w:rPr>
          <w:rFonts w:ascii="Arial" w:hAnsi="Arial" w:cs="Arial"/>
          <w:spacing w:val="-15"/>
          <w:sz w:val="20"/>
          <w:szCs w:val="20"/>
        </w:rPr>
        <w:t xml:space="preserve"> </w:t>
      </w:r>
      <w:r w:rsidR="00411AA2" w:rsidRPr="00061770">
        <w:rPr>
          <w:rFonts w:ascii="Arial" w:hAnsi="Arial" w:cs="Arial"/>
          <w:sz w:val="20"/>
          <w:szCs w:val="20"/>
        </w:rPr>
        <w:t>City</w:t>
      </w:r>
      <w:r w:rsidR="00411AA2" w:rsidRPr="00061770">
        <w:rPr>
          <w:rFonts w:ascii="Arial" w:hAnsi="Arial" w:cs="Arial"/>
          <w:spacing w:val="-14"/>
          <w:sz w:val="20"/>
          <w:szCs w:val="20"/>
        </w:rPr>
        <w:t xml:space="preserve"> </w:t>
      </w:r>
      <w:r w:rsidR="00411AA2" w:rsidRPr="00061770">
        <w:rPr>
          <w:rFonts w:ascii="Arial" w:hAnsi="Arial" w:cs="Arial"/>
          <w:sz w:val="20"/>
          <w:szCs w:val="20"/>
        </w:rPr>
        <w:t>which</w:t>
      </w:r>
      <w:r w:rsidR="00411AA2" w:rsidRPr="00061770">
        <w:rPr>
          <w:rFonts w:ascii="Arial" w:hAnsi="Arial" w:cs="Arial"/>
          <w:spacing w:val="-15"/>
          <w:sz w:val="20"/>
          <w:szCs w:val="20"/>
        </w:rPr>
        <w:t xml:space="preserve"> </w:t>
      </w:r>
      <w:r w:rsidR="00411AA2" w:rsidRPr="00061770">
        <w:rPr>
          <w:rFonts w:ascii="Arial" w:hAnsi="Arial" w:cs="Arial"/>
          <w:sz w:val="20"/>
          <w:szCs w:val="20"/>
        </w:rPr>
        <w:t>is</w:t>
      </w:r>
      <w:r w:rsidR="00411AA2" w:rsidRPr="00061770">
        <w:rPr>
          <w:rFonts w:ascii="Arial" w:hAnsi="Arial" w:cs="Arial"/>
          <w:spacing w:val="-15"/>
          <w:sz w:val="20"/>
          <w:szCs w:val="20"/>
        </w:rPr>
        <w:t xml:space="preserve"> </w:t>
      </w:r>
      <w:r w:rsidR="00411AA2" w:rsidRPr="00061770">
        <w:rPr>
          <w:rFonts w:ascii="Arial" w:hAnsi="Arial" w:cs="Arial"/>
          <w:sz w:val="20"/>
          <w:szCs w:val="20"/>
        </w:rPr>
        <w:t>consistent</w:t>
      </w:r>
      <w:r w:rsidR="00411AA2" w:rsidRPr="00061770">
        <w:rPr>
          <w:rFonts w:ascii="Arial" w:hAnsi="Arial" w:cs="Arial"/>
          <w:spacing w:val="-14"/>
          <w:sz w:val="20"/>
          <w:szCs w:val="20"/>
        </w:rPr>
        <w:t xml:space="preserve"> </w:t>
      </w:r>
      <w:r w:rsidR="00411AA2" w:rsidRPr="00061770">
        <w:rPr>
          <w:rFonts w:ascii="Arial" w:hAnsi="Arial" w:cs="Arial"/>
          <w:sz w:val="20"/>
          <w:szCs w:val="20"/>
        </w:rPr>
        <w:t>with Policy 1.1.3.3 of the PPS. Policy 1.1.3.3 states that municipalities shall identify appropriate locations and promote opportunities for transit-supportive development through intensification and</w:t>
      </w:r>
      <w:r w:rsidR="00411AA2" w:rsidRPr="00061770">
        <w:rPr>
          <w:rFonts w:ascii="Arial" w:hAnsi="Arial" w:cs="Arial"/>
          <w:spacing w:val="-1"/>
          <w:sz w:val="20"/>
          <w:szCs w:val="20"/>
        </w:rPr>
        <w:t xml:space="preserve"> </w:t>
      </w:r>
      <w:r w:rsidR="00411AA2" w:rsidRPr="00061770">
        <w:rPr>
          <w:rFonts w:ascii="Arial" w:hAnsi="Arial" w:cs="Arial"/>
          <w:sz w:val="20"/>
          <w:szCs w:val="20"/>
        </w:rPr>
        <w:t>redevelopment</w:t>
      </w:r>
      <w:r w:rsidR="00353B7C">
        <w:rPr>
          <w:rFonts w:ascii="Arial" w:hAnsi="Arial" w:cs="Arial"/>
          <w:sz w:val="20"/>
          <w:szCs w:val="20"/>
        </w:rPr>
        <w:t>.</w:t>
      </w:r>
    </w:p>
    <w:p w14:paraId="496F26B3" w14:textId="0E7E7708" w:rsidR="00627D4A" w:rsidRPr="00061770" w:rsidRDefault="00242C6C" w:rsidP="00353B7C">
      <w:pPr>
        <w:spacing w:beforeLines="50" w:before="120" w:afterLines="50" w:after="120"/>
        <w:ind w:left="2160" w:right="1418" w:hanging="740"/>
        <w:rPr>
          <w:rFonts w:ascii="Arial" w:hAnsi="Arial" w:cs="Arial"/>
          <w:sz w:val="20"/>
          <w:szCs w:val="20"/>
        </w:rPr>
      </w:pPr>
      <w:r w:rsidRPr="00061770">
        <w:rPr>
          <w:rFonts w:ascii="Arial" w:hAnsi="Arial" w:cs="Arial"/>
          <w:sz w:val="20"/>
          <w:szCs w:val="20"/>
        </w:rPr>
        <w:t>C.</w:t>
      </w:r>
      <w:r w:rsidRPr="00061770">
        <w:rPr>
          <w:rFonts w:ascii="Arial" w:hAnsi="Arial" w:cs="Arial"/>
          <w:sz w:val="20"/>
          <w:szCs w:val="20"/>
        </w:rPr>
        <w:tab/>
      </w:r>
      <w:r w:rsidR="00411AA2" w:rsidRPr="00061770">
        <w:rPr>
          <w:rFonts w:ascii="Arial" w:hAnsi="Arial" w:cs="Arial"/>
          <w:sz w:val="20"/>
          <w:szCs w:val="20"/>
        </w:rPr>
        <w:t xml:space="preserve">Policy 1.1.3.4 of the PPS </w:t>
      </w:r>
      <w:r w:rsidR="00B25D2C" w:rsidRPr="00061770">
        <w:rPr>
          <w:rFonts w:ascii="Arial" w:hAnsi="Arial" w:cs="Arial"/>
          <w:sz w:val="20"/>
          <w:szCs w:val="20"/>
        </w:rPr>
        <w:t xml:space="preserve">2020 </w:t>
      </w:r>
      <w:r w:rsidR="00411AA2" w:rsidRPr="00061770">
        <w:rPr>
          <w:rFonts w:ascii="Arial" w:hAnsi="Arial" w:cs="Arial"/>
          <w:sz w:val="20"/>
          <w:szCs w:val="20"/>
        </w:rPr>
        <w:t>promotes appropriate development standards which facilitate intensification, redevelopment and compact form and which avoid or mitigate risks to public health and safety. The development standards proposed by the minor variances, exist throughout the subject area, are appropriate and cause no risks to</w:t>
      </w:r>
      <w:r w:rsidR="00411AA2" w:rsidRPr="00061770">
        <w:rPr>
          <w:rFonts w:ascii="Arial" w:hAnsi="Arial" w:cs="Arial"/>
          <w:spacing w:val="-27"/>
          <w:sz w:val="20"/>
          <w:szCs w:val="20"/>
        </w:rPr>
        <w:t xml:space="preserve"> </w:t>
      </w:r>
      <w:r w:rsidR="00411AA2" w:rsidRPr="00061770">
        <w:rPr>
          <w:rFonts w:ascii="Arial" w:hAnsi="Arial" w:cs="Arial"/>
          <w:sz w:val="20"/>
          <w:szCs w:val="20"/>
        </w:rPr>
        <w:t>public health and</w:t>
      </w:r>
      <w:r w:rsidR="00411AA2" w:rsidRPr="00061770">
        <w:rPr>
          <w:rFonts w:ascii="Arial" w:hAnsi="Arial" w:cs="Arial"/>
          <w:spacing w:val="-1"/>
          <w:sz w:val="20"/>
          <w:szCs w:val="20"/>
        </w:rPr>
        <w:t xml:space="preserve"> </w:t>
      </w:r>
      <w:r w:rsidR="00411AA2" w:rsidRPr="00061770">
        <w:rPr>
          <w:rFonts w:ascii="Arial" w:hAnsi="Arial" w:cs="Arial"/>
          <w:sz w:val="20"/>
          <w:szCs w:val="20"/>
        </w:rPr>
        <w:t>safety.</w:t>
      </w:r>
    </w:p>
    <w:p w14:paraId="3A88D44C" w14:textId="34590D50" w:rsidR="00411AA2" w:rsidRPr="00061770" w:rsidRDefault="009F4B60" w:rsidP="00353B7C">
      <w:pPr>
        <w:spacing w:beforeLines="50" w:before="120" w:afterLines="50" w:after="120"/>
        <w:ind w:left="698" w:right="1418" w:firstLine="720"/>
        <w:rPr>
          <w:rFonts w:ascii="Arial" w:hAnsi="Arial" w:cs="Arial"/>
          <w:sz w:val="20"/>
          <w:szCs w:val="20"/>
        </w:rPr>
      </w:pPr>
      <w:r w:rsidRPr="00061770">
        <w:rPr>
          <w:rFonts w:ascii="Arial" w:hAnsi="Arial" w:cs="Arial"/>
          <w:sz w:val="20"/>
          <w:szCs w:val="20"/>
        </w:rPr>
        <w:t>D.</w:t>
      </w:r>
      <w:r w:rsidRPr="00061770">
        <w:rPr>
          <w:rFonts w:ascii="Arial" w:hAnsi="Arial" w:cs="Arial"/>
          <w:sz w:val="20"/>
          <w:szCs w:val="20"/>
        </w:rPr>
        <w:tab/>
      </w:r>
      <w:r w:rsidR="00411AA2" w:rsidRPr="00061770">
        <w:rPr>
          <w:rFonts w:ascii="Arial" w:hAnsi="Arial" w:cs="Arial"/>
          <w:sz w:val="20"/>
          <w:szCs w:val="20"/>
        </w:rPr>
        <w:t>Policy 1.6.6.2 (Infrastructure and Public Services)</w:t>
      </w:r>
      <w:r w:rsidR="00411AA2" w:rsidRPr="00061770">
        <w:rPr>
          <w:rFonts w:ascii="Arial" w:hAnsi="Arial" w:cs="Arial"/>
          <w:spacing w:val="-2"/>
          <w:sz w:val="20"/>
          <w:szCs w:val="20"/>
        </w:rPr>
        <w:t xml:space="preserve"> </w:t>
      </w:r>
      <w:r w:rsidR="00411AA2" w:rsidRPr="00061770">
        <w:rPr>
          <w:rFonts w:ascii="Arial" w:hAnsi="Arial" w:cs="Arial"/>
          <w:sz w:val="20"/>
          <w:szCs w:val="20"/>
        </w:rPr>
        <w:t>states:</w:t>
      </w:r>
    </w:p>
    <w:p w14:paraId="2FED0178" w14:textId="301B711C" w:rsidR="00411AA2" w:rsidRPr="00061770" w:rsidRDefault="00411AA2" w:rsidP="00353B7C">
      <w:pPr>
        <w:spacing w:beforeLines="50" w:before="120" w:afterLines="50" w:after="120"/>
        <w:ind w:left="2160" w:right="1418"/>
        <w:rPr>
          <w:rFonts w:ascii="Arial" w:hAnsi="Arial" w:cs="Arial"/>
          <w:sz w:val="20"/>
          <w:szCs w:val="20"/>
        </w:rPr>
      </w:pPr>
      <w:r w:rsidRPr="00061770">
        <w:rPr>
          <w:rFonts w:ascii="Arial" w:hAnsi="Arial" w:cs="Arial"/>
          <w:sz w:val="20"/>
          <w:szCs w:val="20"/>
        </w:rPr>
        <w:t>Municipal</w:t>
      </w:r>
      <w:r w:rsidRPr="00061770">
        <w:rPr>
          <w:rFonts w:ascii="Arial" w:hAnsi="Arial" w:cs="Arial"/>
          <w:spacing w:val="-4"/>
          <w:sz w:val="20"/>
          <w:szCs w:val="20"/>
        </w:rPr>
        <w:t xml:space="preserve"> </w:t>
      </w:r>
      <w:r w:rsidRPr="00061770">
        <w:rPr>
          <w:rFonts w:ascii="Arial" w:hAnsi="Arial" w:cs="Arial"/>
          <w:sz w:val="20"/>
          <w:szCs w:val="20"/>
        </w:rPr>
        <w:t>sewage</w:t>
      </w:r>
      <w:r w:rsidRPr="00061770">
        <w:rPr>
          <w:rFonts w:ascii="Arial" w:hAnsi="Arial" w:cs="Arial"/>
          <w:spacing w:val="-3"/>
          <w:sz w:val="20"/>
          <w:szCs w:val="20"/>
        </w:rPr>
        <w:t xml:space="preserve"> </w:t>
      </w:r>
      <w:r w:rsidRPr="00061770">
        <w:rPr>
          <w:rFonts w:ascii="Arial" w:hAnsi="Arial" w:cs="Arial"/>
          <w:sz w:val="20"/>
          <w:szCs w:val="20"/>
        </w:rPr>
        <w:t>services</w:t>
      </w:r>
      <w:r w:rsidRPr="00061770">
        <w:rPr>
          <w:rFonts w:ascii="Arial" w:hAnsi="Arial" w:cs="Arial"/>
          <w:spacing w:val="-5"/>
          <w:sz w:val="20"/>
          <w:szCs w:val="20"/>
        </w:rPr>
        <w:t xml:space="preserve"> </w:t>
      </w:r>
      <w:r w:rsidRPr="00061770">
        <w:rPr>
          <w:rFonts w:ascii="Arial" w:hAnsi="Arial" w:cs="Arial"/>
          <w:sz w:val="20"/>
          <w:szCs w:val="20"/>
        </w:rPr>
        <w:t>and</w:t>
      </w:r>
      <w:r w:rsidRPr="00061770">
        <w:rPr>
          <w:rFonts w:ascii="Arial" w:hAnsi="Arial" w:cs="Arial"/>
          <w:spacing w:val="-3"/>
          <w:sz w:val="20"/>
          <w:szCs w:val="20"/>
        </w:rPr>
        <w:t xml:space="preserve"> </w:t>
      </w:r>
      <w:r w:rsidRPr="00061770">
        <w:rPr>
          <w:rFonts w:ascii="Arial" w:hAnsi="Arial" w:cs="Arial"/>
          <w:sz w:val="20"/>
          <w:szCs w:val="20"/>
        </w:rPr>
        <w:t>municipal</w:t>
      </w:r>
      <w:r w:rsidRPr="00061770">
        <w:rPr>
          <w:rFonts w:ascii="Arial" w:hAnsi="Arial" w:cs="Arial"/>
          <w:spacing w:val="-5"/>
          <w:sz w:val="20"/>
          <w:szCs w:val="20"/>
        </w:rPr>
        <w:t xml:space="preserve"> </w:t>
      </w:r>
      <w:r w:rsidRPr="00061770">
        <w:rPr>
          <w:rFonts w:ascii="Arial" w:hAnsi="Arial" w:cs="Arial"/>
          <w:sz w:val="20"/>
          <w:szCs w:val="20"/>
        </w:rPr>
        <w:t>water</w:t>
      </w:r>
      <w:r w:rsidRPr="00061770">
        <w:rPr>
          <w:rFonts w:ascii="Arial" w:hAnsi="Arial" w:cs="Arial"/>
          <w:spacing w:val="-4"/>
          <w:sz w:val="20"/>
          <w:szCs w:val="20"/>
        </w:rPr>
        <w:t xml:space="preserve"> </w:t>
      </w:r>
      <w:r w:rsidRPr="00061770">
        <w:rPr>
          <w:rFonts w:ascii="Arial" w:hAnsi="Arial" w:cs="Arial"/>
          <w:sz w:val="20"/>
          <w:szCs w:val="20"/>
        </w:rPr>
        <w:t>services</w:t>
      </w:r>
      <w:r w:rsidRPr="00061770">
        <w:rPr>
          <w:rFonts w:ascii="Arial" w:hAnsi="Arial" w:cs="Arial"/>
          <w:spacing w:val="-4"/>
          <w:sz w:val="20"/>
          <w:szCs w:val="20"/>
        </w:rPr>
        <w:t xml:space="preserve"> </w:t>
      </w:r>
      <w:r w:rsidRPr="00061770">
        <w:rPr>
          <w:rFonts w:ascii="Arial" w:hAnsi="Arial" w:cs="Arial"/>
          <w:sz w:val="20"/>
          <w:szCs w:val="20"/>
        </w:rPr>
        <w:t>are</w:t>
      </w:r>
      <w:r w:rsidRPr="00061770">
        <w:rPr>
          <w:rFonts w:ascii="Arial" w:hAnsi="Arial" w:cs="Arial"/>
          <w:spacing w:val="-5"/>
          <w:sz w:val="20"/>
          <w:szCs w:val="20"/>
        </w:rPr>
        <w:t xml:space="preserve"> </w:t>
      </w:r>
      <w:r w:rsidRPr="00061770">
        <w:rPr>
          <w:rFonts w:ascii="Arial" w:hAnsi="Arial" w:cs="Arial"/>
          <w:sz w:val="20"/>
          <w:szCs w:val="20"/>
        </w:rPr>
        <w:t>the</w:t>
      </w:r>
      <w:r w:rsidRPr="00061770">
        <w:rPr>
          <w:rFonts w:ascii="Arial" w:hAnsi="Arial" w:cs="Arial"/>
          <w:spacing w:val="-4"/>
          <w:sz w:val="20"/>
          <w:szCs w:val="20"/>
        </w:rPr>
        <w:t xml:space="preserve"> </w:t>
      </w:r>
      <w:r w:rsidRPr="00061770">
        <w:rPr>
          <w:rFonts w:ascii="Arial" w:hAnsi="Arial" w:cs="Arial"/>
          <w:sz w:val="20"/>
          <w:szCs w:val="20"/>
        </w:rPr>
        <w:t>preferred</w:t>
      </w:r>
      <w:r w:rsidRPr="00061770">
        <w:rPr>
          <w:rFonts w:ascii="Arial" w:hAnsi="Arial" w:cs="Arial"/>
          <w:spacing w:val="-5"/>
          <w:sz w:val="20"/>
          <w:szCs w:val="20"/>
        </w:rPr>
        <w:t xml:space="preserve"> </w:t>
      </w:r>
      <w:r w:rsidRPr="00061770">
        <w:rPr>
          <w:rFonts w:ascii="Arial" w:hAnsi="Arial" w:cs="Arial"/>
          <w:sz w:val="20"/>
          <w:szCs w:val="20"/>
        </w:rPr>
        <w:t>form</w:t>
      </w:r>
      <w:r w:rsidRPr="00061770">
        <w:rPr>
          <w:rFonts w:ascii="Arial" w:hAnsi="Arial" w:cs="Arial"/>
          <w:spacing w:val="-4"/>
          <w:sz w:val="20"/>
          <w:szCs w:val="20"/>
        </w:rPr>
        <w:t xml:space="preserve"> </w:t>
      </w:r>
      <w:r w:rsidRPr="00061770">
        <w:rPr>
          <w:rFonts w:ascii="Arial" w:hAnsi="Arial" w:cs="Arial"/>
          <w:sz w:val="20"/>
          <w:szCs w:val="20"/>
        </w:rPr>
        <w:t>of servicing for settlement areas to support protection of the environment and minimize potential risks to human health and safety. Within settlement areas with existing municipal sewage services and municipal water services, intensification and</w:t>
      </w:r>
      <w:r w:rsidRPr="00061770">
        <w:rPr>
          <w:rFonts w:ascii="Arial" w:hAnsi="Arial" w:cs="Arial"/>
          <w:spacing w:val="-8"/>
          <w:sz w:val="20"/>
          <w:szCs w:val="20"/>
        </w:rPr>
        <w:t xml:space="preserve"> </w:t>
      </w:r>
      <w:r w:rsidRPr="00061770">
        <w:rPr>
          <w:rFonts w:ascii="Arial" w:hAnsi="Arial" w:cs="Arial"/>
          <w:sz w:val="20"/>
          <w:szCs w:val="20"/>
        </w:rPr>
        <w:t>redevelopment</w:t>
      </w:r>
      <w:r w:rsidRPr="00061770">
        <w:rPr>
          <w:rFonts w:ascii="Arial" w:hAnsi="Arial" w:cs="Arial"/>
          <w:spacing w:val="-7"/>
          <w:sz w:val="20"/>
          <w:szCs w:val="20"/>
        </w:rPr>
        <w:t xml:space="preserve"> </w:t>
      </w:r>
      <w:r w:rsidRPr="00061770">
        <w:rPr>
          <w:rFonts w:ascii="Arial" w:hAnsi="Arial" w:cs="Arial"/>
          <w:sz w:val="20"/>
          <w:szCs w:val="20"/>
        </w:rPr>
        <w:t>shall</w:t>
      </w:r>
      <w:r w:rsidRPr="00061770">
        <w:rPr>
          <w:rFonts w:ascii="Arial" w:hAnsi="Arial" w:cs="Arial"/>
          <w:spacing w:val="-8"/>
          <w:sz w:val="20"/>
          <w:szCs w:val="20"/>
        </w:rPr>
        <w:t xml:space="preserve"> </w:t>
      </w:r>
      <w:r w:rsidRPr="00061770">
        <w:rPr>
          <w:rFonts w:ascii="Arial" w:hAnsi="Arial" w:cs="Arial"/>
          <w:sz w:val="20"/>
          <w:szCs w:val="20"/>
        </w:rPr>
        <w:t>be</w:t>
      </w:r>
      <w:r w:rsidRPr="00061770">
        <w:rPr>
          <w:rFonts w:ascii="Arial" w:hAnsi="Arial" w:cs="Arial"/>
          <w:spacing w:val="-7"/>
          <w:sz w:val="20"/>
          <w:szCs w:val="20"/>
        </w:rPr>
        <w:t xml:space="preserve"> </w:t>
      </w:r>
      <w:r w:rsidRPr="00061770">
        <w:rPr>
          <w:rFonts w:ascii="Arial" w:hAnsi="Arial" w:cs="Arial"/>
          <w:sz w:val="20"/>
          <w:szCs w:val="20"/>
        </w:rPr>
        <w:t>promoted</w:t>
      </w:r>
      <w:r w:rsidRPr="00061770">
        <w:rPr>
          <w:rFonts w:ascii="Arial" w:hAnsi="Arial" w:cs="Arial"/>
          <w:spacing w:val="-8"/>
          <w:sz w:val="20"/>
          <w:szCs w:val="20"/>
        </w:rPr>
        <w:t xml:space="preserve"> </w:t>
      </w:r>
      <w:r w:rsidRPr="00061770">
        <w:rPr>
          <w:rFonts w:ascii="Arial" w:hAnsi="Arial" w:cs="Arial"/>
          <w:sz w:val="20"/>
          <w:szCs w:val="20"/>
        </w:rPr>
        <w:t>wherever</w:t>
      </w:r>
      <w:r w:rsidRPr="00061770">
        <w:rPr>
          <w:rFonts w:ascii="Arial" w:hAnsi="Arial" w:cs="Arial"/>
          <w:spacing w:val="-7"/>
          <w:sz w:val="20"/>
          <w:szCs w:val="20"/>
        </w:rPr>
        <w:t xml:space="preserve"> </w:t>
      </w:r>
      <w:r w:rsidRPr="00061770">
        <w:rPr>
          <w:rFonts w:ascii="Arial" w:hAnsi="Arial" w:cs="Arial"/>
          <w:sz w:val="20"/>
          <w:szCs w:val="20"/>
        </w:rPr>
        <w:t>feasible</w:t>
      </w:r>
      <w:r w:rsidRPr="00061770">
        <w:rPr>
          <w:rFonts w:ascii="Arial" w:hAnsi="Arial" w:cs="Arial"/>
          <w:spacing w:val="-8"/>
          <w:sz w:val="20"/>
          <w:szCs w:val="20"/>
        </w:rPr>
        <w:t xml:space="preserve"> </w:t>
      </w:r>
      <w:r w:rsidRPr="00061770">
        <w:rPr>
          <w:rFonts w:ascii="Arial" w:hAnsi="Arial" w:cs="Arial"/>
          <w:sz w:val="20"/>
          <w:szCs w:val="20"/>
        </w:rPr>
        <w:t>to</w:t>
      </w:r>
      <w:r w:rsidRPr="00061770">
        <w:rPr>
          <w:rFonts w:ascii="Arial" w:hAnsi="Arial" w:cs="Arial"/>
          <w:spacing w:val="-8"/>
          <w:sz w:val="20"/>
          <w:szCs w:val="20"/>
        </w:rPr>
        <w:t xml:space="preserve"> </w:t>
      </w:r>
      <w:r w:rsidRPr="00061770">
        <w:rPr>
          <w:rFonts w:ascii="Arial" w:hAnsi="Arial" w:cs="Arial"/>
          <w:sz w:val="20"/>
          <w:szCs w:val="20"/>
        </w:rPr>
        <w:t>optimize</w:t>
      </w:r>
      <w:r w:rsidRPr="00061770">
        <w:rPr>
          <w:rFonts w:ascii="Arial" w:hAnsi="Arial" w:cs="Arial"/>
          <w:spacing w:val="-7"/>
          <w:sz w:val="20"/>
          <w:szCs w:val="20"/>
        </w:rPr>
        <w:t xml:space="preserve"> </w:t>
      </w:r>
      <w:r w:rsidRPr="00061770">
        <w:rPr>
          <w:rFonts w:ascii="Arial" w:hAnsi="Arial" w:cs="Arial"/>
          <w:sz w:val="20"/>
          <w:szCs w:val="20"/>
        </w:rPr>
        <w:t>the</w:t>
      </w:r>
      <w:r w:rsidRPr="00061770">
        <w:rPr>
          <w:rFonts w:ascii="Arial" w:hAnsi="Arial" w:cs="Arial"/>
          <w:spacing w:val="-9"/>
          <w:sz w:val="20"/>
          <w:szCs w:val="20"/>
        </w:rPr>
        <w:t xml:space="preserve"> </w:t>
      </w:r>
      <w:r w:rsidRPr="00061770">
        <w:rPr>
          <w:rFonts w:ascii="Arial" w:hAnsi="Arial" w:cs="Arial"/>
          <w:sz w:val="20"/>
          <w:szCs w:val="20"/>
        </w:rPr>
        <w:t>use</w:t>
      </w:r>
      <w:r w:rsidRPr="00061770">
        <w:rPr>
          <w:rFonts w:ascii="Arial" w:hAnsi="Arial" w:cs="Arial"/>
          <w:spacing w:val="-7"/>
          <w:sz w:val="20"/>
          <w:szCs w:val="20"/>
        </w:rPr>
        <w:t xml:space="preserve"> </w:t>
      </w:r>
      <w:r w:rsidRPr="00061770">
        <w:rPr>
          <w:rFonts w:ascii="Arial" w:hAnsi="Arial" w:cs="Arial"/>
          <w:sz w:val="20"/>
          <w:szCs w:val="20"/>
        </w:rPr>
        <w:t>of</w:t>
      </w:r>
      <w:r w:rsidRPr="00061770">
        <w:rPr>
          <w:rFonts w:ascii="Arial" w:hAnsi="Arial" w:cs="Arial"/>
          <w:spacing w:val="-8"/>
          <w:sz w:val="20"/>
          <w:szCs w:val="20"/>
        </w:rPr>
        <w:t xml:space="preserve"> </w:t>
      </w:r>
      <w:r w:rsidRPr="00061770">
        <w:rPr>
          <w:rFonts w:ascii="Arial" w:hAnsi="Arial" w:cs="Arial"/>
          <w:sz w:val="20"/>
          <w:szCs w:val="20"/>
        </w:rPr>
        <w:t>the services.</w:t>
      </w:r>
    </w:p>
    <w:p w14:paraId="7816960A" w14:textId="77777777" w:rsidR="00061770" w:rsidRDefault="00411AA2" w:rsidP="00AE600B">
      <w:pPr>
        <w:pStyle w:val="ListParagraph"/>
      </w:pPr>
      <w:r w:rsidRPr="00411AA2">
        <w:t xml:space="preserve">Ms. </w:t>
      </w:r>
      <w:proofErr w:type="spellStart"/>
      <w:r w:rsidRPr="00411AA2">
        <w:t>Frieday</w:t>
      </w:r>
      <w:proofErr w:type="spellEnd"/>
      <w:r w:rsidRPr="00411AA2">
        <w:t xml:space="preserve"> further submitted the Subject Lands are underutilized within the </w:t>
      </w:r>
      <w:proofErr w:type="spellStart"/>
      <w:r w:rsidRPr="00411AA2">
        <w:t>Ryckman</w:t>
      </w:r>
      <w:proofErr w:type="spellEnd"/>
      <w:r w:rsidRPr="00411AA2">
        <w:t xml:space="preserve"> </w:t>
      </w:r>
      <w:r w:rsidRPr="002C0E1B">
        <w:rPr>
          <w:lang w:val="en-CA"/>
        </w:rPr>
        <w:t>Neighbourhood</w:t>
      </w:r>
      <w:r w:rsidRPr="00411AA2">
        <w:t>.  They are within a developing area, will make more efficient use of land and municipal services which already exist on Cielo Court and the lands are suitable for redevelopment and intensification as per the definition of intensification and residential intensification in the</w:t>
      </w:r>
      <w:r w:rsidRPr="00411AA2">
        <w:rPr>
          <w:spacing w:val="-6"/>
        </w:rPr>
        <w:t xml:space="preserve"> </w:t>
      </w:r>
      <w:r w:rsidRPr="00411AA2">
        <w:t>PPS</w:t>
      </w:r>
      <w:r w:rsidR="009F4B60">
        <w:t xml:space="preserve"> 2020</w:t>
      </w:r>
      <w:r w:rsidRPr="00411AA2">
        <w:t>.</w:t>
      </w:r>
    </w:p>
    <w:p w14:paraId="484019F7" w14:textId="77777777" w:rsidR="00061770" w:rsidRDefault="00E478DB" w:rsidP="00AE600B">
      <w:pPr>
        <w:pStyle w:val="ListParagraph"/>
      </w:pPr>
      <w:r w:rsidRPr="00061770">
        <w:t xml:space="preserve">Ms. Rogers’ review of the PPS </w:t>
      </w:r>
      <w:r w:rsidR="00FC590A" w:rsidRPr="00061770">
        <w:t xml:space="preserve">2020 </w:t>
      </w:r>
      <w:r w:rsidRPr="00061770">
        <w:t>identified the subject lands are within a “Settlement Area”. She stated that in section 1.1.3.3, the PPS authorizes Planning authorities to identify appropriate locations to accommodate housing supply through intensification and redevelopment taking into consideration existing building stock and area and the availability of suitable infrastructure and public service facilities.</w:t>
      </w:r>
    </w:p>
    <w:p w14:paraId="49D8FE75" w14:textId="77777777" w:rsidR="00061770" w:rsidRDefault="00E478DB" w:rsidP="00AE600B">
      <w:pPr>
        <w:pStyle w:val="ListParagraph"/>
      </w:pPr>
      <w:r w:rsidRPr="00061770">
        <w:lastRenderedPageBreak/>
        <w:t>Ms. Rogers further submitted that the existing lot is underutilized, and the proposed development would allow for intensification that would utilize existing infrastructure.</w:t>
      </w:r>
    </w:p>
    <w:p w14:paraId="5FE1C0B7" w14:textId="72AB0737" w:rsidR="00061770" w:rsidRPr="00061770" w:rsidRDefault="00E478DB" w:rsidP="00AE600B">
      <w:pPr>
        <w:pStyle w:val="ListParagraph"/>
      </w:pPr>
      <w:r w:rsidRPr="00061770">
        <w:rPr>
          <w:lang w:val="en-CA"/>
        </w:rPr>
        <w:t>Ms. Rogers concludes that the proposal is consistent with the PPS</w:t>
      </w:r>
      <w:r w:rsidR="00061770">
        <w:rPr>
          <w:lang w:val="en-CA"/>
        </w:rPr>
        <w:t>.</w:t>
      </w:r>
    </w:p>
    <w:p w14:paraId="6ADA4B5E" w14:textId="467DF6D8" w:rsidR="00E478DB" w:rsidRPr="00061770" w:rsidRDefault="0062683F" w:rsidP="00AE600B">
      <w:pPr>
        <w:pStyle w:val="ListParagraph"/>
      </w:pPr>
      <w:r w:rsidRPr="00061770">
        <w:t>The Tribunal finds that the proposal is consistent with the policies of the PPS and represents an efficient use of land and the existing infrastructure.</w:t>
      </w:r>
    </w:p>
    <w:p w14:paraId="061540FD" w14:textId="6200A0B1" w:rsidR="00411AA2" w:rsidRPr="00554484" w:rsidRDefault="009700C3" w:rsidP="00061770">
      <w:pPr>
        <w:rPr>
          <w:rFonts w:ascii="Arial" w:hAnsi="Arial" w:cs="Arial"/>
          <w:b/>
          <w:lang w:val="en-CA"/>
        </w:rPr>
      </w:pPr>
      <w:r w:rsidRPr="00554484">
        <w:rPr>
          <w:rFonts w:ascii="Arial" w:hAnsi="Arial" w:cs="Arial"/>
          <w:b/>
        </w:rPr>
        <w:t>GROWTH PLAN</w:t>
      </w:r>
    </w:p>
    <w:p w14:paraId="682E9517" w14:textId="77777777" w:rsidR="00554484" w:rsidRDefault="00411AA2" w:rsidP="00AE600B">
      <w:pPr>
        <w:pStyle w:val="ListParagraph"/>
      </w:pPr>
      <w:r w:rsidRPr="00411AA2">
        <w:t xml:space="preserve">Ms. </w:t>
      </w:r>
      <w:proofErr w:type="spellStart"/>
      <w:r w:rsidRPr="00411AA2">
        <w:t>Frieday</w:t>
      </w:r>
      <w:proofErr w:type="spellEnd"/>
      <w:r w:rsidRPr="00411AA2">
        <w:t xml:space="preserve"> submitted </w:t>
      </w:r>
      <w:r w:rsidRPr="002C0E1B">
        <w:rPr>
          <w:iCs/>
        </w:rPr>
        <w:t>A Place to Grow</w:t>
      </w:r>
      <w:r w:rsidR="009700C3">
        <w:rPr>
          <w:iCs/>
        </w:rPr>
        <w:t xml:space="preserve">: Growth </w:t>
      </w:r>
      <w:r w:rsidR="00D66D13">
        <w:rPr>
          <w:iCs/>
        </w:rPr>
        <w:t>Plan</w:t>
      </w:r>
      <w:r w:rsidR="009700C3">
        <w:rPr>
          <w:iCs/>
        </w:rPr>
        <w:t xml:space="preserve"> or the Greater Golden Horseshoe</w:t>
      </w:r>
      <w:r w:rsidR="00DE4364">
        <w:rPr>
          <w:iCs/>
        </w:rPr>
        <w:t>, 2019</w:t>
      </w:r>
      <w:r w:rsidRPr="00411AA2">
        <w:rPr>
          <w:i/>
        </w:rPr>
        <w:t xml:space="preserve"> </w:t>
      </w:r>
      <w:r w:rsidR="009700C3" w:rsidRPr="009700C3">
        <w:rPr>
          <w:iCs/>
        </w:rPr>
        <w:t>(“Growth Plan”)</w:t>
      </w:r>
      <w:r w:rsidR="009700C3">
        <w:rPr>
          <w:i/>
        </w:rPr>
        <w:t xml:space="preserve"> </w:t>
      </w:r>
      <w:r w:rsidRPr="00411AA2">
        <w:t>policies are based on several guiding principles including to prioritize intensification and higher densities and to make efficient use of land and infrastructure and support transit</w:t>
      </w:r>
      <w:r w:rsidRPr="00411AA2">
        <w:rPr>
          <w:spacing w:val="-2"/>
        </w:rPr>
        <w:t xml:space="preserve"> </w:t>
      </w:r>
      <w:r w:rsidRPr="00411AA2">
        <w:t>viability.</w:t>
      </w:r>
    </w:p>
    <w:p w14:paraId="2F6F0164" w14:textId="7ADC156B" w:rsidR="00411AA2" w:rsidRPr="00554484" w:rsidRDefault="00411AA2" w:rsidP="00AE600B">
      <w:pPr>
        <w:pStyle w:val="ListParagraph"/>
      </w:pPr>
      <w:r w:rsidRPr="00554484">
        <w:t xml:space="preserve">Ms. </w:t>
      </w:r>
      <w:proofErr w:type="spellStart"/>
      <w:r w:rsidRPr="00554484">
        <w:t>Frieday</w:t>
      </w:r>
      <w:proofErr w:type="spellEnd"/>
      <w:r w:rsidRPr="00554484">
        <w:t xml:space="preserve"> further submitted</w:t>
      </w:r>
      <w:r w:rsidR="009F4B60" w:rsidRPr="00554484">
        <w:t>:</w:t>
      </w:r>
      <w:r w:rsidRPr="00554484">
        <w:rPr>
          <w:sz w:val="28"/>
        </w:rPr>
        <w:t xml:space="preserve"> </w:t>
      </w:r>
    </w:p>
    <w:p w14:paraId="11252ABD" w14:textId="0CF4D51F" w:rsidR="00411AA2" w:rsidRPr="009F4B60" w:rsidRDefault="00411AA2" w:rsidP="00172D15">
      <w:pPr>
        <w:pStyle w:val="BodyText"/>
        <w:widowControl w:val="0"/>
        <w:numPr>
          <w:ilvl w:val="0"/>
          <w:numId w:val="4"/>
        </w:numPr>
        <w:autoSpaceDE w:val="0"/>
        <w:autoSpaceDN w:val="0"/>
        <w:spacing w:afterLines="50" w:after="120"/>
        <w:ind w:right="1418"/>
        <w:jc w:val="left"/>
        <w:rPr>
          <w:rFonts w:cs="Arial"/>
          <w:sz w:val="20"/>
          <w:szCs w:val="20"/>
        </w:rPr>
      </w:pPr>
      <w:r w:rsidRPr="009F4B60">
        <w:rPr>
          <w:rFonts w:cs="Arial"/>
          <w:sz w:val="20"/>
          <w:szCs w:val="20"/>
        </w:rPr>
        <w:t>Section 2.2.2.3 of A Place to Grow states that all municipalities will develop a strategy to achieve the minimum intensification target and intensification throughout delineated</w:t>
      </w:r>
      <w:r w:rsidRPr="009F4B60">
        <w:rPr>
          <w:rFonts w:cs="Arial"/>
          <w:spacing w:val="-27"/>
          <w:sz w:val="20"/>
          <w:szCs w:val="20"/>
        </w:rPr>
        <w:t xml:space="preserve"> </w:t>
      </w:r>
      <w:r w:rsidRPr="009F4B60">
        <w:rPr>
          <w:rFonts w:cs="Arial"/>
          <w:sz w:val="20"/>
          <w:szCs w:val="20"/>
        </w:rPr>
        <w:t>built-up</w:t>
      </w:r>
      <w:r w:rsidRPr="009F4B60">
        <w:rPr>
          <w:rFonts w:cs="Arial"/>
          <w:spacing w:val="-1"/>
          <w:sz w:val="20"/>
          <w:szCs w:val="20"/>
        </w:rPr>
        <w:t xml:space="preserve"> </w:t>
      </w:r>
      <w:r w:rsidRPr="009F4B60">
        <w:rPr>
          <w:rFonts w:cs="Arial"/>
          <w:sz w:val="20"/>
          <w:szCs w:val="20"/>
        </w:rPr>
        <w:t>areas</w:t>
      </w:r>
    </w:p>
    <w:p w14:paraId="4D212BF9" w14:textId="0BA6AF7A" w:rsidR="00411AA2" w:rsidRPr="009F4B60" w:rsidRDefault="00411AA2" w:rsidP="00172D15">
      <w:pPr>
        <w:pStyle w:val="BodyText"/>
        <w:widowControl w:val="0"/>
        <w:numPr>
          <w:ilvl w:val="0"/>
          <w:numId w:val="4"/>
        </w:numPr>
        <w:autoSpaceDE w:val="0"/>
        <w:autoSpaceDN w:val="0"/>
        <w:spacing w:afterLines="50" w:after="120"/>
        <w:ind w:right="1418"/>
        <w:jc w:val="left"/>
        <w:rPr>
          <w:rFonts w:cs="Arial"/>
          <w:sz w:val="20"/>
          <w:szCs w:val="20"/>
        </w:rPr>
      </w:pPr>
      <w:r w:rsidRPr="009F4B60">
        <w:rPr>
          <w:rFonts w:cs="Arial"/>
          <w:sz w:val="20"/>
          <w:szCs w:val="20"/>
        </w:rPr>
        <w:t>Section</w:t>
      </w:r>
      <w:r w:rsidRPr="009F4B60">
        <w:rPr>
          <w:rFonts w:cs="Arial"/>
          <w:spacing w:val="-11"/>
          <w:sz w:val="20"/>
          <w:szCs w:val="20"/>
        </w:rPr>
        <w:t xml:space="preserve"> </w:t>
      </w:r>
      <w:r w:rsidRPr="009F4B60">
        <w:rPr>
          <w:rFonts w:cs="Arial"/>
          <w:sz w:val="20"/>
          <w:szCs w:val="20"/>
        </w:rPr>
        <w:t>2.2.7</w:t>
      </w:r>
      <w:r w:rsidRPr="009F4B60">
        <w:rPr>
          <w:rFonts w:cs="Arial"/>
          <w:spacing w:val="-10"/>
          <w:sz w:val="20"/>
          <w:szCs w:val="20"/>
        </w:rPr>
        <w:t xml:space="preserve"> </w:t>
      </w:r>
      <w:r w:rsidRPr="009F4B60">
        <w:rPr>
          <w:rFonts w:cs="Arial"/>
          <w:sz w:val="20"/>
          <w:szCs w:val="20"/>
        </w:rPr>
        <w:t>4</w:t>
      </w:r>
      <w:r w:rsidRPr="009F4B60">
        <w:rPr>
          <w:rFonts w:cs="Arial"/>
          <w:spacing w:val="-11"/>
          <w:sz w:val="20"/>
          <w:szCs w:val="20"/>
        </w:rPr>
        <w:t xml:space="preserve"> </w:t>
      </w:r>
      <w:r w:rsidRPr="009F4B60">
        <w:rPr>
          <w:rFonts w:cs="Arial"/>
          <w:sz w:val="20"/>
          <w:szCs w:val="20"/>
        </w:rPr>
        <w:t>of</w:t>
      </w:r>
      <w:r w:rsidRPr="009F4B60">
        <w:rPr>
          <w:rFonts w:cs="Arial"/>
          <w:spacing w:val="-10"/>
          <w:sz w:val="20"/>
          <w:szCs w:val="20"/>
        </w:rPr>
        <w:t xml:space="preserve"> </w:t>
      </w:r>
      <w:r w:rsidRPr="009F4B60">
        <w:rPr>
          <w:rFonts w:cs="Arial"/>
          <w:sz w:val="20"/>
          <w:szCs w:val="20"/>
        </w:rPr>
        <w:t>A</w:t>
      </w:r>
      <w:r w:rsidRPr="009F4B60">
        <w:rPr>
          <w:rFonts w:cs="Arial"/>
          <w:spacing w:val="-10"/>
          <w:sz w:val="20"/>
          <w:szCs w:val="20"/>
        </w:rPr>
        <w:t xml:space="preserve"> </w:t>
      </w:r>
      <w:r w:rsidRPr="009F4B60">
        <w:rPr>
          <w:rFonts w:cs="Arial"/>
          <w:sz w:val="20"/>
          <w:szCs w:val="20"/>
        </w:rPr>
        <w:t>Place</w:t>
      </w:r>
      <w:r w:rsidRPr="009F4B60">
        <w:rPr>
          <w:rFonts w:cs="Arial"/>
          <w:spacing w:val="-11"/>
          <w:sz w:val="20"/>
          <w:szCs w:val="20"/>
        </w:rPr>
        <w:t xml:space="preserve"> </w:t>
      </w:r>
      <w:r w:rsidRPr="009F4B60">
        <w:rPr>
          <w:rFonts w:cs="Arial"/>
          <w:sz w:val="20"/>
          <w:szCs w:val="20"/>
        </w:rPr>
        <w:t>to</w:t>
      </w:r>
      <w:r w:rsidRPr="009F4B60">
        <w:rPr>
          <w:rFonts w:cs="Arial"/>
          <w:spacing w:val="-10"/>
          <w:sz w:val="20"/>
          <w:szCs w:val="20"/>
        </w:rPr>
        <w:t xml:space="preserve"> </w:t>
      </w:r>
      <w:r w:rsidRPr="009F4B60">
        <w:rPr>
          <w:rFonts w:cs="Arial"/>
          <w:sz w:val="20"/>
          <w:szCs w:val="20"/>
        </w:rPr>
        <w:t>Grow</w:t>
      </w:r>
      <w:r w:rsidRPr="009F4B60">
        <w:rPr>
          <w:rFonts w:cs="Arial"/>
          <w:spacing w:val="-9"/>
          <w:sz w:val="20"/>
          <w:szCs w:val="20"/>
        </w:rPr>
        <w:t xml:space="preserve"> </w:t>
      </w:r>
      <w:r w:rsidRPr="009F4B60">
        <w:rPr>
          <w:rFonts w:cs="Arial"/>
          <w:sz w:val="20"/>
          <w:szCs w:val="20"/>
        </w:rPr>
        <w:t>states</w:t>
      </w:r>
      <w:r w:rsidRPr="009F4B60">
        <w:rPr>
          <w:rFonts w:cs="Arial"/>
          <w:spacing w:val="-10"/>
          <w:sz w:val="20"/>
          <w:szCs w:val="20"/>
        </w:rPr>
        <w:t xml:space="preserve"> </w:t>
      </w:r>
      <w:r w:rsidRPr="009F4B60">
        <w:rPr>
          <w:rFonts w:cs="Arial"/>
          <w:sz w:val="20"/>
          <w:szCs w:val="20"/>
        </w:rPr>
        <w:t>that</w:t>
      </w:r>
      <w:r w:rsidRPr="009F4B60">
        <w:rPr>
          <w:rFonts w:cs="Arial"/>
          <w:spacing w:val="-9"/>
          <w:sz w:val="20"/>
          <w:szCs w:val="20"/>
        </w:rPr>
        <w:t xml:space="preserve"> </w:t>
      </w:r>
      <w:r w:rsidRPr="009F4B60">
        <w:rPr>
          <w:rFonts w:cs="Arial"/>
          <w:sz w:val="20"/>
          <w:szCs w:val="20"/>
        </w:rPr>
        <w:t>Greenfield</w:t>
      </w:r>
      <w:r w:rsidRPr="009F4B60">
        <w:rPr>
          <w:rFonts w:cs="Arial"/>
          <w:spacing w:val="-11"/>
          <w:sz w:val="20"/>
          <w:szCs w:val="20"/>
        </w:rPr>
        <w:t xml:space="preserve"> </w:t>
      </w:r>
      <w:r w:rsidRPr="009F4B60">
        <w:rPr>
          <w:rFonts w:cs="Arial"/>
          <w:sz w:val="20"/>
          <w:szCs w:val="20"/>
        </w:rPr>
        <w:t>Area</w:t>
      </w:r>
      <w:r w:rsidRPr="009F4B60">
        <w:rPr>
          <w:rFonts w:cs="Arial"/>
          <w:spacing w:val="-12"/>
          <w:sz w:val="20"/>
          <w:szCs w:val="20"/>
        </w:rPr>
        <w:t xml:space="preserve"> </w:t>
      </w:r>
      <w:r w:rsidRPr="009F4B60">
        <w:rPr>
          <w:rFonts w:cs="Arial"/>
          <w:sz w:val="20"/>
          <w:szCs w:val="20"/>
        </w:rPr>
        <w:t>targets</w:t>
      </w:r>
      <w:r w:rsidRPr="009F4B60">
        <w:rPr>
          <w:rFonts w:cs="Arial"/>
          <w:spacing w:val="-9"/>
          <w:sz w:val="20"/>
          <w:szCs w:val="20"/>
        </w:rPr>
        <w:t xml:space="preserve"> </w:t>
      </w:r>
      <w:r w:rsidRPr="009F4B60">
        <w:rPr>
          <w:rFonts w:cs="Arial"/>
          <w:sz w:val="20"/>
          <w:szCs w:val="20"/>
        </w:rPr>
        <w:t>shall</w:t>
      </w:r>
      <w:r w:rsidRPr="009F4B60">
        <w:rPr>
          <w:rFonts w:cs="Arial"/>
          <w:spacing w:val="-11"/>
          <w:sz w:val="20"/>
          <w:szCs w:val="20"/>
        </w:rPr>
        <w:t xml:space="preserve"> </w:t>
      </w:r>
      <w:r w:rsidRPr="009F4B60">
        <w:rPr>
          <w:rFonts w:cs="Arial"/>
          <w:sz w:val="20"/>
          <w:szCs w:val="20"/>
        </w:rPr>
        <w:t>be</w:t>
      </w:r>
      <w:r w:rsidRPr="009F4B60">
        <w:rPr>
          <w:rFonts w:cs="Arial"/>
          <w:spacing w:val="-10"/>
          <w:sz w:val="20"/>
          <w:szCs w:val="20"/>
        </w:rPr>
        <w:t xml:space="preserve"> </w:t>
      </w:r>
      <w:r w:rsidRPr="009F4B60">
        <w:rPr>
          <w:rFonts w:cs="Arial"/>
          <w:sz w:val="20"/>
          <w:szCs w:val="20"/>
        </w:rPr>
        <w:t>established and</w:t>
      </w:r>
      <w:r w:rsidRPr="009F4B60">
        <w:rPr>
          <w:rFonts w:cs="Arial"/>
          <w:spacing w:val="-8"/>
          <w:sz w:val="20"/>
          <w:szCs w:val="20"/>
        </w:rPr>
        <w:t xml:space="preserve"> </w:t>
      </w:r>
      <w:r w:rsidRPr="009F4B60">
        <w:rPr>
          <w:rFonts w:cs="Arial"/>
          <w:sz w:val="20"/>
          <w:szCs w:val="20"/>
        </w:rPr>
        <w:t>require</w:t>
      </w:r>
      <w:r w:rsidRPr="009F4B60">
        <w:rPr>
          <w:rFonts w:cs="Arial"/>
          <w:spacing w:val="-7"/>
          <w:sz w:val="20"/>
          <w:szCs w:val="20"/>
        </w:rPr>
        <w:t xml:space="preserve"> </w:t>
      </w:r>
      <w:r w:rsidRPr="009F4B60">
        <w:rPr>
          <w:rFonts w:cs="Arial"/>
          <w:sz w:val="20"/>
          <w:szCs w:val="20"/>
        </w:rPr>
        <w:t>the</w:t>
      </w:r>
      <w:r w:rsidRPr="009F4B60">
        <w:rPr>
          <w:rFonts w:cs="Arial"/>
          <w:spacing w:val="-8"/>
          <w:sz w:val="20"/>
          <w:szCs w:val="20"/>
        </w:rPr>
        <w:t xml:space="preserve"> </w:t>
      </w:r>
      <w:r w:rsidRPr="009F4B60">
        <w:rPr>
          <w:rFonts w:cs="Arial"/>
          <w:sz w:val="20"/>
          <w:szCs w:val="20"/>
        </w:rPr>
        <w:t>“achievement</w:t>
      </w:r>
      <w:r w:rsidRPr="009F4B60">
        <w:rPr>
          <w:rFonts w:cs="Arial"/>
          <w:spacing w:val="-7"/>
          <w:sz w:val="20"/>
          <w:szCs w:val="20"/>
        </w:rPr>
        <w:t xml:space="preserve"> </w:t>
      </w:r>
      <w:r w:rsidRPr="009F4B60">
        <w:rPr>
          <w:rFonts w:cs="Arial"/>
          <w:sz w:val="20"/>
          <w:szCs w:val="20"/>
        </w:rPr>
        <w:t>of</w:t>
      </w:r>
      <w:r w:rsidRPr="009F4B60">
        <w:rPr>
          <w:rFonts w:cs="Arial"/>
          <w:spacing w:val="-8"/>
          <w:sz w:val="20"/>
          <w:szCs w:val="20"/>
        </w:rPr>
        <w:t xml:space="preserve"> </w:t>
      </w:r>
      <w:r w:rsidRPr="009F4B60">
        <w:rPr>
          <w:rFonts w:cs="Arial"/>
          <w:sz w:val="20"/>
          <w:szCs w:val="20"/>
        </w:rPr>
        <w:t>a</w:t>
      </w:r>
      <w:r w:rsidRPr="009F4B60">
        <w:rPr>
          <w:rFonts w:cs="Arial"/>
          <w:spacing w:val="-7"/>
          <w:sz w:val="20"/>
          <w:szCs w:val="20"/>
        </w:rPr>
        <w:t xml:space="preserve"> </w:t>
      </w:r>
      <w:r w:rsidRPr="009F4B60">
        <w:rPr>
          <w:rFonts w:cs="Arial"/>
          <w:sz w:val="20"/>
          <w:szCs w:val="20"/>
        </w:rPr>
        <w:t>more</w:t>
      </w:r>
      <w:r w:rsidRPr="009F4B60">
        <w:rPr>
          <w:rFonts w:cs="Arial"/>
          <w:spacing w:val="-7"/>
          <w:sz w:val="20"/>
          <w:szCs w:val="20"/>
        </w:rPr>
        <w:t xml:space="preserve"> </w:t>
      </w:r>
      <w:r w:rsidRPr="009F4B60">
        <w:rPr>
          <w:rFonts w:cs="Arial"/>
          <w:i/>
          <w:sz w:val="20"/>
          <w:szCs w:val="20"/>
        </w:rPr>
        <w:t>compact</w:t>
      </w:r>
      <w:r w:rsidRPr="009F4B60">
        <w:rPr>
          <w:rFonts w:cs="Arial"/>
          <w:i/>
          <w:spacing w:val="-8"/>
          <w:sz w:val="20"/>
          <w:szCs w:val="20"/>
        </w:rPr>
        <w:t xml:space="preserve"> </w:t>
      </w:r>
      <w:r w:rsidRPr="009F4B60">
        <w:rPr>
          <w:rFonts w:cs="Arial"/>
          <w:i/>
          <w:sz w:val="20"/>
          <w:szCs w:val="20"/>
        </w:rPr>
        <w:t>built</w:t>
      </w:r>
      <w:r w:rsidRPr="009F4B60">
        <w:rPr>
          <w:rFonts w:cs="Arial"/>
          <w:i/>
          <w:spacing w:val="-7"/>
          <w:sz w:val="20"/>
          <w:szCs w:val="20"/>
        </w:rPr>
        <w:t xml:space="preserve"> </w:t>
      </w:r>
      <w:r w:rsidRPr="009F4B60">
        <w:rPr>
          <w:rFonts w:cs="Arial"/>
          <w:i/>
          <w:sz w:val="20"/>
          <w:szCs w:val="20"/>
        </w:rPr>
        <w:t>form</w:t>
      </w:r>
      <w:r w:rsidRPr="009F4B60">
        <w:rPr>
          <w:rFonts w:cs="Arial"/>
          <w:i/>
          <w:spacing w:val="-8"/>
          <w:sz w:val="20"/>
          <w:szCs w:val="20"/>
        </w:rPr>
        <w:t xml:space="preserve"> </w:t>
      </w:r>
      <w:r w:rsidRPr="009F4B60">
        <w:rPr>
          <w:rFonts w:cs="Arial"/>
          <w:sz w:val="20"/>
          <w:szCs w:val="20"/>
        </w:rPr>
        <w:t>in</w:t>
      </w:r>
      <w:r w:rsidRPr="009F4B60">
        <w:rPr>
          <w:rFonts w:cs="Arial"/>
          <w:spacing w:val="-8"/>
          <w:sz w:val="20"/>
          <w:szCs w:val="20"/>
        </w:rPr>
        <w:t xml:space="preserve"> </w:t>
      </w:r>
      <w:r w:rsidRPr="009F4B60">
        <w:rPr>
          <w:rFonts w:cs="Arial"/>
          <w:i/>
          <w:sz w:val="20"/>
          <w:szCs w:val="20"/>
        </w:rPr>
        <w:t>designated</w:t>
      </w:r>
      <w:r w:rsidRPr="009F4B60">
        <w:rPr>
          <w:rFonts w:cs="Arial"/>
          <w:i/>
          <w:spacing w:val="-9"/>
          <w:sz w:val="20"/>
          <w:szCs w:val="20"/>
        </w:rPr>
        <w:t xml:space="preserve"> </w:t>
      </w:r>
      <w:r w:rsidRPr="009F4B60">
        <w:rPr>
          <w:rFonts w:cs="Arial"/>
          <w:i/>
          <w:sz w:val="20"/>
          <w:szCs w:val="20"/>
        </w:rPr>
        <w:t>greenfield</w:t>
      </w:r>
      <w:r w:rsidRPr="009F4B60">
        <w:rPr>
          <w:rFonts w:cs="Arial"/>
          <w:i/>
          <w:spacing w:val="-7"/>
          <w:sz w:val="20"/>
          <w:szCs w:val="20"/>
        </w:rPr>
        <w:t xml:space="preserve"> </w:t>
      </w:r>
      <w:r w:rsidRPr="009F4B60">
        <w:rPr>
          <w:rFonts w:cs="Arial"/>
          <w:i/>
          <w:sz w:val="20"/>
          <w:szCs w:val="20"/>
        </w:rPr>
        <w:t xml:space="preserve">areas </w:t>
      </w:r>
      <w:r w:rsidRPr="009F4B60">
        <w:rPr>
          <w:rFonts w:cs="Arial"/>
          <w:sz w:val="20"/>
          <w:szCs w:val="20"/>
        </w:rPr>
        <w:t>to the horizon of this Plan in a manner that is appropriate given the characteristics of the municipality and adjacent</w:t>
      </w:r>
      <w:r w:rsidRPr="009F4B60">
        <w:rPr>
          <w:rFonts w:cs="Arial"/>
          <w:spacing w:val="-2"/>
          <w:sz w:val="20"/>
          <w:szCs w:val="20"/>
        </w:rPr>
        <w:t xml:space="preserve"> </w:t>
      </w:r>
      <w:r w:rsidRPr="009F4B60">
        <w:rPr>
          <w:rFonts w:cs="Arial"/>
          <w:sz w:val="20"/>
          <w:szCs w:val="20"/>
        </w:rPr>
        <w:t>communities.</w:t>
      </w:r>
    </w:p>
    <w:p w14:paraId="1C5178AB" w14:textId="77777777" w:rsidR="00554484" w:rsidRDefault="00411AA2" w:rsidP="00AE600B">
      <w:pPr>
        <w:pStyle w:val="ListParagraph"/>
        <w:rPr>
          <w:lang w:val="en-CA"/>
        </w:rPr>
      </w:pPr>
      <w:r w:rsidRPr="002C0E1B">
        <w:rPr>
          <w:lang w:val="en-CA"/>
        </w:rPr>
        <w:t xml:space="preserve">Ms. </w:t>
      </w:r>
      <w:proofErr w:type="spellStart"/>
      <w:r w:rsidRPr="002C0E1B">
        <w:rPr>
          <w:lang w:val="en-CA"/>
        </w:rPr>
        <w:t>Frieday</w:t>
      </w:r>
      <w:proofErr w:type="spellEnd"/>
      <w:r w:rsidRPr="002C0E1B">
        <w:rPr>
          <w:lang w:val="en-CA"/>
        </w:rPr>
        <w:t xml:space="preserve"> opined that the consent applications and associated variances will contribute to established growth targets and will achieve a more compact built form that is appropriate given the characteristics of the </w:t>
      </w:r>
      <w:proofErr w:type="spellStart"/>
      <w:r w:rsidRPr="002C0E1B">
        <w:rPr>
          <w:lang w:val="en-CA"/>
        </w:rPr>
        <w:t>Ryckman</w:t>
      </w:r>
      <w:proofErr w:type="spellEnd"/>
      <w:r w:rsidRPr="002C0E1B">
        <w:rPr>
          <w:lang w:val="en-CA"/>
        </w:rPr>
        <w:t xml:space="preserve"> Neighbourhood and adjacent</w:t>
      </w:r>
      <w:r w:rsidRPr="002C0E1B">
        <w:rPr>
          <w:spacing w:val="-5"/>
          <w:lang w:val="en-CA"/>
        </w:rPr>
        <w:t xml:space="preserve"> </w:t>
      </w:r>
      <w:r w:rsidRPr="002C0E1B">
        <w:rPr>
          <w:lang w:val="en-CA"/>
        </w:rPr>
        <w:t xml:space="preserve">neighbourhoods.  Furthermore, the requested variances will facilitate development that conforms to </w:t>
      </w:r>
      <w:r w:rsidR="00D66D13" w:rsidRPr="002C0E1B">
        <w:rPr>
          <w:iCs/>
          <w:lang w:val="en-CA"/>
        </w:rPr>
        <w:t>the Growth Plan</w:t>
      </w:r>
      <w:r w:rsidRPr="002C0E1B">
        <w:rPr>
          <w:lang w:val="en-CA"/>
        </w:rPr>
        <w:t>.</w:t>
      </w:r>
    </w:p>
    <w:p w14:paraId="691446D4" w14:textId="44521737" w:rsidR="00E478DB" w:rsidRPr="00554484" w:rsidRDefault="00E478DB" w:rsidP="00AE600B">
      <w:pPr>
        <w:pStyle w:val="ListParagraph"/>
        <w:rPr>
          <w:lang w:val="en-CA"/>
        </w:rPr>
      </w:pPr>
      <w:proofErr w:type="gramStart"/>
      <w:r w:rsidRPr="00554484">
        <w:rPr>
          <w:lang w:val="en-CA"/>
        </w:rPr>
        <w:t>With regard to</w:t>
      </w:r>
      <w:proofErr w:type="gramEnd"/>
      <w:r w:rsidRPr="00554484">
        <w:rPr>
          <w:lang w:val="en-CA"/>
        </w:rPr>
        <w:t xml:space="preserve"> the Growth Plan, 2020 Ms. Rogers’ review of the Policy identified the subject lands are within the “Built up Area”.</w:t>
      </w:r>
      <w:r w:rsidRPr="00554484">
        <w:rPr>
          <w:spacing w:val="-37"/>
          <w:lang w:val="en-CA"/>
        </w:rPr>
        <w:t xml:space="preserve"> </w:t>
      </w:r>
      <w:r w:rsidRPr="00554484">
        <w:rPr>
          <w:lang w:val="en-CA"/>
        </w:rPr>
        <w:t xml:space="preserve"> Within Section 2.2.1 Managing Growth, the policy directs growth to settlement areas within the delineated built boundary with </w:t>
      </w:r>
      <w:r w:rsidRPr="00554484">
        <w:rPr>
          <w:lang w:val="en-CA"/>
        </w:rPr>
        <w:lastRenderedPageBreak/>
        <w:t xml:space="preserve">existing or planned municipal water and wastewater systems that can support the achievement of complete communities (2.2.1.2(a)). The proposal is to create two new lots within the built boundary with existing municipal water and wastewater services in an established neighbourhood. </w:t>
      </w:r>
    </w:p>
    <w:p w14:paraId="49EE1B64" w14:textId="01EA3910" w:rsidR="00E478DB" w:rsidRPr="00554484" w:rsidRDefault="00E478DB" w:rsidP="00AE600B">
      <w:pPr>
        <w:pStyle w:val="ListParagraph"/>
        <w:rPr>
          <w:bCs/>
        </w:rPr>
      </w:pPr>
      <w:r w:rsidRPr="006A1948">
        <w:t xml:space="preserve">Ms. Rogers concluded that based on the preceding information, it was her opinion that the proposed applications </w:t>
      </w:r>
      <w:r w:rsidRPr="006A1948">
        <w:rPr>
          <w:bCs/>
        </w:rPr>
        <w:t>conform to the Growth Plan, 2020.</w:t>
      </w:r>
    </w:p>
    <w:p w14:paraId="7601F3F5" w14:textId="43F8FDC2" w:rsidR="00554484" w:rsidRPr="00554484" w:rsidRDefault="00651D3C" w:rsidP="00AE600B">
      <w:pPr>
        <w:pStyle w:val="ListParagraph"/>
        <w:rPr>
          <w:bCs/>
          <w:iCs/>
        </w:rPr>
      </w:pPr>
      <w:r w:rsidRPr="00D66D13">
        <w:t>The Tribunal finds that the proposal conforms to the policies of the Growth Plan as it is supporting intensification, contributing to complete communities and providing a range of housing options.</w:t>
      </w:r>
    </w:p>
    <w:p w14:paraId="24E8AA04" w14:textId="77777777" w:rsidR="00554484" w:rsidRPr="00DD7B54" w:rsidRDefault="00554484" w:rsidP="00554484">
      <w:pPr>
        <w:rPr>
          <w:rFonts w:ascii="Arial" w:hAnsi="Arial" w:cs="Arial"/>
          <w:b/>
          <w:bCs/>
          <w:lang w:val="en-CA"/>
        </w:rPr>
      </w:pPr>
      <w:r w:rsidRPr="00DD7B54">
        <w:rPr>
          <w:rFonts w:ascii="Arial" w:hAnsi="Arial" w:cs="Arial"/>
          <w:b/>
          <w:bCs/>
          <w:lang w:val="en-CA"/>
        </w:rPr>
        <w:t>URBAN HAMILTON OFFICIAL PLAN</w:t>
      </w:r>
    </w:p>
    <w:p w14:paraId="5E1CB1A3" w14:textId="02265626" w:rsidR="00554484" w:rsidRPr="00554484" w:rsidRDefault="00411AA2" w:rsidP="00AE600B">
      <w:pPr>
        <w:pStyle w:val="ListParagraph"/>
        <w:rPr>
          <w:bCs/>
          <w:iCs/>
        </w:rPr>
      </w:pPr>
      <w:r w:rsidRPr="00554484">
        <w:t xml:space="preserve">Ms. </w:t>
      </w:r>
      <w:proofErr w:type="spellStart"/>
      <w:r w:rsidRPr="00554484">
        <w:t>Frieday</w:t>
      </w:r>
      <w:proofErr w:type="spellEnd"/>
      <w:r w:rsidRPr="00554484">
        <w:t xml:space="preserve"> </w:t>
      </w:r>
      <w:r w:rsidR="00367695" w:rsidRPr="00554484">
        <w:t xml:space="preserve">indicated </w:t>
      </w:r>
      <w:r w:rsidRPr="00554484">
        <w:t xml:space="preserve">that the </w:t>
      </w:r>
      <w:r w:rsidR="00554484">
        <w:t>Urban Hamilton Official Plan (“</w:t>
      </w:r>
      <w:r w:rsidRPr="00554484">
        <w:t>UHOP</w:t>
      </w:r>
      <w:r w:rsidR="00554484">
        <w:t>”)</w:t>
      </w:r>
      <w:r w:rsidRPr="00554484">
        <w:t xml:space="preserve"> was adopted on July 9, 2009, approved by the Province on March 16, 2011, and took effect on August 16, 2013.  The subject lands are both designated </w:t>
      </w:r>
      <w:r w:rsidRPr="00554484">
        <w:rPr>
          <w:lang w:val="en-CA"/>
        </w:rPr>
        <w:t>“Neighbourhoods”</w:t>
      </w:r>
      <w:r w:rsidRPr="00554484">
        <w:t xml:space="preserve"> in sections “Urban Structure to the UHOP” and “Urban Land Use Designation”</w:t>
      </w:r>
      <w:r w:rsidR="00180EEE" w:rsidRPr="00554484">
        <w:t>.</w:t>
      </w:r>
    </w:p>
    <w:p w14:paraId="6F16C25C" w14:textId="70FABC74" w:rsidR="00411AA2" w:rsidRPr="00554484" w:rsidRDefault="00411AA2" w:rsidP="00AE600B">
      <w:pPr>
        <w:pStyle w:val="ListParagraph"/>
        <w:rPr>
          <w:bCs/>
          <w:iCs/>
        </w:rPr>
      </w:pPr>
      <w:r w:rsidRPr="00554484">
        <w:t xml:space="preserve">Ms. </w:t>
      </w:r>
      <w:proofErr w:type="spellStart"/>
      <w:r w:rsidRPr="00554484">
        <w:t>Frieday</w:t>
      </w:r>
      <w:proofErr w:type="spellEnd"/>
      <w:r w:rsidRPr="00554484">
        <w:t xml:space="preserve"> submitted that in</w:t>
      </w:r>
      <w:r w:rsidRPr="00554484">
        <w:rPr>
          <w:spacing w:val="-6"/>
        </w:rPr>
        <w:t xml:space="preserve"> </w:t>
      </w:r>
      <w:r w:rsidRPr="00554484">
        <w:t>Section</w:t>
      </w:r>
      <w:r w:rsidRPr="00554484">
        <w:rPr>
          <w:spacing w:val="-7"/>
        </w:rPr>
        <w:t xml:space="preserve"> </w:t>
      </w:r>
      <w:r w:rsidRPr="00554484">
        <w:t>E.2.0,</w:t>
      </w:r>
      <w:r w:rsidRPr="00554484">
        <w:rPr>
          <w:spacing w:val="-6"/>
        </w:rPr>
        <w:t xml:space="preserve"> </w:t>
      </w:r>
      <w:r w:rsidRPr="00554484">
        <w:t>Urban</w:t>
      </w:r>
      <w:r w:rsidRPr="00554484">
        <w:rPr>
          <w:spacing w:val="-6"/>
        </w:rPr>
        <w:t xml:space="preserve"> </w:t>
      </w:r>
      <w:r w:rsidRPr="00554484">
        <w:t>Structure,</w:t>
      </w:r>
      <w:r w:rsidRPr="00554484">
        <w:rPr>
          <w:spacing w:val="-7"/>
        </w:rPr>
        <w:t xml:space="preserve"> </w:t>
      </w:r>
      <w:r w:rsidRPr="00554484">
        <w:t>Subsection E.2.6.7</w:t>
      </w:r>
      <w:r w:rsidR="00180EEE" w:rsidRPr="00554484">
        <w:t xml:space="preserve"> </w:t>
      </w:r>
      <w:r w:rsidRPr="00554484">
        <w:t>states that:</w:t>
      </w:r>
    </w:p>
    <w:p w14:paraId="320A8015" w14:textId="26D57B07" w:rsidR="00411AA2" w:rsidRPr="00180EEE" w:rsidRDefault="00411AA2" w:rsidP="00554484">
      <w:pPr>
        <w:pStyle w:val="BodyText"/>
        <w:spacing w:beforeLines="50" w:before="120" w:afterLines="50" w:after="120"/>
        <w:ind w:left="1418" w:right="1418"/>
        <w:jc w:val="left"/>
        <w:rPr>
          <w:rFonts w:cs="Arial"/>
          <w:iCs/>
          <w:sz w:val="20"/>
          <w:szCs w:val="20"/>
        </w:rPr>
      </w:pPr>
      <w:r w:rsidRPr="00180EEE">
        <w:rPr>
          <w:rFonts w:cs="Arial"/>
          <w:iCs/>
          <w:sz w:val="20"/>
          <w:szCs w:val="20"/>
        </w:rPr>
        <w:t>Changes compatible with the existing character or function of the neighbourhood shall be permitted. Applications for development and residential intensification within Neighbourhoods shall be reviewed in consideration of the local context</w:t>
      </w:r>
      <w:r w:rsidRPr="00180EEE">
        <w:rPr>
          <w:rFonts w:cs="Arial"/>
          <w:iCs/>
          <w:spacing w:val="-19"/>
          <w:sz w:val="20"/>
          <w:szCs w:val="20"/>
        </w:rPr>
        <w:t xml:space="preserve"> </w:t>
      </w:r>
      <w:r w:rsidRPr="00180EEE">
        <w:rPr>
          <w:rFonts w:cs="Arial"/>
          <w:iCs/>
          <w:sz w:val="20"/>
          <w:szCs w:val="20"/>
        </w:rPr>
        <w:t>and shall be permitted in accordance with Sections B.2.4 – Residential</w:t>
      </w:r>
      <w:r w:rsidRPr="00180EEE">
        <w:rPr>
          <w:rFonts w:cs="Arial"/>
          <w:iCs/>
          <w:spacing w:val="-3"/>
          <w:sz w:val="20"/>
          <w:szCs w:val="20"/>
        </w:rPr>
        <w:t xml:space="preserve"> </w:t>
      </w:r>
      <w:r w:rsidRPr="00180EEE">
        <w:rPr>
          <w:rFonts w:cs="Arial"/>
          <w:iCs/>
          <w:sz w:val="20"/>
          <w:szCs w:val="20"/>
        </w:rPr>
        <w:t>Intensification,</w:t>
      </w:r>
      <w:r w:rsidR="00554484">
        <w:rPr>
          <w:rFonts w:cs="Arial"/>
          <w:iCs/>
          <w:sz w:val="20"/>
          <w:szCs w:val="20"/>
        </w:rPr>
        <w:t xml:space="preserve"> </w:t>
      </w:r>
      <w:r w:rsidRPr="00180EEE">
        <w:rPr>
          <w:rFonts w:cs="Arial"/>
          <w:iCs/>
          <w:sz w:val="20"/>
          <w:szCs w:val="20"/>
        </w:rPr>
        <w:t>E.3.0 – Neighbourhoods Designation</w:t>
      </w:r>
      <w:r w:rsidR="0032493C">
        <w:rPr>
          <w:rFonts w:cs="Arial"/>
          <w:iCs/>
          <w:sz w:val="20"/>
          <w:szCs w:val="20"/>
        </w:rPr>
        <w:t>.</w:t>
      </w:r>
    </w:p>
    <w:p w14:paraId="58FD21FB" w14:textId="77777777" w:rsidR="00411AA2" w:rsidRPr="002C0E1B" w:rsidRDefault="00411AA2" w:rsidP="00AE600B">
      <w:pPr>
        <w:pStyle w:val="ListParagraph"/>
        <w:rPr>
          <w:lang w:val="en-CA"/>
        </w:rPr>
      </w:pPr>
      <w:r w:rsidRPr="00411AA2">
        <w:t>In</w:t>
      </w:r>
      <w:r w:rsidRPr="00411AA2">
        <w:rPr>
          <w:spacing w:val="-4"/>
        </w:rPr>
        <w:t xml:space="preserve"> </w:t>
      </w:r>
      <w:r w:rsidRPr="00411AA2">
        <w:t>terms</w:t>
      </w:r>
      <w:r w:rsidRPr="00411AA2">
        <w:rPr>
          <w:spacing w:val="-4"/>
        </w:rPr>
        <w:t xml:space="preserve"> </w:t>
      </w:r>
      <w:r w:rsidRPr="00411AA2">
        <w:t>of</w:t>
      </w:r>
      <w:r w:rsidRPr="00411AA2">
        <w:rPr>
          <w:spacing w:val="-3"/>
        </w:rPr>
        <w:t xml:space="preserve"> </w:t>
      </w:r>
      <w:r w:rsidRPr="00411AA2">
        <w:t>the</w:t>
      </w:r>
      <w:r w:rsidRPr="00411AA2">
        <w:rPr>
          <w:spacing w:val="-3"/>
        </w:rPr>
        <w:t xml:space="preserve"> </w:t>
      </w:r>
      <w:r w:rsidRPr="00411AA2">
        <w:t>scale</w:t>
      </w:r>
      <w:r w:rsidRPr="00411AA2">
        <w:rPr>
          <w:spacing w:val="-4"/>
        </w:rPr>
        <w:t xml:space="preserve"> </w:t>
      </w:r>
      <w:r w:rsidRPr="00411AA2">
        <w:t>and</w:t>
      </w:r>
      <w:r w:rsidRPr="00411AA2">
        <w:rPr>
          <w:spacing w:val="-4"/>
        </w:rPr>
        <w:t xml:space="preserve"> </w:t>
      </w:r>
      <w:r w:rsidRPr="00411AA2">
        <w:t>design</w:t>
      </w:r>
      <w:r w:rsidRPr="00411AA2">
        <w:rPr>
          <w:spacing w:val="-4"/>
        </w:rPr>
        <w:t xml:space="preserve"> </w:t>
      </w:r>
      <w:r w:rsidRPr="00411AA2">
        <w:t>of</w:t>
      </w:r>
      <w:r w:rsidRPr="00411AA2">
        <w:rPr>
          <w:spacing w:val="-6"/>
        </w:rPr>
        <w:t xml:space="preserve"> </w:t>
      </w:r>
      <w:r w:rsidRPr="00411AA2">
        <w:t>new</w:t>
      </w:r>
      <w:r w:rsidRPr="00411AA2">
        <w:rPr>
          <w:spacing w:val="-4"/>
        </w:rPr>
        <w:t xml:space="preserve"> </w:t>
      </w:r>
      <w:r w:rsidRPr="00411AA2">
        <w:t>uses</w:t>
      </w:r>
      <w:r w:rsidRPr="00411AA2">
        <w:rPr>
          <w:spacing w:val="-4"/>
        </w:rPr>
        <w:t xml:space="preserve"> </w:t>
      </w:r>
      <w:r w:rsidRPr="00411AA2">
        <w:t>in</w:t>
      </w:r>
      <w:r w:rsidRPr="00411AA2">
        <w:rPr>
          <w:spacing w:val="-5"/>
        </w:rPr>
        <w:t xml:space="preserve"> </w:t>
      </w:r>
      <w:r w:rsidRPr="00411AA2">
        <w:t>the</w:t>
      </w:r>
      <w:r w:rsidRPr="00411AA2">
        <w:rPr>
          <w:spacing w:val="-4"/>
        </w:rPr>
        <w:t xml:space="preserve"> </w:t>
      </w:r>
      <w:r w:rsidRPr="002C0E1B">
        <w:rPr>
          <w:lang w:val="en-CA"/>
        </w:rPr>
        <w:t>Neighbourhoods</w:t>
      </w:r>
      <w:r w:rsidRPr="002C0E1B">
        <w:rPr>
          <w:spacing w:val="-4"/>
          <w:lang w:val="en-CA"/>
        </w:rPr>
        <w:t xml:space="preserve"> </w:t>
      </w:r>
      <w:r w:rsidRPr="002C0E1B">
        <w:rPr>
          <w:lang w:val="en-CA"/>
        </w:rPr>
        <w:t>designation,</w:t>
      </w:r>
      <w:r w:rsidRPr="002C0E1B">
        <w:rPr>
          <w:spacing w:val="-4"/>
          <w:lang w:val="en-CA"/>
        </w:rPr>
        <w:t xml:space="preserve"> </w:t>
      </w:r>
      <w:r w:rsidRPr="002C0E1B">
        <w:rPr>
          <w:lang w:val="en-CA"/>
        </w:rPr>
        <w:t>Section E.3.0 Neighbourhoods Designation, Subsection E.3.2.13</w:t>
      </w:r>
      <w:r w:rsidRPr="002C0E1B">
        <w:rPr>
          <w:spacing w:val="-5"/>
          <w:lang w:val="en-CA"/>
        </w:rPr>
        <w:t xml:space="preserve"> </w:t>
      </w:r>
      <w:r w:rsidRPr="002C0E1B">
        <w:rPr>
          <w:lang w:val="en-CA"/>
        </w:rPr>
        <w:t>states:</w:t>
      </w:r>
    </w:p>
    <w:p w14:paraId="5D368D2A" w14:textId="629CD81B" w:rsidR="00411AA2" w:rsidRPr="00AD34AF" w:rsidRDefault="00411AA2" w:rsidP="00AD34AF">
      <w:pPr>
        <w:pStyle w:val="BodyText"/>
        <w:spacing w:after="0"/>
        <w:ind w:left="1418" w:right="1418"/>
        <w:jc w:val="left"/>
        <w:rPr>
          <w:rFonts w:cs="Arial"/>
          <w:iCs/>
          <w:sz w:val="20"/>
          <w:szCs w:val="20"/>
        </w:rPr>
      </w:pPr>
      <w:r w:rsidRPr="00AD34AF">
        <w:rPr>
          <w:rFonts w:cs="Arial"/>
          <w:iCs/>
          <w:sz w:val="20"/>
          <w:szCs w:val="20"/>
        </w:rPr>
        <w:t>The City supports residential intensification on lands within the Neighbourhoods designation</w:t>
      </w:r>
      <w:r w:rsidRPr="00AD34AF">
        <w:rPr>
          <w:rFonts w:cs="Arial"/>
          <w:iCs/>
          <w:spacing w:val="-13"/>
          <w:sz w:val="20"/>
          <w:szCs w:val="20"/>
        </w:rPr>
        <w:t xml:space="preserve"> </w:t>
      </w:r>
      <w:r w:rsidRPr="00AD34AF">
        <w:rPr>
          <w:rFonts w:cs="Arial"/>
          <w:iCs/>
          <w:sz w:val="20"/>
          <w:szCs w:val="20"/>
        </w:rPr>
        <w:t>in</w:t>
      </w:r>
      <w:r w:rsidRPr="00AD34AF">
        <w:rPr>
          <w:rFonts w:cs="Arial"/>
          <w:iCs/>
          <w:spacing w:val="-11"/>
          <w:sz w:val="20"/>
          <w:szCs w:val="20"/>
        </w:rPr>
        <w:t xml:space="preserve"> </w:t>
      </w:r>
      <w:r w:rsidRPr="00AD34AF">
        <w:rPr>
          <w:rFonts w:cs="Arial"/>
          <w:iCs/>
          <w:sz w:val="20"/>
          <w:szCs w:val="20"/>
        </w:rPr>
        <w:t>accordance</w:t>
      </w:r>
      <w:r w:rsidRPr="00AD34AF">
        <w:rPr>
          <w:rFonts w:cs="Arial"/>
          <w:iCs/>
          <w:spacing w:val="-11"/>
          <w:sz w:val="20"/>
          <w:szCs w:val="20"/>
        </w:rPr>
        <w:t xml:space="preserve"> </w:t>
      </w:r>
      <w:r w:rsidRPr="00AD34AF">
        <w:rPr>
          <w:rFonts w:cs="Arial"/>
          <w:iCs/>
          <w:sz w:val="20"/>
          <w:szCs w:val="20"/>
        </w:rPr>
        <w:t>with</w:t>
      </w:r>
      <w:r w:rsidRPr="00AD34AF">
        <w:rPr>
          <w:rFonts w:cs="Arial"/>
          <w:iCs/>
          <w:spacing w:val="-11"/>
          <w:sz w:val="20"/>
          <w:szCs w:val="20"/>
        </w:rPr>
        <w:t xml:space="preserve"> </w:t>
      </w:r>
      <w:r w:rsidRPr="00AD34AF">
        <w:rPr>
          <w:rFonts w:cs="Arial"/>
          <w:iCs/>
          <w:sz w:val="20"/>
          <w:szCs w:val="20"/>
        </w:rPr>
        <w:t>Section</w:t>
      </w:r>
      <w:r w:rsidRPr="00AD34AF">
        <w:rPr>
          <w:rFonts w:cs="Arial"/>
          <w:iCs/>
          <w:spacing w:val="-11"/>
          <w:sz w:val="20"/>
          <w:szCs w:val="20"/>
        </w:rPr>
        <w:t xml:space="preserve"> </w:t>
      </w:r>
      <w:r w:rsidRPr="00AD34AF">
        <w:rPr>
          <w:rFonts w:cs="Arial"/>
          <w:iCs/>
          <w:sz w:val="20"/>
          <w:szCs w:val="20"/>
        </w:rPr>
        <w:t>B.2.4</w:t>
      </w:r>
      <w:r w:rsidRPr="00AD34AF">
        <w:rPr>
          <w:rFonts w:cs="Arial"/>
          <w:iCs/>
          <w:spacing w:val="-11"/>
          <w:sz w:val="20"/>
          <w:szCs w:val="20"/>
        </w:rPr>
        <w:t xml:space="preserve"> </w:t>
      </w:r>
      <w:r w:rsidRPr="00AD34AF">
        <w:rPr>
          <w:rFonts w:cs="Arial"/>
          <w:iCs/>
          <w:sz w:val="20"/>
          <w:szCs w:val="20"/>
        </w:rPr>
        <w:t>–</w:t>
      </w:r>
      <w:r w:rsidRPr="00AD34AF">
        <w:rPr>
          <w:rFonts w:cs="Arial"/>
          <w:iCs/>
          <w:spacing w:val="-11"/>
          <w:sz w:val="20"/>
          <w:szCs w:val="20"/>
        </w:rPr>
        <w:t xml:space="preserve"> </w:t>
      </w:r>
      <w:r w:rsidRPr="00AD34AF">
        <w:rPr>
          <w:rFonts w:cs="Arial"/>
          <w:iCs/>
          <w:sz w:val="20"/>
          <w:szCs w:val="20"/>
        </w:rPr>
        <w:t>Residential</w:t>
      </w:r>
      <w:r w:rsidRPr="00AD34AF">
        <w:rPr>
          <w:rFonts w:cs="Arial"/>
          <w:iCs/>
          <w:spacing w:val="-11"/>
          <w:sz w:val="20"/>
          <w:szCs w:val="20"/>
        </w:rPr>
        <w:t xml:space="preserve"> </w:t>
      </w:r>
      <w:r w:rsidRPr="00AD34AF">
        <w:rPr>
          <w:rFonts w:cs="Arial"/>
          <w:iCs/>
          <w:sz w:val="20"/>
          <w:szCs w:val="20"/>
        </w:rPr>
        <w:t>Intensification</w:t>
      </w:r>
      <w:r w:rsidRPr="00AD34AF">
        <w:rPr>
          <w:rFonts w:cs="Arial"/>
          <w:iCs/>
          <w:spacing w:val="-12"/>
          <w:sz w:val="20"/>
          <w:szCs w:val="20"/>
        </w:rPr>
        <w:t xml:space="preserve"> </w:t>
      </w:r>
      <w:r w:rsidRPr="00AD34AF">
        <w:rPr>
          <w:rFonts w:cs="Arial"/>
          <w:iCs/>
          <w:sz w:val="20"/>
          <w:szCs w:val="20"/>
        </w:rPr>
        <w:t>Policies, F.1.14 – Division of Land, and other applicable policies.</w:t>
      </w:r>
    </w:p>
    <w:p w14:paraId="27009E1A" w14:textId="410B02C2" w:rsidR="00411AA2" w:rsidRPr="00411AA2" w:rsidRDefault="00411AA2" w:rsidP="00AE600B">
      <w:pPr>
        <w:pStyle w:val="ListParagraph"/>
      </w:pPr>
      <w:r w:rsidRPr="00411AA2">
        <w:lastRenderedPageBreak/>
        <w:t xml:space="preserve">Ms. </w:t>
      </w:r>
      <w:proofErr w:type="spellStart"/>
      <w:r w:rsidRPr="00411AA2">
        <w:t>Frieday</w:t>
      </w:r>
      <w:proofErr w:type="spellEnd"/>
      <w:r w:rsidRPr="00411AA2">
        <w:t xml:space="preserve"> testified that for the Subject Applications, it is appropriate to first review Chapter F of the UHOP</w:t>
      </w:r>
      <w:r w:rsidR="00AD34AF">
        <w:t>.</w:t>
      </w:r>
      <w:r w:rsidRPr="00411AA2">
        <w:t xml:space="preserve"> </w:t>
      </w:r>
    </w:p>
    <w:p w14:paraId="27D01160" w14:textId="77777777" w:rsidR="00B769AE" w:rsidRDefault="00411AA2" w:rsidP="00B769AE">
      <w:pPr>
        <w:pStyle w:val="ListParagraph"/>
      </w:pPr>
      <w:r w:rsidRPr="00411AA2">
        <w:t>Chapter F states</w:t>
      </w:r>
      <w:r w:rsidR="00AD34AF">
        <w:t>:</w:t>
      </w:r>
      <w:r w:rsidRPr="00411AA2">
        <w:t xml:space="preserve"> “The success of the Official Plan can only be achieved through effective implementation.” Further, </w:t>
      </w:r>
      <w:r w:rsidR="00AD34AF">
        <w:t>C</w:t>
      </w:r>
      <w:r w:rsidRPr="00411AA2">
        <w:t xml:space="preserve">hapter F allows that the Act and other provincial regulations allow for a series of tools to fulfill the UHOP’s goals and objectives. </w:t>
      </w:r>
    </w:p>
    <w:p w14:paraId="536A65B1" w14:textId="6FC65C4E" w:rsidR="00411AA2" w:rsidRPr="00411AA2" w:rsidRDefault="00411AA2" w:rsidP="00353B7C">
      <w:pPr>
        <w:pStyle w:val="ListParagraph"/>
        <w:spacing w:beforeLines="0" w:before="0" w:afterLines="50" w:after="120" w:line="240" w:lineRule="auto"/>
      </w:pPr>
      <w:r w:rsidRPr="00411AA2">
        <w:t xml:space="preserve">Within </w:t>
      </w:r>
      <w:r w:rsidR="00AD34AF">
        <w:t>C</w:t>
      </w:r>
      <w:r w:rsidRPr="00411AA2">
        <w:t>hapter F, the following subsections are applicable to the Applications:</w:t>
      </w:r>
      <w:r w:rsidRPr="00411AA2">
        <w:tab/>
      </w:r>
    </w:p>
    <w:p w14:paraId="3A74B8D0" w14:textId="5B9C1987" w:rsidR="00411AA2" w:rsidRPr="00554484" w:rsidRDefault="00411AA2" w:rsidP="00353B7C">
      <w:pPr>
        <w:spacing w:afterLines="50" w:after="120"/>
        <w:ind w:left="1418" w:right="1418"/>
        <w:rPr>
          <w:rFonts w:ascii="Arial" w:hAnsi="Arial" w:cs="Arial"/>
          <w:sz w:val="20"/>
          <w:szCs w:val="20"/>
        </w:rPr>
      </w:pPr>
      <w:r w:rsidRPr="00554484">
        <w:rPr>
          <w:rFonts w:ascii="Arial" w:hAnsi="Arial" w:cs="Arial"/>
          <w:sz w:val="20"/>
          <w:szCs w:val="20"/>
        </w:rPr>
        <w:t xml:space="preserve">Secondary Plans and </w:t>
      </w:r>
      <w:r w:rsidRPr="00554484">
        <w:rPr>
          <w:rFonts w:ascii="Arial" w:hAnsi="Arial" w:cs="Arial"/>
          <w:sz w:val="20"/>
          <w:szCs w:val="20"/>
          <w:lang w:val="en-CA"/>
        </w:rPr>
        <w:t>Neighbourhood</w:t>
      </w:r>
      <w:r w:rsidRPr="00554484">
        <w:rPr>
          <w:rFonts w:ascii="Arial" w:hAnsi="Arial" w:cs="Arial"/>
          <w:sz w:val="20"/>
          <w:szCs w:val="20"/>
        </w:rPr>
        <w:t xml:space="preserve"> Plans,</w:t>
      </w:r>
    </w:p>
    <w:p w14:paraId="5E31B49F" w14:textId="41D9B33B" w:rsidR="00411AA2" w:rsidRPr="00554484" w:rsidRDefault="00AD34AF" w:rsidP="00B769AE">
      <w:pPr>
        <w:spacing w:beforeLines="50" w:before="120" w:afterLines="50" w:after="120"/>
        <w:ind w:left="2158" w:right="1418" w:hanging="740"/>
        <w:rPr>
          <w:rFonts w:ascii="Arial" w:hAnsi="Arial" w:cs="Arial"/>
          <w:sz w:val="20"/>
          <w:szCs w:val="20"/>
          <w:lang w:val="en-CA"/>
        </w:rPr>
      </w:pPr>
      <w:r w:rsidRPr="00554484">
        <w:rPr>
          <w:rFonts w:ascii="Arial" w:hAnsi="Arial" w:cs="Arial"/>
          <w:sz w:val="20"/>
          <w:szCs w:val="20"/>
        </w:rPr>
        <w:t>i)</w:t>
      </w:r>
      <w:r w:rsidRPr="00554484">
        <w:rPr>
          <w:rFonts w:ascii="Arial" w:hAnsi="Arial" w:cs="Arial"/>
          <w:sz w:val="20"/>
          <w:szCs w:val="20"/>
        </w:rPr>
        <w:tab/>
      </w:r>
      <w:r w:rsidR="00411AA2" w:rsidRPr="00554484">
        <w:rPr>
          <w:rFonts w:ascii="Arial" w:hAnsi="Arial" w:cs="Arial"/>
          <w:sz w:val="20"/>
          <w:szCs w:val="20"/>
        </w:rPr>
        <w:t>Section F.1.2 states that “Secondary plans are used to provide detailed and community specific</w:t>
      </w:r>
      <w:r w:rsidR="00411AA2" w:rsidRPr="00554484">
        <w:rPr>
          <w:rFonts w:ascii="Arial" w:hAnsi="Arial" w:cs="Arial"/>
          <w:spacing w:val="-8"/>
          <w:sz w:val="20"/>
          <w:szCs w:val="20"/>
        </w:rPr>
        <w:t xml:space="preserve"> </w:t>
      </w:r>
      <w:r w:rsidR="00411AA2" w:rsidRPr="00554484">
        <w:rPr>
          <w:rFonts w:ascii="Arial" w:hAnsi="Arial" w:cs="Arial"/>
          <w:sz w:val="20"/>
          <w:szCs w:val="20"/>
        </w:rPr>
        <w:t>guidance</w:t>
      </w:r>
      <w:r w:rsidR="00411AA2" w:rsidRPr="00554484">
        <w:rPr>
          <w:rFonts w:ascii="Arial" w:hAnsi="Arial" w:cs="Arial"/>
          <w:spacing w:val="-7"/>
          <w:sz w:val="20"/>
          <w:szCs w:val="20"/>
        </w:rPr>
        <w:t xml:space="preserve"> </w:t>
      </w:r>
      <w:r w:rsidR="00411AA2" w:rsidRPr="00554484">
        <w:rPr>
          <w:rFonts w:ascii="Arial" w:hAnsi="Arial" w:cs="Arial"/>
          <w:sz w:val="20"/>
          <w:szCs w:val="20"/>
        </w:rPr>
        <w:t>to</w:t>
      </w:r>
      <w:r w:rsidR="00411AA2" w:rsidRPr="00554484">
        <w:rPr>
          <w:rFonts w:ascii="Arial" w:hAnsi="Arial" w:cs="Arial"/>
          <w:spacing w:val="-7"/>
          <w:sz w:val="20"/>
          <w:szCs w:val="20"/>
        </w:rPr>
        <w:t xml:space="preserve"> </w:t>
      </w:r>
      <w:r w:rsidR="00411AA2" w:rsidRPr="00554484">
        <w:rPr>
          <w:rFonts w:ascii="Arial" w:hAnsi="Arial" w:cs="Arial"/>
          <w:sz w:val="20"/>
          <w:szCs w:val="20"/>
        </w:rPr>
        <w:t>growth</w:t>
      </w:r>
      <w:r w:rsidR="00411AA2" w:rsidRPr="00554484">
        <w:rPr>
          <w:rFonts w:ascii="Arial" w:hAnsi="Arial" w:cs="Arial"/>
          <w:spacing w:val="-7"/>
          <w:sz w:val="20"/>
          <w:szCs w:val="20"/>
        </w:rPr>
        <w:t xml:space="preserve"> </w:t>
      </w:r>
      <w:r w:rsidR="00411AA2" w:rsidRPr="00554484">
        <w:rPr>
          <w:rFonts w:ascii="Arial" w:hAnsi="Arial" w:cs="Arial"/>
          <w:sz w:val="20"/>
          <w:szCs w:val="20"/>
        </w:rPr>
        <w:t>and</w:t>
      </w:r>
      <w:r w:rsidR="00411AA2" w:rsidRPr="00554484">
        <w:rPr>
          <w:rFonts w:ascii="Arial" w:hAnsi="Arial" w:cs="Arial"/>
          <w:spacing w:val="-7"/>
          <w:sz w:val="20"/>
          <w:szCs w:val="20"/>
        </w:rPr>
        <w:t xml:space="preserve"> </w:t>
      </w:r>
      <w:r w:rsidR="00411AA2" w:rsidRPr="00554484">
        <w:rPr>
          <w:rFonts w:ascii="Arial" w:hAnsi="Arial" w:cs="Arial"/>
          <w:sz w:val="20"/>
          <w:szCs w:val="20"/>
        </w:rPr>
        <w:t>change</w:t>
      </w:r>
      <w:r w:rsidR="00411AA2" w:rsidRPr="00554484">
        <w:rPr>
          <w:rFonts w:ascii="Arial" w:hAnsi="Arial" w:cs="Arial"/>
          <w:spacing w:val="-7"/>
          <w:sz w:val="20"/>
          <w:szCs w:val="20"/>
        </w:rPr>
        <w:t xml:space="preserve"> </w:t>
      </w:r>
      <w:r w:rsidR="00411AA2" w:rsidRPr="00554484">
        <w:rPr>
          <w:rFonts w:ascii="Arial" w:hAnsi="Arial" w:cs="Arial"/>
          <w:sz w:val="20"/>
          <w:szCs w:val="20"/>
        </w:rPr>
        <w:t>in</w:t>
      </w:r>
      <w:r w:rsidR="00411AA2" w:rsidRPr="00554484">
        <w:rPr>
          <w:rFonts w:ascii="Arial" w:hAnsi="Arial" w:cs="Arial"/>
          <w:spacing w:val="-7"/>
          <w:sz w:val="20"/>
          <w:szCs w:val="20"/>
        </w:rPr>
        <w:t xml:space="preserve"> </w:t>
      </w:r>
      <w:r w:rsidR="00411AA2" w:rsidRPr="00554484">
        <w:rPr>
          <w:rFonts w:ascii="Arial" w:hAnsi="Arial" w:cs="Arial"/>
          <w:sz w:val="20"/>
          <w:szCs w:val="20"/>
        </w:rPr>
        <w:t>smaller</w:t>
      </w:r>
      <w:r w:rsidR="00411AA2" w:rsidRPr="00554484">
        <w:rPr>
          <w:rFonts w:ascii="Arial" w:hAnsi="Arial" w:cs="Arial"/>
          <w:spacing w:val="-7"/>
          <w:sz w:val="20"/>
          <w:szCs w:val="20"/>
        </w:rPr>
        <w:t xml:space="preserve"> </w:t>
      </w:r>
      <w:r w:rsidR="00411AA2" w:rsidRPr="00554484">
        <w:rPr>
          <w:rFonts w:ascii="Arial" w:hAnsi="Arial" w:cs="Arial"/>
          <w:sz w:val="20"/>
          <w:szCs w:val="20"/>
        </w:rPr>
        <w:t>geographic</w:t>
      </w:r>
      <w:r w:rsidR="00411AA2" w:rsidRPr="00554484">
        <w:rPr>
          <w:rFonts w:ascii="Arial" w:hAnsi="Arial" w:cs="Arial"/>
          <w:spacing w:val="-7"/>
          <w:sz w:val="20"/>
          <w:szCs w:val="20"/>
        </w:rPr>
        <w:t xml:space="preserve"> </w:t>
      </w:r>
      <w:r w:rsidR="00411AA2" w:rsidRPr="00554484">
        <w:rPr>
          <w:rFonts w:ascii="Arial" w:hAnsi="Arial" w:cs="Arial"/>
          <w:sz w:val="20"/>
          <w:szCs w:val="20"/>
        </w:rPr>
        <w:t>areas</w:t>
      </w:r>
      <w:r w:rsidR="00411AA2" w:rsidRPr="00554484">
        <w:rPr>
          <w:rFonts w:ascii="Arial" w:hAnsi="Arial" w:cs="Arial"/>
          <w:spacing w:val="-7"/>
          <w:sz w:val="20"/>
          <w:szCs w:val="20"/>
        </w:rPr>
        <w:t xml:space="preserve"> </w:t>
      </w:r>
      <w:r w:rsidR="00411AA2" w:rsidRPr="00554484">
        <w:rPr>
          <w:rFonts w:ascii="Arial" w:hAnsi="Arial" w:cs="Arial"/>
          <w:sz w:val="20"/>
          <w:szCs w:val="20"/>
        </w:rPr>
        <w:t>of</w:t>
      </w:r>
      <w:r w:rsidR="00411AA2" w:rsidRPr="00554484">
        <w:rPr>
          <w:rFonts w:ascii="Arial" w:hAnsi="Arial" w:cs="Arial"/>
          <w:spacing w:val="-7"/>
          <w:sz w:val="20"/>
          <w:szCs w:val="20"/>
        </w:rPr>
        <w:t xml:space="preserve"> </w:t>
      </w:r>
      <w:r w:rsidR="00411AA2" w:rsidRPr="00554484">
        <w:rPr>
          <w:rFonts w:ascii="Arial" w:hAnsi="Arial" w:cs="Arial"/>
          <w:sz w:val="20"/>
          <w:szCs w:val="20"/>
        </w:rPr>
        <w:t>the</w:t>
      </w:r>
      <w:r w:rsidR="00411AA2" w:rsidRPr="00554484">
        <w:rPr>
          <w:rFonts w:ascii="Arial" w:hAnsi="Arial" w:cs="Arial"/>
          <w:spacing w:val="-7"/>
          <w:sz w:val="20"/>
          <w:szCs w:val="20"/>
        </w:rPr>
        <w:t xml:space="preserve"> </w:t>
      </w:r>
      <w:r w:rsidR="00411AA2" w:rsidRPr="00554484">
        <w:rPr>
          <w:rFonts w:ascii="Arial" w:hAnsi="Arial" w:cs="Arial"/>
          <w:sz w:val="20"/>
          <w:szCs w:val="20"/>
        </w:rPr>
        <w:t>City”,</w:t>
      </w:r>
      <w:r w:rsidR="00411AA2" w:rsidRPr="00554484">
        <w:rPr>
          <w:rFonts w:ascii="Arial" w:hAnsi="Arial" w:cs="Arial"/>
          <w:spacing w:val="-7"/>
          <w:sz w:val="20"/>
          <w:szCs w:val="20"/>
        </w:rPr>
        <w:t xml:space="preserve"> </w:t>
      </w:r>
      <w:r w:rsidR="00411AA2" w:rsidRPr="00554484">
        <w:rPr>
          <w:rFonts w:ascii="Arial" w:hAnsi="Arial" w:cs="Arial"/>
          <w:sz w:val="20"/>
          <w:szCs w:val="20"/>
        </w:rPr>
        <w:t>and</w:t>
      </w:r>
      <w:r w:rsidR="00411AA2" w:rsidRPr="00554484">
        <w:rPr>
          <w:rFonts w:ascii="Arial" w:hAnsi="Arial" w:cs="Arial"/>
          <w:spacing w:val="-7"/>
          <w:sz w:val="20"/>
          <w:szCs w:val="20"/>
        </w:rPr>
        <w:t xml:space="preserve"> </w:t>
      </w:r>
      <w:r w:rsidR="00411AA2" w:rsidRPr="00554484">
        <w:rPr>
          <w:rFonts w:ascii="Arial" w:hAnsi="Arial" w:cs="Arial"/>
          <w:sz w:val="20"/>
          <w:szCs w:val="20"/>
        </w:rPr>
        <w:t xml:space="preserve">may be prepared as needed for planning districts, </w:t>
      </w:r>
      <w:r w:rsidR="00411AA2" w:rsidRPr="00554484">
        <w:rPr>
          <w:rFonts w:ascii="Arial" w:hAnsi="Arial" w:cs="Arial"/>
          <w:sz w:val="20"/>
          <w:szCs w:val="20"/>
          <w:lang w:val="en-CA"/>
        </w:rPr>
        <w:t>neighbourhoods, nodes, corridors or any other area of the</w:t>
      </w:r>
      <w:r w:rsidR="00411AA2" w:rsidRPr="00554484">
        <w:rPr>
          <w:rFonts w:ascii="Arial" w:hAnsi="Arial" w:cs="Arial"/>
          <w:spacing w:val="-1"/>
          <w:sz w:val="20"/>
          <w:szCs w:val="20"/>
          <w:lang w:val="en-CA"/>
        </w:rPr>
        <w:t xml:space="preserve"> </w:t>
      </w:r>
      <w:r w:rsidR="00411AA2" w:rsidRPr="00554484">
        <w:rPr>
          <w:rFonts w:ascii="Arial" w:hAnsi="Arial" w:cs="Arial"/>
          <w:sz w:val="20"/>
          <w:szCs w:val="20"/>
          <w:lang w:val="en-CA"/>
        </w:rPr>
        <w:t>City.</w:t>
      </w:r>
    </w:p>
    <w:p w14:paraId="5CF50845" w14:textId="181F3361" w:rsidR="00411AA2" w:rsidRPr="00554484" w:rsidRDefault="00AD34AF" w:rsidP="00DD7B54">
      <w:pPr>
        <w:spacing w:beforeLines="50" w:before="120" w:afterLines="50" w:after="120"/>
        <w:ind w:left="1418" w:right="1418" w:firstLine="22"/>
        <w:rPr>
          <w:rFonts w:ascii="Arial" w:hAnsi="Arial" w:cs="Arial"/>
          <w:sz w:val="20"/>
          <w:szCs w:val="20"/>
          <w:lang w:val="en-CA"/>
        </w:rPr>
      </w:pPr>
      <w:r w:rsidRPr="00554484">
        <w:rPr>
          <w:rFonts w:ascii="Arial" w:hAnsi="Arial" w:cs="Arial"/>
          <w:sz w:val="20"/>
          <w:szCs w:val="20"/>
          <w:lang w:val="en-CA"/>
        </w:rPr>
        <w:t>ii)</w:t>
      </w:r>
      <w:r w:rsidRPr="00554484">
        <w:rPr>
          <w:rFonts w:ascii="Arial" w:hAnsi="Arial" w:cs="Arial"/>
          <w:sz w:val="20"/>
          <w:szCs w:val="20"/>
          <w:lang w:val="en-CA"/>
        </w:rPr>
        <w:tab/>
      </w:r>
      <w:r w:rsidR="00411AA2" w:rsidRPr="00554484">
        <w:rPr>
          <w:rFonts w:ascii="Arial" w:hAnsi="Arial" w:cs="Arial"/>
          <w:sz w:val="20"/>
          <w:szCs w:val="20"/>
          <w:lang w:val="en-CA"/>
        </w:rPr>
        <w:t>There is no Secondary Plan that applies to the Subject</w:t>
      </w:r>
      <w:r w:rsidR="00411AA2" w:rsidRPr="00554484">
        <w:rPr>
          <w:rFonts w:ascii="Arial" w:hAnsi="Arial" w:cs="Arial"/>
          <w:spacing w:val="-5"/>
          <w:sz w:val="20"/>
          <w:szCs w:val="20"/>
          <w:lang w:val="en-CA"/>
        </w:rPr>
        <w:t xml:space="preserve"> </w:t>
      </w:r>
      <w:r w:rsidR="00411AA2" w:rsidRPr="00554484">
        <w:rPr>
          <w:rFonts w:ascii="Arial" w:hAnsi="Arial" w:cs="Arial"/>
          <w:sz w:val="20"/>
          <w:szCs w:val="20"/>
          <w:lang w:val="en-CA"/>
        </w:rPr>
        <w:t>Lands.</w:t>
      </w:r>
    </w:p>
    <w:p w14:paraId="414BF3D4" w14:textId="0EF74B19" w:rsidR="00411AA2" w:rsidRPr="00554484" w:rsidRDefault="00AD34AF" w:rsidP="00B769AE">
      <w:pPr>
        <w:spacing w:beforeLines="50" w:before="120" w:afterLines="50" w:after="120"/>
        <w:ind w:left="2158" w:right="1418" w:hanging="740"/>
        <w:rPr>
          <w:rFonts w:ascii="Arial" w:hAnsi="Arial" w:cs="Arial"/>
          <w:sz w:val="20"/>
          <w:szCs w:val="20"/>
          <w:lang w:val="en-CA"/>
        </w:rPr>
      </w:pPr>
      <w:r w:rsidRPr="00554484">
        <w:rPr>
          <w:rFonts w:ascii="Arial" w:hAnsi="Arial" w:cs="Arial"/>
          <w:sz w:val="20"/>
          <w:szCs w:val="20"/>
          <w:lang w:val="en-CA"/>
        </w:rPr>
        <w:t>iii)</w:t>
      </w:r>
      <w:r w:rsidRPr="00554484">
        <w:rPr>
          <w:rFonts w:ascii="Arial" w:hAnsi="Arial" w:cs="Arial"/>
          <w:sz w:val="20"/>
          <w:szCs w:val="20"/>
          <w:lang w:val="en-CA"/>
        </w:rPr>
        <w:tab/>
      </w:r>
      <w:r w:rsidR="00411AA2" w:rsidRPr="00554484">
        <w:rPr>
          <w:rFonts w:ascii="Arial" w:hAnsi="Arial" w:cs="Arial"/>
          <w:sz w:val="20"/>
          <w:szCs w:val="20"/>
          <w:lang w:val="en-CA"/>
        </w:rPr>
        <w:t>Section F.1.2.7 states that “</w:t>
      </w:r>
      <w:r w:rsidR="00411AA2" w:rsidRPr="00554484">
        <w:rPr>
          <w:rFonts w:ascii="Arial" w:hAnsi="Arial" w:cs="Arial"/>
          <w:i/>
          <w:sz w:val="20"/>
          <w:szCs w:val="20"/>
          <w:lang w:val="en-CA"/>
        </w:rPr>
        <w:t xml:space="preserve">Neighbourhood plans </w:t>
      </w:r>
      <w:r w:rsidR="00411AA2" w:rsidRPr="00554484">
        <w:rPr>
          <w:rFonts w:ascii="Arial" w:hAnsi="Arial" w:cs="Arial"/>
          <w:sz w:val="20"/>
          <w:szCs w:val="20"/>
          <w:lang w:val="en-CA"/>
        </w:rPr>
        <w:t>are policies adopted by council resolution and do not form part of the Official Plan. Any proposal for development or redevelopment must conform to the designations, and policies in the Neighbourhood Plan.</w:t>
      </w:r>
    </w:p>
    <w:p w14:paraId="3F894117" w14:textId="77777777" w:rsidR="00411AA2" w:rsidRPr="00411AA2" w:rsidRDefault="00411AA2" w:rsidP="00AE600B">
      <w:pPr>
        <w:pStyle w:val="ListParagraph"/>
      </w:pPr>
      <w:r w:rsidRPr="002C0E1B">
        <w:rPr>
          <w:lang w:val="en-CA"/>
        </w:rPr>
        <w:t xml:space="preserve">The Subject Lands </w:t>
      </w:r>
      <w:proofErr w:type="gramStart"/>
      <w:r w:rsidRPr="002C0E1B">
        <w:rPr>
          <w:lang w:val="en-CA"/>
        </w:rPr>
        <w:t>are located in</w:t>
      </w:r>
      <w:proofErr w:type="gramEnd"/>
      <w:r w:rsidRPr="002C0E1B">
        <w:rPr>
          <w:lang w:val="en-CA"/>
        </w:rPr>
        <w:t xml:space="preserve"> the Ryckmans Neighbourhood</w:t>
      </w:r>
      <w:r w:rsidRPr="00411AA2">
        <w:t xml:space="preserve"> Plan and designated “Single and Double”. </w:t>
      </w:r>
    </w:p>
    <w:p w14:paraId="7E95DCB1" w14:textId="56406CCF" w:rsidR="002C4934" w:rsidRDefault="00411AA2" w:rsidP="00AE600B">
      <w:pPr>
        <w:pStyle w:val="ListParagraph"/>
      </w:pPr>
      <w:r w:rsidRPr="00411AA2">
        <w:t xml:space="preserve">Ms. </w:t>
      </w:r>
      <w:proofErr w:type="spellStart"/>
      <w:r w:rsidRPr="00411AA2">
        <w:t>Frieday</w:t>
      </w:r>
      <w:proofErr w:type="spellEnd"/>
      <w:r w:rsidRPr="00411AA2">
        <w:t xml:space="preserve"> opined that the proposed single-detached dwellings comply with this designation</w:t>
      </w:r>
      <w:r w:rsidR="002C4934">
        <w:t>.</w:t>
      </w:r>
    </w:p>
    <w:p w14:paraId="59522157" w14:textId="1A3D8470" w:rsidR="002C4934" w:rsidRPr="00554484" w:rsidRDefault="002C4934" w:rsidP="00353B7C">
      <w:pPr>
        <w:rPr>
          <w:rFonts w:cs="Arial"/>
          <w:b/>
        </w:rPr>
      </w:pPr>
      <w:r w:rsidRPr="00554484">
        <w:rPr>
          <w:rFonts w:ascii="Arial" w:hAnsi="Arial" w:cs="Arial"/>
          <w:b/>
          <w:bCs/>
        </w:rPr>
        <w:t>1.</w:t>
      </w:r>
      <w:r w:rsidRPr="00554484">
        <w:rPr>
          <w:rFonts w:ascii="Arial" w:hAnsi="Arial" w:cs="Arial"/>
          <w:b/>
        </w:rPr>
        <w:t>4 Interpretation of the Official Plan</w:t>
      </w:r>
    </w:p>
    <w:p w14:paraId="1D2219D1" w14:textId="6C1E20C7" w:rsidR="003F0690" w:rsidRPr="00554484" w:rsidRDefault="00411AA2" w:rsidP="00AE600B">
      <w:pPr>
        <w:pStyle w:val="ListParagraph"/>
      </w:pPr>
      <w:r w:rsidRPr="002C4934">
        <w:t>Sections F.</w:t>
      </w:r>
      <w:r w:rsidR="002C4934">
        <w:t>1</w:t>
      </w:r>
      <w:r w:rsidRPr="002C4934">
        <w:t>.4.3 through F.1.4.8 provide goals, objectives and guides to assist in understanding the intent of the policies.</w:t>
      </w:r>
    </w:p>
    <w:p w14:paraId="53D4A2CC" w14:textId="31EAF0BC" w:rsidR="002C4934" w:rsidRPr="00554484" w:rsidRDefault="002C4934" w:rsidP="00353B7C">
      <w:pPr>
        <w:rPr>
          <w:rFonts w:cs="Arial"/>
          <w:b/>
        </w:rPr>
      </w:pPr>
      <w:r w:rsidRPr="00554484">
        <w:rPr>
          <w:rFonts w:ascii="Arial" w:hAnsi="Arial" w:cs="Arial"/>
          <w:b/>
        </w:rPr>
        <w:t>1.5 Zoning By-law</w:t>
      </w:r>
    </w:p>
    <w:p w14:paraId="1298E014" w14:textId="71D1DC1E" w:rsidR="002C4934" w:rsidRDefault="00411AA2" w:rsidP="00AE600B">
      <w:pPr>
        <w:pStyle w:val="ListParagraph"/>
      </w:pPr>
      <w:r w:rsidRPr="002C4934">
        <w:t>Section F.1.5 states the City shall prepare a Zoning</w:t>
      </w:r>
      <w:r w:rsidR="002C4934">
        <w:t xml:space="preserve"> </w:t>
      </w:r>
      <w:r w:rsidRPr="002C4934">
        <w:t>By-</w:t>
      </w:r>
      <w:r w:rsidR="002C4934">
        <w:t>l</w:t>
      </w:r>
      <w:r w:rsidRPr="002C4934">
        <w:t>aw that will implement the UHOP and that the Z</w:t>
      </w:r>
      <w:r w:rsidR="00AF60EF">
        <w:t xml:space="preserve">oning </w:t>
      </w:r>
      <w:r w:rsidRPr="002C4934">
        <w:t>B</w:t>
      </w:r>
      <w:r w:rsidR="00AF60EF">
        <w:t>y-law</w:t>
      </w:r>
      <w:r w:rsidRPr="002C4934">
        <w:t xml:space="preserve"> is a key tool component to ensure the City’s goals, objectives and policies are realized</w:t>
      </w:r>
      <w:r w:rsidR="00AF60EF">
        <w:t>.</w:t>
      </w:r>
    </w:p>
    <w:p w14:paraId="28120CBC" w14:textId="77777777" w:rsidR="002C4934" w:rsidRDefault="00411AA2" w:rsidP="00AE600B">
      <w:pPr>
        <w:pStyle w:val="ListParagraph"/>
      </w:pPr>
      <w:r w:rsidRPr="00411AA2">
        <w:lastRenderedPageBreak/>
        <w:t>In</w:t>
      </w:r>
      <w:r w:rsidRPr="002C4934">
        <w:rPr>
          <w:spacing w:val="-4"/>
        </w:rPr>
        <w:t xml:space="preserve"> </w:t>
      </w:r>
      <w:r w:rsidRPr="00411AA2">
        <w:t>2004/2005</w:t>
      </w:r>
      <w:r w:rsidRPr="002C4934">
        <w:rPr>
          <w:spacing w:val="-4"/>
        </w:rPr>
        <w:t xml:space="preserve"> </w:t>
      </w:r>
      <w:r w:rsidRPr="00411AA2">
        <w:t>the</w:t>
      </w:r>
      <w:r w:rsidRPr="002C4934">
        <w:rPr>
          <w:spacing w:val="-3"/>
        </w:rPr>
        <w:t xml:space="preserve"> </w:t>
      </w:r>
      <w:r w:rsidRPr="00411AA2">
        <w:t>City</w:t>
      </w:r>
      <w:r w:rsidRPr="002C4934">
        <w:rPr>
          <w:spacing w:val="-4"/>
        </w:rPr>
        <w:t xml:space="preserve"> </w:t>
      </w:r>
      <w:r w:rsidRPr="00411AA2">
        <w:t>took</w:t>
      </w:r>
      <w:r w:rsidRPr="002C4934">
        <w:rPr>
          <w:spacing w:val="-4"/>
        </w:rPr>
        <w:t xml:space="preserve"> </w:t>
      </w:r>
      <w:r w:rsidRPr="00411AA2">
        <w:t>action</w:t>
      </w:r>
      <w:r w:rsidRPr="002C4934">
        <w:rPr>
          <w:spacing w:val="-4"/>
        </w:rPr>
        <w:t xml:space="preserve"> </w:t>
      </w:r>
      <w:r w:rsidRPr="00411AA2">
        <w:t>to</w:t>
      </w:r>
      <w:r w:rsidRPr="002C4934">
        <w:rPr>
          <w:spacing w:val="-5"/>
        </w:rPr>
        <w:t xml:space="preserve"> </w:t>
      </w:r>
      <w:r w:rsidRPr="00411AA2">
        <w:t>prepare</w:t>
      </w:r>
      <w:r w:rsidRPr="002C4934">
        <w:rPr>
          <w:spacing w:val="-4"/>
        </w:rPr>
        <w:t xml:space="preserve"> </w:t>
      </w:r>
      <w:r w:rsidRPr="00411AA2">
        <w:t>a</w:t>
      </w:r>
      <w:r w:rsidRPr="002C4934">
        <w:rPr>
          <w:spacing w:val="-4"/>
        </w:rPr>
        <w:t xml:space="preserve"> </w:t>
      </w:r>
      <w:r w:rsidRPr="00411AA2">
        <w:t>new</w:t>
      </w:r>
      <w:r w:rsidRPr="002C4934">
        <w:rPr>
          <w:spacing w:val="-4"/>
        </w:rPr>
        <w:t xml:space="preserve"> </w:t>
      </w:r>
      <w:r w:rsidRPr="00411AA2">
        <w:t>Comprehensive</w:t>
      </w:r>
      <w:r w:rsidRPr="002C4934">
        <w:rPr>
          <w:spacing w:val="-4"/>
        </w:rPr>
        <w:t xml:space="preserve"> </w:t>
      </w:r>
      <w:r w:rsidRPr="00411AA2">
        <w:t>Zoning</w:t>
      </w:r>
      <w:r w:rsidRPr="002C4934">
        <w:rPr>
          <w:spacing w:val="-4"/>
        </w:rPr>
        <w:t xml:space="preserve"> </w:t>
      </w:r>
      <w:r w:rsidRPr="00411AA2">
        <w:t>By-law</w:t>
      </w:r>
      <w:r w:rsidRPr="002C4934">
        <w:rPr>
          <w:spacing w:val="-4"/>
        </w:rPr>
        <w:t xml:space="preserve"> </w:t>
      </w:r>
      <w:r w:rsidRPr="00411AA2">
        <w:t>for</w:t>
      </w:r>
      <w:r w:rsidRPr="002C4934">
        <w:rPr>
          <w:spacing w:val="-4"/>
        </w:rPr>
        <w:t xml:space="preserve"> </w:t>
      </w:r>
      <w:r w:rsidRPr="00411AA2">
        <w:t>the City.</w:t>
      </w:r>
      <w:r w:rsidRPr="002C4934">
        <w:rPr>
          <w:spacing w:val="-5"/>
        </w:rPr>
        <w:t xml:space="preserve"> T</w:t>
      </w:r>
      <w:r w:rsidRPr="00411AA2">
        <w:t>o</w:t>
      </w:r>
      <w:r w:rsidRPr="002C4934">
        <w:rPr>
          <w:spacing w:val="-4"/>
        </w:rPr>
        <w:t xml:space="preserve"> </w:t>
      </w:r>
      <w:r w:rsidRPr="00411AA2">
        <w:t>date,</w:t>
      </w:r>
      <w:r w:rsidRPr="002C4934">
        <w:rPr>
          <w:spacing w:val="-4"/>
        </w:rPr>
        <w:t xml:space="preserve"> </w:t>
      </w:r>
      <w:r w:rsidRPr="00411AA2">
        <w:t>the</w:t>
      </w:r>
      <w:r w:rsidRPr="002C4934">
        <w:rPr>
          <w:spacing w:val="-5"/>
        </w:rPr>
        <w:t xml:space="preserve"> </w:t>
      </w:r>
      <w:r w:rsidRPr="00411AA2">
        <w:t>City</w:t>
      </w:r>
      <w:r w:rsidRPr="002C4934">
        <w:rPr>
          <w:spacing w:val="-4"/>
        </w:rPr>
        <w:t xml:space="preserve"> </w:t>
      </w:r>
      <w:r w:rsidRPr="002C0E1B">
        <w:rPr>
          <w:bCs/>
        </w:rPr>
        <w:t>has</w:t>
      </w:r>
      <w:r w:rsidRPr="002C0E1B">
        <w:rPr>
          <w:bCs/>
          <w:spacing w:val="-6"/>
        </w:rPr>
        <w:t xml:space="preserve"> </w:t>
      </w:r>
      <w:r w:rsidRPr="002C0E1B">
        <w:rPr>
          <w:bCs/>
        </w:rPr>
        <w:t>not</w:t>
      </w:r>
      <w:r w:rsidRPr="002C0E1B">
        <w:rPr>
          <w:bCs/>
          <w:spacing w:val="-4"/>
        </w:rPr>
        <w:t xml:space="preserve"> </w:t>
      </w:r>
      <w:r w:rsidRPr="002C0E1B">
        <w:rPr>
          <w:bCs/>
        </w:rPr>
        <w:t>incorporated</w:t>
      </w:r>
      <w:r w:rsidRPr="002C4934">
        <w:rPr>
          <w:spacing w:val="-5"/>
        </w:rPr>
        <w:t xml:space="preserve"> </w:t>
      </w:r>
      <w:r w:rsidRPr="00411AA2">
        <w:t>revised,</w:t>
      </w:r>
      <w:r w:rsidRPr="002C4934">
        <w:rPr>
          <w:spacing w:val="-1"/>
        </w:rPr>
        <w:t xml:space="preserve"> </w:t>
      </w:r>
      <w:r w:rsidRPr="00411AA2">
        <w:t>up-to-date</w:t>
      </w:r>
      <w:r w:rsidRPr="002C4934">
        <w:rPr>
          <w:spacing w:val="-6"/>
        </w:rPr>
        <w:t xml:space="preserve"> </w:t>
      </w:r>
      <w:r w:rsidRPr="00411AA2">
        <w:t>residential</w:t>
      </w:r>
      <w:r w:rsidRPr="002C4934">
        <w:rPr>
          <w:spacing w:val="-4"/>
        </w:rPr>
        <w:t xml:space="preserve"> </w:t>
      </w:r>
      <w:r w:rsidRPr="00411AA2">
        <w:t>zones and development standards in the new Comprehensive Zoning By-law No.</w:t>
      </w:r>
      <w:r w:rsidRPr="002C4934">
        <w:rPr>
          <w:spacing w:val="-8"/>
        </w:rPr>
        <w:t xml:space="preserve"> </w:t>
      </w:r>
      <w:r w:rsidRPr="00411AA2">
        <w:t>05-200.</w:t>
      </w:r>
    </w:p>
    <w:p w14:paraId="1D8BC1CF" w14:textId="1596EB8F" w:rsidR="002C4934" w:rsidRDefault="00411AA2" w:rsidP="00AE600B">
      <w:pPr>
        <w:pStyle w:val="ListParagraph"/>
      </w:pPr>
      <w:r w:rsidRPr="00411AA2">
        <w:t xml:space="preserve">Zoning By-laws of the former municipalities remain in effect. By-law No. 6593 for the former City of Hamilton was </w:t>
      </w:r>
      <w:r w:rsidRPr="002C0E1B">
        <w:rPr>
          <w:bCs/>
        </w:rPr>
        <w:t>adopted on July 25,</w:t>
      </w:r>
      <w:r w:rsidRPr="002C0E1B">
        <w:rPr>
          <w:bCs/>
          <w:spacing w:val="-2"/>
        </w:rPr>
        <w:t xml:space="preserve"> </w:t>
      </w:r>
      <w:r w:rsidRPr="002C0E1B">
        <w:rPr>
          <w:bCs/>
        </w:rPr>
        <w:t>1950</w:t>
      </w:r>
      <w:r w:rsidRPr="00411AA2">
        <w:t>.</w:t>
      </w:r>
    </w:p>
    <w:p w14:paraId="3A66D2C8" w14:textId="6CD7F06F" w:rsidR="002C4934" w:rsidRPr="00AE600B" w:rsidRDefault="002C4934" w:rsidP="00353B7C">
      <w:pPr>
        <w:rPr>
          <w:rFonts w:cs="Arial"/>
          <w:b/>
        </w:rPr>
      </w:pPr>
      <w:r w:rsidRPr="00AE600B">
        <w:rPr>
          <w:rFonts w:ascii="Arial" w:hAnsi="Arial" w:cs="Arial"/>
          <w:b/>
        </w:rPr>
        <w:t>1.13 Minor Variance</w:t>
      </w:r>
    </w:p>
    <w:p w14:paraId="25B5AE62" w14:textId="1AF66E40" w:rsidR="00411AA2" w:rsidRPr="00411AA2" w:rsidRDefault="00411AA2" w:rsidP="00AE600B">
      <w:pPr>
        <w:pStyle w:val="ListParagraph"/>
      </w:pPr>
      <w:r w:rsidRPr="00411AA2">
        <w:t xml:space="preserve">Section F.1.13.1 </w:t>
      </w:r>
      <w:proofErr w:type="gramStart"/>
      <w:r w:rsidRPr="00411AA2">
        <w:t>states</w:t>
      </w:r>
      <w:proofErr w:type="gramEnd"/>
      <w:r w:rsidRPr="00411AA2">
        <w:t xml:space="preserve"> that Council may appoint a Committee of Adjustment to</w:t>
      </w:r>
      <w:r w:rsidRPr="002C4934">
        <w:rPr>
          <w:spacing w:val="-37"/>
        </w:rPr>
        <w:t xml:space="preserve"> </w:t>
      </w:r>
      <w:r w:rsidRPr="00411AA2">
        <w:t>authorize consents and variances to the Zoning By-law provided the consents and variances maintain</w:t>
      </w:r>
      <w:r w:rsidRPr="002C4934">
        <w:rPr>
          <w:spacing w:val="-4"/>
        </w:rPr>
        <w:t xml:space="preserve"> </w:t>
      </w:r>
      <w:r w:rsidRPr="00411AA2">
        <w:t>the</w:t>
      </w:r>
      <w:r w:rsidRPr="002C4934">
        <w:rPr>
          <w:spacing w:val="-4"/>
        </w:rPr>
        <w:t xml:space="preserve"> </w:t>
      </w:r>
      <w:r w:rsidRPr="00411AA2">
        <w:t>intent</w:t>
      </w:r>
      <w:r w:rsidRPr="002C4934">
        <w:rPr>
          <w:spacing w:val="-4"/>
        </w:rPr>
        <w:t xml:space="preserve"> </w:t>
      </w:r>
      <w:r w:rsidRPr="00411AA2">
        <w:t>and</w:t>
      </w:r>
      <w:r w:rsidRPr="002C4934">
        <w:rPr>
          <w:spacing w:val="-4"/>
        </w:rPr>
        <w:t xml:space="preserve"> </w:t>
      </w:r>
      <w:r w:rsidRPr="00411AA2">
        <w:t>purpose</w:t>
      </w:r>
      <w:r w:rsidRPr="002C4934">
        <w:rPr>
          <w:spacing w:val="-4"/>
        </w:rPr>
        <w:t xml:space="preserve"> </w:t>
      </w:r>
      <w:r w:rsidRPr="00411AA2">
        <w:t>of</w:t>
      </w:r>
      <w:r w:rsidRPr="002C4934">
        <w:rPr>
          <w:spacing w:val="-4"/>
        </w:rPr>
        <w:t xml:space="preserve"> </w:t>
      </w:r>
      <w:r w:rsidRPr="00411AA2">
        <w:t>the</w:t>
      </w:r>
      <w:r w:rsidRPr="002C4934">
        <w:rPr>
          <w:spacing w:val="-3"/>
        </w:rPr>
        <w:t xml:space="preserve"> </w:t>
      </w:r>
      <w:r w:rsidRPr="00411AA2">
        <w:t>UHOP</w:t>
      </w:r>
      <w:r w:rsidRPr="002C4934">
        <w:rPr>
          <w:spacing w:val="-4"/>
        </w:rPr>
        <w:t xml:space="preserve"> </w:t>
      </w:r>
      <w:r w:rsidRPr="00411AA2">
        <w:t>and</w:t>
      </w:r>
      <w:r w:rsidRPr="002C4934">
        <w:rPr>
          <w:spacing w:val="-4"/>
        </w:rPr>
        <w:t xml:space="preserve"> </w:t>
      </w:r>
      <w:r w:rsidRPr="00411AA2">
        <w:t>any</w:t>
      </w:r>
      <w:r w:rsidRPr="002C4934">
        <w:rPr>
          <w:spacing w:val="-4"/>
        </w:rPr>
        <w:t xml:space="preserve"> </w:t>
      </w:r>
      <w:r w:rsidRPr="00411AA2">
        <w:t>other</w:t>
      </w:r>
      <w:r w:rsidRPr="002C4934">
        <w:rPr>
          <w:spacing w:val="-3"/>
        </w:rPr>
        <w:t xml:space="preserve"> </w:t>
      </w:r>
      <w:r w:rsidRPr="00411AA2">
        <w:t>requirements</w:t>
      </w:r>
      <w:r w:rsidRPr="002C4934">
        <w:rPr>
          <w:spacing w:val="-4"/>
        </w:rPr>
        <w:t xml:space="preserve"> </w:t>
      </w:r>
      <w:r w:rsidRPr="00411AA2">
        <w:t>of</w:t>
      </w:r>
      <w:r w:rsidRPr="002C4934">
        <w:rPr>
          <w:spacing w:val="-3"/>
        </w:rPr>
        <w:t xml:space="preserve"> </w:t>
      </w:r>
      <w:r w:rsidRPr="00411AA2">
        <w:t>the</w:t>
      </w:r>
      <w:r w:rsidRPr="002C4934">
        <w:rPr>
          <w:spacing w:val="-4"/>
        </w:rPr>
        <w:t xml:space="preserve"> </w:t>
      </w:r>
      <w:r w:rsidRPr="00411AA2">
        <w:t>Act.</w:t>
      </w:r>
    </w:p>
    <w:p w14:paraId="6E23FB00" w14:textId="17B20748" w:rsidR="00E478DB" w:rsidRPr="00411AA2" w:rsidRDefault="00411AA2" w:rsidP="00AE600B">
      <w:pPr>
        <w:pStyle w:val="ListParagraph"/>
      </w:pPr>
      <w:r w:rsidRPr="00411AA2">
        <w:t xml:space="preserve">In Ms. </w:t>
      </w:r>
      <w:proofErr w:type="spellStart"/>
      <w:r w:rsidRPr="00411AA2">
        <w:t>Frieday’s</w:t>
      </w:r>
      <w:proofErr w:type="spellEnd"/>
      <w:r w:rsidRPr="00411AA2">
        <w:t xml:space="preserve"> opinion, the approval of the Subject Applications maintains the intent and purpose of the UHOP and other requirements of the Act.</w:t>
      </w:r>
    </w:p>
    <w:p w14:paraId="57A31794" w14:textId="13C3AC33" w:rsidR="00411AA2" w:rsidRPr="0014273A" w:rsidRDefault="00411AA2" w:rsidP="00353B7C">
      <w:pPr>
        <w:pStyle w:val="BodyText"/>
        <w:spacing w:beforeLines="150" w:before="360" w:afterLines="150" w:after="360" w:line="360" w:lineRule="auto"/>
        <w:ind w:right="837"/>
        <w:jc w:val="left"/>
        <w:rPr>
          <w:rFonts w:cs="Arial"/>
          <w:b/>
          <w:bCs/>
          <w:iCs/>
          <w:sz w:val="24"/>
          <w:szCs w:val="24"/>
        </w:rPr>
      </w:pPr>
      <w:r w:rsidRPr="0014273A">
        <w:rPr>
          <w:rFonts w:cs="Arial"/>
          <w:b/>
          <w:bCs/>
          <w:iCs/>
          <w:sz w:val="24"/>
          <w:szCs w:val="24"/>
        </w:rPr>
        <w:t>1.14 Division of Land</w:t>
      </w:r>
    </w:p>
    <w:p w14:paraId="09D8A705" w14:textId="4BD0FF72" w:rsidR="00411AA2" w:rsidRPr="00411AA2" w:rsidRDefault="00411AA2" w:rsidP="00AE600B">
      <w:pPr>
        <w:pStyle w:val="ListParagraph"/>
      </w:pPr>
      <w:r w:rsidRPr="00411AA2">
        <w:t>Section F.1.14.1.1 states that the division of land shall occur by registered plan of subdivision where: a new road or an extension to an existing road is require</w:t>
      </w:r>
      <w:r w:rsidR="00B37891">
        <w:t>d</w:t>
      </w:r>
      <w:r w:rsidRPr="00411AA2">
        <w:t>; and, it is deemed in the public interest for the proper and orderly development of</w:t>
      </w:r>
      <w:r w:rsidRPr="00411AA2">
        <w:rPr>
          <w:spacing w:val="-7"/>
        </w:rPr>
        <w:t xml:space="preserve"> </w:t>
      </w:r>
      <w:r w:rsidRPr="00411AA2">
        <w:t>lands.</w:t>
      </w:r>
    </w:p>
    <w:p w14:paraId="3492BF02" w14:textId="77777777" w:rsidR="00411AA2" w:rsidRPr="00411AA2" w:rsidRDefault="00411AA2" w:rsidP="00AE600B">
      <w:pPr>
        <w:pStyle w:val="ListParagraph"/>
      </w:pPr>
      <w:r w:rsidRPr="00411AA2">
        <w:t xml:space="preserve">Ms. </w:t>
      </w:r>
      <w:proofErr w:type="spellStart"/>
      <w:r w:rsidRPr="00411AA2">
        <w:t>Frieday</w:t>
      </w:r>
      <w:proofErr w:type="spellEnd"/>
      <w:r w:rsidRPr="00411AA2">
        <w:t xml:space="preserve"> submits that the lands on the north side of Cielo Court do not require a new road or an extension as the road has been completed. </w:t>
      </w:r>
      <w:r w:rsidRPr="002C0E1B">
        <w:rPr>
          <w:bCs/>
        </w:rPr>
        <w:t>Through the approval of past consent and minor variance applications on the north side of Cielo Court, the City has not indicated that a plan of subdivision</w:t>
      </w:r>
      <w:r w:rsidRPr="002C0E1B">
        <w:rPr>
          <w:bCs/>
          <w:spacing w:val="-7"/>
        </w:rPr>
        <w:t xml:space="preserve"> </w:t>
      </w:r>
      <w:r w:rsidRPr="002C0E1B">
        <w:rPr>
          <w:bCs/>
        </w:rPr>
        <w:t>is</w:t>
      </w:r>
      <w:r w:rsidRPr="002C0E1B">
        <w:rPr>
          <w:bCs/>
          <w:spacing w:val="-7"/>
        </w:rPr>
        <w:t xml:space="preserve"> </w:t>
      </w:r>
      <w:r w:rsidRPr="002C0E1B">
        <w:rPr>
          <w:bCs/>
        </w:rPr>
        <w:t>required</w:t>
      </w:r>
      <w:r w:rsidRPr="002C0E1B">
        <w:rPr>
          <w:bCs/>
          <w:spacing w:val="-7"/>
        </w:rPr>
        <w:t xml:space="preserve"> </w:t>
      </w:r>
      <w:r w:rsidRPr="002C0E1B">
        <w:rPr>
          <w:bCs/>
        </w:rPr>
        <w:t>for</w:t>
      </w:r>
      <w:r w:rsidRPr="002C0E1B">
        <w:rPr>
          <w:bCs/>
          <w:spacing w:val="-7"/>
        </w:rPr>
        <w:t xml:space="preserve"> </w:t>
      </w:r>
      <w:r w:rsidRPr="002C0E1B">
        <w:rPr>
          <w:bCs/>
        </w:rPr>
        <w:t>the</w:t>
      </w:r>
      <w:r w:rsidRPr="002C0E1B">
        <w:rPr>
          <w:bCs/>
          <w:spacing w:val="-7"/>
        </w:rPr>
        <w:t xml:space="preserve"> </w:t>
      </w:r>
      <w:r w:rsidRPr="002C0E1B">
        <w:rPr>
          <w:bCs/>
        </w:rPr>
        <w:t>proper</w:t>
      </w:r>
      <w:r w:rsidRPr="002C0E1B">
        <w:rPr>
          <w:bCs/>
          <w:spacing w:val="-7"/>
        </w:rPr>
        <w:t xml:space="preserve"> </w:t>
      </w:r>
      <w:r w:rsidRPr="002C0E1B">
        <w:rPr>
          <w:bCs/>
        </w:rPr>
        <w:t>and</w:t>
      </w:r>
      <w:r w:rsidRPr="002C0E1B">
        <w:rPr>
          <w:bCs/>
          <w:spacing w:val="-7"/>
        </w:rPr>
        <w:t xml:space="preserve"> </w:t>
      </w:r>
      <w:r w:rsidRPr="002C0E1B">
        <w:rPr>
          <w:bCs/>
        </w:rPr>
        <w:t>orderly</w:t>
      </w:r>
      <w:r w:rsidRPr="002C0E1B">
        <w:rPr>
          <w:bCs/>
          <w:spacing w:val="-7"/>
        </w:rPr>
        <w:t xml:space="preserve"> </w:t>
      </w:r>
      <w:r w:rsidRPr="002C0E1B">
        <w:rPr>
          <w:bCs/>
        </w:rPr>
        <w:t>development</w:t>
      </w:r>
      <w:r w:rsidRPr="002C0E1B">
        <w:rPr>
          <w:bCs/>
          <w:spacing w:val="-6"/>
        </w:rPr>
        <w:t xml:space="preserve"> </w:t>
      </w:r>
      <w:r w:rsidRPr="002C0E1B">
        <w:rPr>
          <w:bCs/>
        </w:rPr>
        <w:t>of</w:t>
      </w:r>
      <w:r w:rsidRPr="002C0E1B">
        <w:rPr>
          <w:bCs/>
          <w:spacing w:val="-7"/>
        </w:rPr>
        <w:t xml:space="preserve"> </w:t>
      </w:r>
      <w:r w:rsidRPr="002C0E1B">
        <w:rPr>
          <w:bCs/>
        </w:rPr>
        <w:t>the</w:t>
      </w:r>
      <w:r w:rsidRPr="002C0E1B">
        <w:rPr>
          <w:bCs/>
          <w:spacing w:val="-7"/>
        </w:rPr>
        <w:t xml:space="preserve"> </w:t>
      </w:r>
      <w:r w:rsidRPr="002C0E1B">
        <w:rPr>
          <w:bCs/>
        </w:rPr>
        <w:t>lands</w:t>
      </w:r>
      <w:r w:rsidRPr="00411AA2">
        <w:rPr>
          <w:u w:val="single"/>
        </w:rPr>
        <w:t>,</w:t>
      </w:r>
      <w:r w:rsidRPr="00411AA2">
        <w:rPr>
          <w:spacing w:val="-7"/>
        </w:rPr>
        <w:t xml:space="preserve"> </w:t>
      </w:r>
      <w:r w:rsidRPr="00411AA2">
        <w:t>being</w:t>
      </w:r>
      <w:r w:rsidRPr="00411AA2">
        <w:rPr>
          <w:spacing w:val="-7"/>
        </w:rPr>
        <w:t xml:space="preserve"> </w:t>
      </w:r>
      <w:r w:rsidRPr="00411AA2">
        <w:t>the</w:t>
      </w:r>
      <w:r w:rsidRPr="00411AA2">
        <w:rPr>
          <w:spacing w:val="-7"/>
        </w:rPr>
        <w:t xml:space="preserve"> </w:t>
      </w:r>
      <w:r w:rsidRPr="00411AA2">
        <w:t>rear portion of large lots that extend from Stone Church Road East to Cielo</w:t>
      </w:r>
      <w:r w:rsidRPr="00411AA2">
        <w:rPr>
          <w:spacing w:val="-7"/>
        </w:rPr>
        <w:t xml:space="preserve"> </w:t>
      </w:r>
      <w:r w:rsidRPr="00411AA2">
        <w:t>Court.</w:t>
      </w:r>
    </w:p>
    <w:p w14:paraId="7E24FB3F" w14:textId="44549118" w:rsidR="00411AA2" w:rsidRPr="002C0E1B" w:rsidRDefault="00411AA2" w:rsidP="00AE600B">
      <w:pPr>
        <w:pStyle w:val="ListParagraph"/>
        <w:rPr>
          <w:lang w:val="en-CA"/>
        </w:rPr>
      </w:pPr>
      <w:r w:rsidRPr="002C0E1B">
        <w:rPr>
          <w:lang w:val="en-CA"/>
        </w:rPr>
        <w:t xml:space="preserve">Ms. </w:t>
      </w:r>
      <w:proofErr w:type="spellStart"/>
      <w:r w:rsidRPr="002C0E1B">
        <w:rPr>
          <w:lang w:val="en-CA"/>
        </w:rPr>
        <w:t>Frieday</w:t>
      </w:r>
      <w:proofErr w:type="spellEnd"/>
      <w:r w:rsidRPr="002C0E1B">
        <w:rPr>
          <w:lang w:val="en-CA"/>
        </w:rPr>
        <w:t xml:space="preserve"> further submits that section F.1.14.3.1 lists six conditions that must </w:t>
      </w:r>
      <w:r w:rsidRPr="002C0E1B">
        <w:rPr>
          <w:lang w:val="en-CA"/>
        </w:rPr>
        <w:lastRenderedPageBreak/>
        <w:t>be met for the creation of new lots through consent in the Neighbourhoods Designation:</w:t>
      </w:r>
    </w:p>
    <w:p w14:paraId="632A718D" w14:textId="77F03932" w:rsidR="00411AA2" w:rsidRPr="002C0E1B" w:rsidRDefault="00411AA2" w:rsidP="00AE600B">
      <w:pPr>
        <w:pStyle w:val="ListParagraph"/>
        <w:numPr>
          <w:ilvl w:val="0"/>
          <w:numId w:val="5"/>
        </w:numPr>
        <w:rPr>
          <w:lang w:val="en-CA"/>
        </w:rPr>
      </w:pPr>
      <w:r w:rsidRPr="002C0E1B">
        <w:rPr>
          <w:lang w:val="en-CA"/>
        </w:rPr>
        <w:t>that</w:t>
      </w:r>
      <w:r w:rsidRPr="002C0E1B">
        <w:rPr>
          <w:spacing w:val="-4"/>
          <w:lang w:val="en-CA"/>
        </w:rPr>
        <w:t xml:space="preserve"> </w:t>
      </w:r>
      <w:r w:rsidRPr="002C0E1B">
        <w:rPr>
          <w:lang w:val="en-CA"/>
        </w:rPr>
        <w:t>the</w:t>
      </w:r>
      <w:r w:rsidRPr="002C0E1B">
        <w:rPr>
          <w:spacing w:val="-4"/>
          <w:lang w:val="en-CA"/>
        </w:rPr>
        <w:t xml:space="preserve"> </w:t>
      </w:r>
      <w:r w:rsidRPr="002C0E1B">
        <w:rPr>
          <w:lang w:val="en-CA"/>
        </w:rPr>
        <w:t>lots</w:t>
      </w:r>
      <w:r w:rsidRPr="002C0E1B">
        <w:rPr>
          <w:spacing w:val="-5"/>
          <w:lang w:val="en-CA"/>
        </w:rPr>
        <w:t xml:space="preserve"> </w:t>
      </w:r>
      <w:r w:rsidRPr="002C0E1B">
        <w:rPr>
          <w:lang w:val="en-CA"/>
        </w:rPr>
        <w:t>comply</w:t>
      </w:r>
      <w:r w:rsidRPr="002C0E1B">
        <w:rPr>
          <w:spacing w:val="-4"/>
          <w:lang w:val="en-CA"/>
        </w:rPr>
        <w:t xml:space="preserve"> </w:t>
      </w:r>
      <w:r w:rsidRPr="002C0E1B">
        <w:rPr>
          <w:lang w:val="en-CA"/>
        </w:rPr>
        <w:t>with</w:t>
      </w:r>
      <w:r w:rsidRPr="002C0E1B">
        <w:rPr>
          <w:spacing w:val="-4"/>
          <w:lang w:val="en-CA"/>
        </w:rPr>
        <w:t xml:space="preserve"> </w:t>
      </w:r>
      <w:r w:rsidRPr="002C0E1B">
        <w:rPr>
          <w:lang w:val="en-CA"/>
        </w:rPr>
        <w:t>the</w:t>
      </w:r>
      <w:r w:rsidRPr="002C0E1B">
        <w:rPr>
          <w:spacing w:val="-4"/>
          <w:lang w:val="en-CA"/>
        </w:rPr>
        <w:t xml:space="preserve"> </w:t>
      </w:r>
      <w:r w:rsidRPr="002C0E1B">
        <w:rPr>
          <w:lang w:val="en-CA"/>
        </w:rPr>
        <w:t>policies</w:t>
      </w:r>
      <w:r w:rsidRPr="002C0E1B">
        <w:rPr>
          <w:spacing w:val="-5"/>
          <w:lang w:val="en-CA"/>
        </w:rPr>
        <w:t xml:space="preserve"> </w:t>
      </w:r>
      <w:r w:rsidRPr="002C0E1B">
        <w:rPr>
          <w:lang w:val="en-CA"/>
        </w:rPr>
        <w:t>of</w:t>
      </w:r>
      <w:r w:rsidRPr="002C0E1B">
        <w:rPr>
          <w:spacing w:val="-4"/>
          <w:lang w:val="en-CA"/>
        </w:rPr>
        <w:t xml:space="preserve"> </w:t>
      </w:r>
      <w:r w:rsidRPr="002C0E1B">
        <w:rPr>
          <w:lang w:val="en-CA"/>
        </w:rPr>
        <w:t>the</w:t>
      </w:r>
      <w:r w:rsidRPr="002C0E1B">
        <w:rPr>
          <w:spacing w:val="-4"/>
          <w:lang w:val="en-CA"/>
        </w:rPr>
        <w:t xml:space="preserve"> </w:t>
      </w:r>
      <w:r w:rsidRPr="002C0E1B">
        <w:rPr>
          <w:lang w:val="en-CA"/>
        </w:rPr>
        <w:t>UHOP</w:t>
      </w:r>
      <w:r w:rsidRPr="002C0E1B">
        <w:rPr>
          <w:spacing w:val="-4"/>
          <w:lang w:val="en-CA"/>
        </w:rPr>
        <w:t xml:space="preserve"> </w:t>
      </w:r>
      <w:r w:rsidRPr="002C0E1B">
        <w:rPr>
          <w:lang w:val="en-CA"/>
        </w:rPr>
        <w:t>and</w:t>
      </w:r>
      <w:r w:rsidRPr="002C0E1B">
        <w:rPr>
          <w:spacing w:val="-4"/>
          <w:lang w:val="en-CA"/>
        </w:rPr>
        <w:t xml:space="preserve"> </w:t>
      </w:r>
      <w:r w:rsidRPr="002C0E1B">
        <w:rPr>
          <w:lang w:val="en-CA"/>
        </w:rPr>
        <w:t>the</w:t>
      </w:r>
      <w:r w:rsidRPr="002C0E1B">
        <w:rPr>
          <w:spacing w:val="-3"/>
          <w:lang w:val="en-CA"/>
        </w:rPr>
        <w:t xml:space="preserve"> </w:t>
      </w:r>
      <w:r w:rsidRPr="002C0E1B">
        <w:rPr>
          <w:lang w:val="en-CA"/>
        </w:rPr>
        <w:t>secondary</w:t>
      </w:r>
      <w:r w:rsidRPr="002C0E1B">
        <w:rPr>
          <w:spacing w:val="-4"/>
          <w:lang w:val="en-CA"/>
        </w:rPr>
        <w:t xml:space="preserve"> </w:t>
      </w:r>
      <w:r w:rsidRPr="002C0E1B">
        <w:rPr>
          <w:lang w:val="en-CA"/>
        </w:rPr>
        <w:t>plan,</w:t>
      </w:r>
      <w:r w:rsidRPr="002C0E1B">
        <w:rPr>
          <w:spacing w:val="-3"/>
          <w:lang w:val="en-CA"/>
        </w:rPr>
        <w:t xml:space="preserve"> </w:t>
      </w:r>
      <w:r w:rsidRPr="002C0E1B">
        <w:rPr>
          <w:lang w:val="en-CA"/>
        </w:rPr>
        <w:t>where</w:t>
      </w:r>
      <w:r w:rsidRPr="002C0E1B">
        <w:rPr>
          <w:spacing w:val="-4"/>
          <w:lang w:val="en-CA"/>
        </w:rPr>
        <w:t xml:space="preserve"> </w:t>
      </w:r>
      <w:r w:rsidRPr="002C0E1B">
        <w:rPr>
          <w:lang w:val="en-CA"/>
        </w:rPr>
        <w:t xml:space="preserve">one </w:t>
      </w:r>
      <w:proofErr w:type="gramStart"/>
      <w:r w:rsidRPr="002C0E1B">
        <w:rPr>
          <w:lang w:val="en-CA"/>
        </w:rPr>
        <w:t>exists;</w:t>
      </w:r>
      <w:proofErr w:type="gramEnd"/>
    </w:p>
    <w:p w14:paraId="35E3AABF" w14:textId="77777777" w:rsidR="00DA3C4E" w:rsidRPr="002C0E1B" w:rsidRDefault="00411AA2" w:rsidP="00AE600B">
      <w:pPr>
        <w:pStyle w:val="ListParagraph"/>
        <w:numPr>
          <w:ilvl w:val="0"/>
          <w:numId w:val="5"/>
        </w:numPr>
        <w:rPr>
          <w:lang w:val="en-CA"/>
        </w:rPr>
      </w:pPr>
      <w:r w:rsidRPr="002C0E1B">
        <w:rPr>
          <w:lang w:val="en-CA"/>
        </w:rPr>
        <w:t>the lots comply with existing Neighbourhood</w:t>
      </w:r>
      <w:r w:rsidRPr="002C0E1B">
        <w:rPr>
          <w:spacing w:val="-1"/>
          <w:lang w:val="en-CA"/>
        </w:rPr>
        <w:t xml:space="preserve"> </w:t>
      </w:r>
      <w:proofErr w:type="gramStart"/>
      <w:r w:rsidRPr="002C0E1B">
        <w:rPr>
          <w:lang w:val="en-CA"/>
        </w:rPr>
        <w:t>Plans;</w:t>
      </w:r>
      <w:proofErr w:type="gramEnd"/>
    </w:p>
    <w:p w14:paraId="4195226B" w14:textId="77777777" w:rsidR="00DA3C4E" w:rsidRDefault="00411AA2" w:rsidP="00AE600B">
      <w:pPr>
        <w:pStyle w:val="ListParagraph"/>
        <w:numPr>
          <w:ilvl w:val="0"/>
          <w:numId w:val="5"/>
        </w:numPr>
      </w:pPr>
      <w:r w:rsidRPr="00411AA2">
        <w:t>the lots are in conformity with the Zoning By-law or a minor variance is</w:t>
      </w:r>
      <w:r w:rsidRPr="00DA3C4E">
        <w:rPr>
          <w:spacing w:val="-8"/>
        </w:rPr>
        <w:t xml:space="preserve"> </w:t>
      </w:r>
      <w:proofErr w:type="gramStart"/>
      <w:r w:rsidRPr="00411AA2">
        <w:t>approved;</w:t>
      </w:r>
      <w:proofErr w:type="gramEnd"/>
    </w:p>
    <w:p w14:paraId="6D22F608" w14:textId="77777777" w:rsidR="00DA3C4E" w:rsidRDefault="00411AA2" w:rsidP="00AE600B">
      <w:pPr>
        <w:pStyle w:val="ListParagraph"/>
        <w:numPr>
          <w:ilvl w:val="0"/>
          <w:numId w:val="5"/>
        </w:numPr>
      </w:pPr>
      <w:r w:rsidRPr="00411AA2">
        <w:t>the</w:t>
      </w:r>
      <w:r w:rsidRPr="00DA3C4E">
        <w:rPr>
          <w:spacing w:val="-9"/>
        </w:rPr>
        <w:t xml:space="preserve"> </w:t>
      </w:r>
      <w:r w:rsidRPr="00411AA2">
        <w:t>lots</w:t>
      </w:r>
      <w:r w:rsidRPr="00DA3C4E">
        <w:rPr>
          <w:spacing w:val="-8"/>
        </w:rPr>
        <w:t xml:space="preserve"> </w:t>
      </w:r>
      <w:r w:rsidRPr="00411AA2">
        <w:t>reflect</w:t>
      </w:r>
      <w:r w:rsidRPr="00DA3C4E">
        <w:rPr>
          <w:spacing w:val="-9"/>
        </w:rPr>
        <w:t xml:space="preserve"> </w:t>
      </w:r>
      <w:r w:rsidRPr="00411AA2">
        <w:t>the</w:t>
      </w:r>
      <w:r w:rsidRPr="00DA3C4E">
        <w:rPr>
          <w:spacing w:val="-8"/>
        </w:rPr>
        <w:t xml:space="preserve"> </w:t>
      </w:r>
      <w:r w:rsidRPr="00411AA2">
        <w:t>general</w:t>
      </w:r>
      <w:r w:rsidRPr="00DA3C4E">
        <w:rPr>
          <w:spacing w:val="-9"/>
        </w:rPr>
        <w:t xml:space="preserve"> </w:t>
      </w:r>
      <w:r w:rsidRPr="00411AA2">
        <w:t>scale</w:t>
      </w:r>
      <w:r w:rsidRPr="00DA3C4E">
        <w:rPr>
          <w:spacing w:val="-8"/>
        </w:rPr>
        <w:t xml:space="preserve"> </w:t>
      </w:r>
      <w:r w:rsidRPr="00411AA2">
        <w:t>and</w:t>
      </w:r>
      <w:r w:rsidRPr="00DA3C4E">
        <w:rPr>
          <w:spacing w:val="-11"/>
        </w:rPr>
        <w:t xml:space="preserve"> </w:t>
      </w:r>
      <w:r w:rsidRPr="00411AA2">
        <w:t>character</w:t>
      </w:r>
      <w:r w:rsidRPr="00DA3C4E">
        <w:rPr>
          <w:spacing w:val="-8"/>
        </w:rPr>
        <w:t xml:space="preserve"> </w:t>
      </w:r>
      <w:r w:rsidRPr="00411AA2">
        <w:t>of</w:t>
      </w:r>
      <w:r w:rsidRPr="00DA3C4E">
        <w:rPr>
          <w:spacing w:val="-10"/>
        </w:rPr>
        <w:t xml:space="preserve"> </w:t>
      </w:r>
      <w:r w:rsidRPr="00411AA2">
        <w:t>the</w:t>
      </w:r>
      <w:r w:rsidRPr="00DA3C4E">
        <w:rPr>
          <w:spacing w:val="-9"/>
        </w:rPr>
        <w:t xml:space="preserve"> </w:t>
      </w:r>
      <w:r w:rsidRPr="00411AA2">
        <w:t>established</w:t>
      </w:r>
      <w:r w:rsidRPr="00DA3C4E">
        <w:rPr>
          <w:spacing w:val="-8"/>
        </w:rPr>
        <w:t xml:space="preserve"> </w:t>
      </w:r>
      <w:r w:rsidRPr="00411AA2">
        <w:t>development</w:t>
      </w:r>
      <w:r w:rsidRPr="00DA3C4E">
        <w:rPr>
          <w:spacing w:val="-9"/>
        </w:rPr>
        <w:t xml:space="preserve"> </w:t>
      </w:r>
      <w:r w:rsidRPr="00411AA2">
        <w:t>pattern taking into consideration lot frontages and areas, building height, coverage, mass, setbacks, privacy and</w:t>
      </w:r>
      <w:r w:rsidRPr="00DA3C4E">
        <w:rPr>
          <w:spacing w:val="-1"/>
        </w:rPr>
        <w:t xml:space="preserve"> </w:t>
      </w:r>
      <w:proofErr w:type="gramStart"/>
      <w:r w:rsidRPr="00411AA2">
        <w:t>overview;</w:t>
      </w:r>
      <w:proofErr w:type="gramEnd"/>
    </w:p>
    <w:p w14:paraId="428E4810" w14:textId="77777777" w:rsidR="00DA3C4E" w:rsidRDefault="00411AA2" w:rsidP="00AE600B">
      <w:pPr>
        <w:pStyle w:val="ListParagraph"/>
        <w:numPr>
          <w:ilvl w:val="0"/>
          <w:numId w:val="5"/>
        </w:numPr>
      </w:pPr>
      <w:r w:rsidRPr="00411AA2">
        <w:t>the lots are fully serviced;</w:t>
      </w:r>
      <w:r w:rsidRPr="00DA3C4E">
        <w:rPr>
          <w:spacing w:val="-1"/>
        </w:rPr>
        <w:t xml:space="preserve"> </w:t>
      </w:r>
      <w:r w:rsidRPr="00411AA2">
        <w:t>and,</w:t>
      </w:r>
    </w:p>
    <w:p w14:paraId="0F7D387D" w14:textId="567ADD72" w:rsidR="00411AA2" w:rsidRPr="00411AA2" w:rsidRDefault="00411AA2" w:rsidP="00AE600B">
      <w:pPr>
        <w:pStyle w:val="ListParagraph"/>
        <w:numPr>
          <w:ilvl w:val="0"/>
          <w:numId w:val="5"/>
        </w:numPr>
      </w:pPr>
      <w:r w:rsidRPr="00411AA2">
        <w:t>the lots have frontage on a public</w:t>
      </w:r>
      <w:r w:rsidRPr="00DA3C4E">
        <w:rPr>
          <w:spacing w:val="-1"/>
        </w:rPr>
        <w:t xml:space="preserve"> </w:t>
      </w:r>
      <w:r w:rsidRPr="00411AA2">
        <w:t>road.</w:t>
      </w:r>
    </w:p>
    <w:p w14:paraId="04519BBC" w14:textId="4288DAB3" w:rsidR="00411AA2" w:rsidRPr="002C0E1B" w:rsidRDefault="00411AA2" w:rsidP="00AE600B">
      <w:pPr>
        <w:pStyle w:val="ListParagraph"/>
        <w:rPr>
          <w:bCs/>
        </w:rPr>
      </w:pPr>
      <w:r w:rsidRPr="00411AA2">
        <w:t xml:space="preserve">Accordingly, Ms. </w:t>
      </w:r>
      <w:proofErr w:type="spellStart"/>
      <w:r w:rsidRPr="00411AA2">
        <w:t>Frieday</w:t>
      </w:r>
      <w:proofErr w:type="spellEnd"/>
      <w:r w:rsidRPr="00411AA2">
        <w:t xml:space="preserve"> opined the subject Consent Applications meet all six conditions provided the associated minor variance application is also approved.  </w:t>
      </w:r>
      <w:r w:rsidRPr="002C0E1B">
        <w:rPr>
          <w:bCs/>
        </w:rPr>
        <w:t xml:space="preserve">City staff did not dispute that the proposed lot creation complies with the UHOP and the intent of the </w:t>
      </w:r>
      <w:proofErr w:type="spellStart"/>
      <w:r w:rsidRPr="002C0E1B">
        <w:rPr>
          <w:bCs/>
        </w:rPr>
        <w:t>Ryckman</w:t>
      </w:r>
      <w:proofErr w:type="spellEnd"/>
      <w:r w:rsidRPr="002C0E1B">
        <w:rPr>
          <w:bCs/>
        </w:rPr>
        <w:t xml:space="preserve"> </w:t>
      </w:r>
      <w:r w:rsidRPr="002C0E1B">
        <w:rPr>
          <w:bCs/>
          <w:lang w:val="en-CA"/>
        </w:rPr>
        <w:t>Neighbourhood</w:t>
      </w:r>
      <w:r w:rsidRPr="002C0E1B">
        <w:rPr>
          <w:bCs/>
          <w:spacing w:val="-6"/>
        </w:rPr>
        <w:t xml:space="preserve"> </w:t>
      </w:r>
      <w:r w:rsidRPr="002C0E1B">
        <w:rPr>
          <w:bCs/>
        </w:rPr>
        <w:t>Plan.</w:t>
      </w:r>
    </w:p>
    <w:p w14:paraId="52A7D336" w14:textId="77777777" w:rsidR="00411AA2" w:rsidRPr="00411AA2" w:rsidRDefault="00411AA2" w:rsidP="00AE600B">
      <w:pPr>
        <w:pStyle w:val="ListParagraph"/>
      </w:pPr>
      <w:r w:rsidRPr="00411AA2">
        <w:t xml:space="preserve">Furthermore, according to Ms. </w:t>
      </w:r>
      <w:proofErr w:type="spellStart"/>
      <w:r w:rsidRPr="00411AA2">
        <w:t>Frieday</w:t>
      </w:r>
      <w:proofErr w:type="spellEnd"/>
      <w:r w:rsidRPr="00411AA2">
        <w:t xml:space="preserve">, City staff are also not disputing the fact that the lots are fully serviced, front on a public road and reflect the scale and character of the established development pattern, considering lot frontages, lot areas, coverage, setbacks, etc. </w:t>
      </w:r>
    </w:p>
    <w:p w14:paraId="7F377306" w14:textId="77777777" w:rsidR="00411AA2" w:rsidRPr="00411AA2" w:rsidRDefault="00411AA2" w:rsidP="00AE600B">
      <w:pPr>
        <w:pStyle w:val="ListParagraph"/>
      </w:pPr>
      <w:r w:rsidRPr="00411AA2">
        <w:t xml:space="preserve">Ms. </w:t>
      </w:r>
      <w:proofErr w:type="spellStart"/>
      <w:r w:rsidRPr="00411AA2">
        <w:t>Frieday</w:t>
      </w:r>
      <w:proofErr w:type="spellEnd"/>
      <w:r w:rsidRPr="00411AA2">
        <w:t xml:space="preserve"> opined the Subject Consent Applications meet the conditions for the creation of new lots within the </w:t>
      </w:r>
      <w:r w:rsidRPr="002C0E1B">
        <w:rPr>
          <w:lang w:val="en-CA"/>
        </w:rPr>
        <w:t>Neighbourhoods D</w:t>
      </w:r>
      <w:proofErr w:type="spellStart"/>
      <w:r w:rsidRPr="00411AA2">
        <w:t>esignation</w:t>
      </w:r>
      <w:proofErr w:type="spellEnd"/>
      <w:r w:rsidRPr="00411AA2">
        <w:t xml:space="preserve"> contained within Section F.1.14.3.1 of the</w:t>
      </w:r>
      <w:r w:rsidRPr="00411AA2">
        <w:rPr>
          <w:spacing w:val="-9"/>
        </w:rPr>
        <w:t xml:space="preserve"> </w:t>
      </w:r>
      <w:r w:rsidRPr="00411AA2">
        <w:t>UHOP.</w:t>
      </w:r>
    </w:p>
    <w:p w14:paraId="6D2020C7" w14:textId="37F880E7" w:rsidR="00411AA2" w:rsidRPr="00411AA2" w:rsidRDefault="00411AA2" w:rsidP="00AE600B">
      <w:pPr>
        <w:pStyle w:val="ListParagraph"/>
      </w:pPr>
      <w:r w:rsidRPr="00411AA2">
        <w:lastRenderedPageBreak/>
        <w:t xml:space="preserve">Ms. </w:t>
      </w:r>
      <w:proofErr w:type="spellStart"/>
      <w:r w:rsidRPr="00411AA2">
        <w:t>Frieday</w:t>
      </w:r>
      <w:proofErr w:type="spellEnd"/>
      <w:r w:rsidRPr="00411AA2">
        <w:t xml:space="preserve"> testified that in</w:t>
      </w:r>
      <w:r w:rsidR="00DA3C4E">
        <w:t xml:space="preserve"> </w:t>
      </w:r>
      <w:r w:rsidRPr="00411AA2">
        <w:t>Section B.2.4.5 of “Communities”, it states: “The City shall establish zoning that permits residential intensification generally throughout the built-up area, in accordance with this</w:t>
      </w:r>
      <w:r w:rsidRPr="00411AA2">
        <w:rPr>
          <w:spacing w:val="-10"/>
        </w:rPr>
        <w:t xml:space="preserve"> </w:t>
      </w:r>
      <w:r w:rsidRPr="00411AA2">
        <w:t>Plan.”  To date, the City has neither established zoning that permits residential intensification on the Subject Lands nor on the other lots fronting Stone Church Road East that continue to be zoned in the 1950s “B” (Suburban Agriculture and Residential, etc.)</w:t>
      </w:r>
      <w:r w:rsidRPr="00411AA2">
        <w:rPr>
          <w:spacing w:val="-10"/>
        </w:rPr>
        <w:t xml:space="preserve"> </w:t>
      </w:r>
      <w:r w:rsidRPr="00411AA2">
        <w:t>District.  Currently</w:t>
      </w:r>
      <w:r w:rsidRPr="00411AA2">
        <w:rPr>
          <w:spacing w:val="-15"/>
        </w:rPr>
        <w:t xml:space="preserve"> </w:t>
      </w:r>
      <w:r w:rsidRPr="00411AA2">
        <w:t>the</w:t>
      </w:r>
      <w:r w:rsidRPr="00411AA2">
        <w:rPr>
          <w:spacing w:val="-14"/>
        </w:rPr>
        <w:t xml:space="preserve"> </w:t>
      </w:r>
      <w:r w:rsidRPr="00411AA2">
        <w:t>Subject</w:t>
      </w:r>
      <w:r w:rsidRPr="00411AA2">
        <w:rPr>
          <w:spacing w:val="-14"/>
        </w:rPr>
        <w:t xml:space="preserve"> </w:t>
      </w:r>
      <w:r w:rsidRPr="00411AA2">
        <w:t>Lands</w:t>
      </w:r>
      <w:r w:rsidRPr="00411AA2">
        <w:rPr>
          <w:spacing w:val="-14"/>
        </w:rPr>
        <w:t xml:space="preserve"> </w:t>
      </w:r>
      <w:r w:rsidRPr="00411AA2">
        <w:t>have</w:t>
      </w:r>
      <w:r w:rsidRPr="00411AA2">
        <w:rPr>
          <w:spacing w:val="-15"/>
        </w:rPr>
        <w:t xml:space="preserve"> </w:t>
      </w:r>
      <w:r w:rsidRPr="00411AA2">
        <w:t>access</w:t>
      </w:r>
      <w:r w:rsidRPr="00411AA2">
        <w:rPr>
          <w:spacing w:val="-14"/>
        </w:rPr>
        <w:t xml:space="preserve"> </w:t>
      </w:r>
      <w:r w:rsidRPr="00411AA2">
        <w:t>to</w:t>
      </w:r>
      <w:r w:rsidRPr="00411AA2">
        <w:rPr>
          <w:spacing w:val="-14"/>
        </w:rPr>
        <w:t xml:space="preserve"> </w:t>
      </w:r>
      <w:r w:rsidRPr="00411AA2">
        <w:t>urban</w:t>
      </w:r>
      <w:r w:rsidRPr="00411AA2">
        <w:rPr>
          <w:spacing w:val="-14"/>
        </w:rPr>
        <w:t xml:space="preserve"> </w:t>
      </w:r>
      <w:r w:rsidRPr="00411AA2">
        <w:t>services</w:t>
      </w:r>
      <w:r w:rsidRPr="00411AA2">
        <w:rPr>
          <w:spacing w:val="-15"/>
        </w:rPr>
        <w:t xml:space="preserve"> </w:t>
      </w:r>
      <w:r w:rsidRPr="00411AA2">
        <w:t>within</w:t>
      </w:r>
      <w:r w:rsidRPr="00411AA2">
        <w:rPr>
          <w:spacing w:val="-14"/>
        </w:rPr>
        <w:t xml:space="preserve"> </w:t>
      </w:r>
      <w:r w:rsidRPr="00411AA2">
        <w:t>a</w:t>
      </w:r>
      <w:r w:rsidRPr="00411AA2">
        <w:rPr>
          <w:spacing w:val="-14"/>
        </w:rPr>
        <w:t xml:space="preserve"> </w:t>
      </w:r>
      <w:r w:rsidRPr="00411AA2">
        <w:t>completed</w:t>
      </w:r>
      <w:r w:rsidRPr="00411AA2">
        <w:rPr>
          <w:spacing w:val="-14"/>
        </w:rPr>
        <w:t xml:space="preserve"> </w:t>
      </w:r>
      <w:r w:rsidRPr="00411AA2">
        <w:t>local</w:t>
      </w:r>
      <w:r w:rsidRPr="00411AA2">
        <w:rPr>
          <w:spacing w:val="-14"/>
        </w:rPr>
        <w:t xml:space="preserve"> </w:t>
      </w:r>
      <w:r w:rsidRPr="00411AA2">
        <w:t>street, however, these existing services are not being efficiently</w:t>
      </w:r>
      <w:r w:rsidRPr="00411AA2">
        <w:rPr>
          <w:spacing w:val="-5"/>
        </w:rPr>
        <w:t xml:space="preserve"> </w:t>
      </w:r>
      <w:r w:rsidRPr="00411AA2">
        <w:t xml:space="preserve">utilized. </w:t>
      </w:r>
    </w:p>
    <w:p w14:paraId="1B629BEC" w14:textId="77777777" w:rsidR="00411AA2" w:rsidRPr="00411AA2" w:rsidRDefault="00411AA2" w:rsidP="00AE600B">
      <w:pPr>
        <w:pStyle w:val="ListParagraph"/>
      </w:pPr>
      <w:r w:rsidRPr="00411AA2">
        <w:t xml:space="preserve">Ms. </w:t>
      </w:r>
      <w:proofErr w:type="spellStart"/>
      <w:r w:rsidRPr="00411AA2">
        <w:t>Frieday</w:t>
      </w:r>
      <w:proofErr w:type="spellEnd"/>
      <w:r w:rsidRPr="00411AA2">
        <w:t xml:space="preserve"> informed the Tribunal that Section B.2.4.1.4 of the UHOP contains the criteria upon which to evaluate residential intensification</w:t>
      </w:r>
      <w:r w:rsidRPr="00411AA2">
        <w:rPr>
          <w:spacing w:val="-1"/>
        </w:rPr>
        <w:t xml:space="preserve"> </w:t>
      </w:r>
      <w:r w:rsidRPr="00411AA2">
        <w:t>developments.</w:t>
      </w:r>
    </w:p>
    <w:p w14:paraId="2DB046D5" w14:textId="173AE563" w:rsidR="00DA3C4E" w:rsidRDefault="00411AA2" w:rsidP="00AE600B">
      <w:pPr>
        <w:pStyle w:val="ListParagraph"/>
      </w:pPr>
      <w:r w:rsidRPr="00411AA2">
        <w:t>The six criteria in Section B.2.4.1.4 of the UHOP</w:t>
      </w:r>
      <w:r w:rsidRPr="00411AA2">
        <w:rPr>
          <w:spacing w:val="-3"/>
        </w:rPr>
        <w:t xml:space="preserve"> </w:t>
      </w:r>
      <w:r w:rsidRPr="00411AA2">
        <w:t>are:</w:t>
      </w:r>
    </w:p>
    <w:p w14:paraId="1DB68F3E" w14:textId="21C4D32A" w:rsidR="00290807" w:rsidRDefault="00DA3C4E" w:rsidP="00AE600B">
      <w:pPr>
        <w:pStyle w:val="ListParagraph"/>
        <w:numPr>
          <w:ilvl w:val="0"/>
          <w:numId w:val="6"/>
        </w:numPr>
      </w:pPr>
      <w:r w:rsidRPr="00411AA2">
        <w:t xml:space="preserve">the relationship of the proposal to existing </w:t>
      </w:r>
      <w:r w:rsidRPr="002C0E1B">
        <w:rPr>
          <w:lang w:val="en-CA"/>
        </w:rPr>
        <w:t xml:space="preserve">neighbourhood </w:t>
      </w:r>
      <w:r w:rsidRPr="00411AA2">
        <w:t>character so that it maintains, and where possible, enhances and builds upon desirable established patterns and built</w:t>
      </w:r>
      <w:r w:rsidR="00B769AE">
        <w:t>-</w:t>
      </w:r>
      <w:proofErr w:type="gramStart"/>
      <w:r w:rsidRPr="00411AA2">
        <w:t>form;</w:t>
      </w:r>
      <w:proofErr w:type="gramEnd"/>
    </w:p>
    <w:p w14:paraId="584AF6DF" w14:textId="77777777" w:rsidR="00290807" w:rsidRDefault="00DA3C4E" w:rsidP="00AE600B">
      <w:pPr>
        <w:pStyle w:val="ListParagraph"/>
        <w:numPr>
          <w:ilvl w:val="0"/>
          <w:numId w:val="6"/>
        </w:numPr>
      </w:pPr>
      <w:r w:rsidRPr="00411AA2">
        <w:t>the development’s contribution to maintaining and achieving a range of dwelling types and</w:t>
      </w:r>
      <w:r w:rsidRPr="00290807">
        <w:rPr>
          <w:spacing w:val="-1"/>
        </w:rPr>
        <w:t xml:space="preserve"> </w:t>
      </w:r>
      <w:proofErr w:type="gramStart"/>
      <w:r w:rsidRPr="00411AA2">
        <w:t>tenures;</w:t>
      </w:r>
      <w:proofErr w:type="gramEnd"/>
    </w:p>
    <w:p w14:paraId="7F9B3CD4" w14:textId="77777777" w:rsidR="00290807" w:rsidRDefault="00DA3C4E" w:rsidP="00AE600B">
      <w:pPr>
        <w:pStyle w:val="ListParagraph"/>
        <w:numPr>
          <w:ilvl w:val="0"/>
          <w:numId w:val="6"/>
        </w:numPr>
      </w:pPr>
      <w:r w:rsidRPr="00411AA2">
        <w:t>the compatible integration of the development with the surrounding area in terms of use, scale, form and character. In this regard, the City encourages the use of innovative and creative urban design</w:t>
      </w:r>
      <w:r w:rsidRPr="00290807">
        <w:rPr>
          <w:spacing w:val="-3"/>
        </w:rPr>
        <w:t xml:space="preserve"> </w:t>
      </w:r>
      <w:proofErr w:type="gramStart"/>
      <w:r w:rsidRPr="00411AA2">
        <w:t>techniques;</w:t>
      </w:r>
      <w:proofErr w:type="gramEnd"/>
    </w:p>
    <w:p w14:paraId="051E5FDB" w14:textId="77777777" w:rsidR="00290807" w:rsidRDefault="00DA3C4E" w:rsidP="00AE600B">
      <w:pPr>
        <w:pStyle w:val="ListParagraph"/>
        <w:numPr>
          <w:ilvl w:val="0"/>
          <w:numId w:val="6"/>
        </w:numPr>
      </w:pPr>
      <w:r>
        <w:t>th</w:t>
      </w:r>
      <w:r w:rsidRPr="00411AA2">
        <w:t>e development’s contribution to achieving the planned urban structure as described in Section E.2.0 – Urban</w:t>
      </w:r>
      <w:r w:rsidRPr="00290807">
        <w:rPr>
          <w:spacing w:val="-2"/>
        </w:rPr>
        <w:t xml:space="preserve"> </w:t>
      </w:r>
      <w:proofErr w:type="gramStart"/>
      <w:r w:rsidRPr="00411AA2">
        <w:t>Structure;</w:t>
      </w:r>
      <w:proofErr w:type="gramEnd"/>
    </w:p>
    <w:p w14:paraId="69802FEB" w14:textId="77777777" w:rsidR="00290807" w:rsidRDefault="00DA3C4E" w:rsidP="00AE600B">
      <w:pPr>
        <w:pStyle w:val="ListParagraph"/>
        <w:numPr>
          <w:ilvl w:val="0"/>
          <w:numId w:val="6"/>
        </w:numPr>
      </w:pPr>
      <w:r w:rsidRPr="00411AA2">
        <w:t>infrastructure and transportation capacity;</w:t>
      </w:r>
      <w:r w:rsidRPr="00290807">
        <w:rPr>
          <w:spacing w:val="-1"/>
        </w:rPr>
        <w:t xml:space="preserve"> </w:t>
      </w:r>
      <w:r w:rsidRPr="00411AA2">
        <w:t>and,</w:t>
      </w:r>
    </w:p>
    <w:p w14:paraId="272EFCB4" w14:textId="6095AFA5" w:rsidR="00DA3C4E" w:rsidRPr="00411AA2" w:rsidRDefault="00DA3C4E" w:rsidP="00AE600B">
      <w:pPr>
        <w:pStyle w:val="ListParagraph"/>
        <w:numPr>
          <w:ilvl w:val="0"/>
          <w:numId w:val="6"/>
        </w:numPr>
      </w:pPr>
      <w:r w:rsidRPr="00411AA2">
        <w:t>the ability of the development to comply with all applicable</w:t>
      </w:r>
      <w:r w:rsidRPr="00290807">
        <w:rPr>
          <w:spacing w:val="-4"/>
        </w:rPr>
        <w:t xml:space="preserve"> </w:t>
      </w:r>
      <w:r w:rsidRPr="00411AA2">
        <w:t>policies.</w:t>
      </w:r>
    </w:p>
    <w:p w14:paraId="756EB8BE" w14:textId="77777777" w:rsidR="00290807" w:rsidRDefault="00411AA2" w:rsidP="00AE600B">
      <w:pPr>
        <w:pStyle w:val="ListParagraph"/>
      </w:pPr>
      <w:r w:rsidRPr="00411AA2">
        <w:lastRenderedPageBreak/>
        <w:t xml:space="preserve">Regarding Section B.2.4.1.4 b), the configuration of the proposed new lots has been designed to match the existing lots immediately to the west as well as lots along the southern side of Cielo Court. The new lots replace a portion of the rear </w:t>
      </w:r>
      <w:proofErr w:type="spellStart"/>
      <w:r w:rsidRPr="00411AA2">
        <w:t>lotting</w:t>
      </w:r>
      <w:proofErr w:type="spellEnd"/>
      <w:r w:rsidRPr="00411AA2">
        <w:t xml:space="preserve"> along the northern side of Cielo Court with a front-yard to front-yard interface. The proposed new dwellings will enhance the residential character of Cielo Court with a compatible development of similar height, mass, scale, and density to that of the existing</w:t>
      </w:r>
      <w:r w:rsidRPr="00DA3C4E">
        <w:rPr>
          <w:spacing w:val="-16"/>
        </w:rPr>
        <w:t xml:space="preserve"> </w:t>
      </w:r>
      <w:proofErr w:type="gramStart"/>
      <w:r w:rsidRPr="00411AA2">
        <w:t>built-form</w:t>
      </w:r>
      <w:proofErr w:type="gramEnd"/>
      <w:r w:rsidRPr="00411AA2">
        <w:t>.</w:t>
      </w:r>
    </w:p>
    <w:p w14:paraId="413672E5" w14:textId="497ED112" w:rsidR="00290807" w:rsidRPr="00290807" w:rsidRDefault="00411AA2" w:rsidP="00AE600B">
      <w:pPr>
        <w:pStyle w:val="ListParagraph"/>
      </w:pPr>
      <w:r w:rsidRPr="00411AA2">
        <w:t xml:space="preserve">Regarding Section B.2.4.1.4 c) and d) </w:t>
      </w:r>
      <w:r w:rsidR="00D66D13">
        <w:t xml:space="preserve">with </w:t>
      </w:r>
      <w:r w:rsidRPr="00411AA2">
        <w:t>regard</w:t>
      </w:r>
      <w:r w:rsidR="00D66D13">
        <w:t xml:space="preserve"> to</w:t>
      </w:r>
      <w:r w:rsidRPr="00411AA2">
        <w:t xml:space="preserve"> maintaining and achieving a range of dwelling types and compatible integration of the new dwellings</w:t>
      </w:r>
      <w:r w:rsidRPr="00290807">
        <w:t xml:space="preserve">, </w:t>
      </w:r>
      <w:r w:rsidRPr="002C0E1B">
        <w:t xml:space="preserve">the proposed consents and associated minor variances will permit development that mirrors the existing </w:t>
      </w:r>
      <w:proofErr w:type="spellStart"/>
      <w:r w:rsidRPr="002C0E1B">
        <w:t>lotting</w:t>
      </w:r>
      <w:proofErr w:type="spellEnd"/>
      <w:r w:rsidRPr="002C0E1B">
        <w:t xml:space="preserve"> pattern along the south side of Cielo Court and directly to the west of the Subject</w:t>
      </w:r>
      <w:r w:rsidRPr="002C0E1B">
        <w:rPr>
          <w:spacing w:val="-20"/>
        </w:rPr>
        <w:t xml:space="preserve"> </w:t>
      </w:r>
      <w:r w:rsidRPr="002C0E1B">
        <w:t>Lands.</w:t>
      </w:r>
    </w:p>
    <w:p w14:paraId="37C723D0" w14:textId="0B453A44" w:rsidR="00290807" w:rsidRPr="002C0E1B" w:rsidRDefault="00411AA2" w:rsidP="00AE600B">
      <w:pPr>
        <w:pStyle w:val="ListParagraph"/>
        <w:rPr>
          <w:lang w:val="en-CA"/>
        </w:rPr>
      </w:pPr>
      <w:r w:rsidRPr="00411AA2">
        <w:t>Regarding Section B.2.4.1.4 e), being the Subject Applications</w:t>
      </w:r>
      <w:r w:rsidR="00AF60EF">
        <w:t>’</w:t>
      </w:r>
      <w:r w:rsidRPr="00411AA2">
        <w:t xml:space="preserve"> contribution to the </w:t>
      </w:r>
      <w:r w:rsidRPr="002C0E1B">
        <w:rPr>
          <w:lang w:val="en-CA"/>
        </w:rPr>
        <w:t xml:space="preserve">achieving </w:t>
      </w:r>
      <w:r w:rsidR="00AF60EF" w:rsidRPr="002C0E1B">
        <w:rPr>
          <w:lang w:val="en-CA"/>
        </w:rPr>
        <w:t xml:space="preserve">of </w:t>
      </w:r>
      <w:r w:rsidRPr="002C0E1B">
        <w:rPr>
          <w:lang w:val="en-CA"/>
        </w:rPr>
        <w:t>the planned urban structure, residential intensification within the Neighbourhoods designation is identified as part of the evolution of a neighbourhood as long as the intensification is compatible with and respects the surrounding built form and character.</w:t>
      </w:r>
    </w:p>
    <w:p w14:paraId="7A3E4B1E" w14:textId="005A4795" w:rsidR="00324C2A" w:rsidRDefault="00411AA2" w:rsidP="00AE600B">
      <w:pPr>
        <w:pStyle w:val="ListParagraph"/>
      </w:pPr>
      <w:r w:rsidRPr="002C0E1B">
        <w:rPr>
          <w:lang w:val="en-CA"/>
        </w:rPr>
        <w:t>Regarding</w:t>
      </w:r>
      <w:r w:rsidRPr="002C0E1B">
        <w:rPr>
          <w:spacing w:val="-12"/>
          <w:lang w:val="en-CA"/>
        </w:rPr>
        <w:t xml:space="preserve"> </w:t>
      </w:r>
      <w:r w:rsidRPr="002C0E1B">
        <w:rPr>
          <w:lang w:val="en-CA"/>
        </w:rPr>
        <w:t>Section</w:t>
      </w:r>
      <w:r w:rsidRPr="002C0E1B">
        <w:rPr>
          <w:spacing w:val="-11"/>
          <w:lang w:val="en-CA"/>
        </w:rPr>
        <w:t xml:space="preserve"> </w:t>
      </w:r>
      <w:r w:rsidRPr="002C0E1B">
        <w:rPr>
          <w:lang w:val="en-CA"/>
        </w:rPr>
        <w:t>B.2.4.1.4</w:t>
      </w:r>
      <w:r w:rsidRPr="002C0E1B">
        <w:rPr>
          <w:spacing w:val="-12"/>
          <w:lang w:val="en-CA"/>
        </w:rPr>
        <w:t xml:space="preserve"> </w:t>
      </w:r>
      <w:r w:rsidRPr="002C0E1B">
        <w:rPr>
          <w:lang w:val="en-CA"/>
        </w:rPr>
        <w:t>f)</w:t>
      </w:r>
      <w:r w:rsidRPr="002C0E1B">
        <w:rPr>
          <w:spacing w:val="-11"/>
          <w:lang w:val="en-CA"/>
        </w:rPr>
        <w:t xml:space="preserve"> </w:t>
      </w:r>
      <w:r w:rsidRPr="002C0E1B">
        <w:rPr>
          <w:lang w:val="en-CA"/>
        </w:rPr>
        <w:t>and</w:t>
      </w:r>
      <w:r w:rsidRPr="002C0E1B">
        <w:rPr>
          <w:spacing w:val="-12"/>
          <w:lang w:val="en-CA"/>
        </w:rPr>
        <w:t xml:space="preserve"> </w:t>
      </w:r>
      <w:r w:rsidRPr="002C0E1B">
        <w:rPr>
          <w:lang w:val="en-CA"/>
        </w:rPr>
        <w:t>g),</w:t>
      </w:r>
      <w:r w:rsidRPr="002C0E1B">
        <w:rPr>
          <w:spacing w:val="-10"/>
          <w:lang w:val="en-CA"/>
        </w:rPr>
        <w:t xml:space="preserve"> </w:t>
      </w:r>
      <w:proofErr w:type="gramStart"/>
      <w:r w:rsidR="004D1712" w:rsidRPr="002C0E1B">
        <w:rPr>
          <w:spacing w:val="-10"/>
          <w:lang w:val="en-CA"/>
        </w:rPr>
        <w:t xml:space="preserve">with </w:t>
      </w:r>
      <w:r w:rsidRPr="002C0E1B">
        <w:rPr>
          <w:lang w:val="en-CA"/>
        </w:rPr>
        <w:t>regard</w:t>
      </w:r>
      <w:r w:rsidR="004D1712" w:rsidRPr="002C0E1B">
        <w:rPr>
          <w:lang w:val="en-CA"/>
        </w:rPr>
        <w:t xml:space="preserve"> to</w:t>
      </w:r>
      <w:proofErr w:type="gramEnd"/>
      <w:r w:rsidRPr="002C0E1B">
        <w:rPr>
          <w:spacing w:val="-12"/>
          <w:lang w:val="en-CA"/>
        </w:rPr>
        <w:t xml:space="preserve"> </w:t>
      </w:r>
      <w:r w:rsidRPr="002C0E1B">
        <w:rPr>
          <w:lang w:val="en-CA"/>
        </w:rPr>
        <w:t>infrastructure</w:t>
      </w:r>
      <w:r w:rsidRPr="002C0E1B">
        <w:rPr>
          <w:spacing w:val="-11"/>
          <w:lang w:val="en-CA"/>
        </w:rPr>
        <w:t xml:space="preserve"> </w:t>
      </w:r>
      <w:r w:rsidRPr="002C0E1B">
        <w:rPr>
          <w:lang w:val="en-CA"/>
        </w:rPr>
        <w:t>and</w:t>
      </w:r>
      <w:r w:rsidRPr="002C0E1B">
        <w:rPr>
          <w:spacing w:val="-12"/>
          <w:lang w:val="en-CA"/>
        </w:rPr>
        <w:t xml:space="preserve"> </w:t>
      </w:r>
      <w:r w:rsidRPr="002C0E1B">
        <w:rPr>
          <w:lang w:val="en-CA"/>
        </w:rPr>
        <w:t>transportation</w:t>
      </w:r>
      <w:r w:rsidRPr="002C0E1B">
        <w:rPr>
          <w:spacing w:val="-11"/>
          <w:lang w:val="en-CA"/>
        </w:rPr>
        <w:t xml:space="preserve"> </w:t>
      </w:r>
      <w:r w:rsidRPr="002C0E1B">
        <w:rPr>
          <w:lang w:val="en-CA"/>
        </w:rPr>
        <w:t>capacity and</w:t>
      </w:r>
      <w:r w:rsidRPr="002C0E1B">
        <w:rPr>
          <w:spacing w:val="-7"/>
          <w:lang w:val="en-CA"/>
        </w:rPr>
        <w:t xml:space="preserve"> </w:t>
      </w:r>
      <w:r w:rsidRPr="002C0E1B">
        <w:rPr>
          <w:lang w:val="en-CA"/>
        </w:rPr>
        <w:t>compliance</w:t>
      </w:r>
      <w:r w:rsidRPr="002C0E1B">
        <w:rPr>
          <w:spacing w:val="-7"/>
          <w:lang w:val="en-CA"/>
        </w:rPr>
        <w:t xml:space="preserve"> </w:t>
      </w:r>
      <w:r w:rsidRPr="002C0E1B">
        <w:rPr>
          <w:lang w:val="en-CA"/>
        </w:rPr>
        <w:t>with</w:t>
      </w:r>
      <w:r w:rsidRPr="002C0E1B">
        <w:rPr>
          <w:spacing w:val="-7"/>
          <w:lang w:val="en-CA"/>
        </w:rPr>
        <w:t xml:space="preserve"> </w:t>
      </w:r>
      <w:r w:rsidRPr="002C0E1B">
        <w:rPr>
          <w:lang w:val="en-CA"/>
        </w:rPr>
        <w:t>all</w:t>
      </w:r>
      <w:r w:rsidRPr="002C0E1B">
        <w:rPr>
          <w:spacing w:val="-7"/>
          <w:lang w:val="en-CA"/>
        </w:rPr>
        <w:t xml:space="preserve"> </w:t>
      </w:r>
      <w:r w:rsidRPr="002C0E1B">
        <w:rPr>
          <w:lang w:val="en-CA"/>
        </w:rPr>
        <w:t>applicable</w:t>
      </w:r>
      <w:r w:rsidRPr="002C0E1B">
        <w:rPr>
          <w:spacing w:val="-7"/>
          <w:lang w:val="en-CA"/>
        </w:rPr>
        <w:t xml:space="preserve"> </w:t>
      </w:r>
      <w:r w:rsidRPr="002C0E1B">
        <w:rPr>
          <w:lang w:val="en-CA"/>
        </w:rPr>
        <w:t>polices,</w:t>
      </w:r>
      <w:r w:rsidRPr="002C0E1B">
        <w:rPr>
          <w:spacing w:val="-7"/>
          <w:lang w:val="en-CA"/>
        </w:rPr>
        <w:t xml:space="preserve"> </w:t>
      </w:r>
      <w:r w:rsidRPr="002C0E1B">
        <w:rPr>
          <w:lang w:val="en-CA"/>
        </w:rPr>
        <w:t>Cielo</w:t>
      </w:r>
      <w:r w:rsidRPr="002C0E1B">
        <w:rPr>
          <w:spacing w:val="-8"/>
          <w:lang w:val="en-CA"/>
        </w:rPr>
        <w:t xml:space="preserve"> </w:t>
      </w:r>
      <w:r w:rsidRPr="002C0E1B">
        <w:rPr>
          <w:lang w:val="en-CA"/>
        </w:rPr>
        <w:t>Court</w:t>
      </w:r>
      <w:r w:rsidRPr="002C0E1B">
        <w:rPr>
          <w:spacing w:val="-7"/>
          <w:lang w:val="en-CA"/>
        </w:rPr>
        <w:t xml:space="preserve"> </w:t>
      </w:r>
      <w:r w:rsidRPr="002C0E1B">
        <w:rPr>
          <w:lang w:val="en-CA"/>
        </w:rPr>
        <w:t>is</w:t>
      </w:r>
      <w:r w:rsidRPr="002C0E1B">
        <w:rPr>
          <w:spacing w:val="-7"/>
          <w:lang w:val="en-CA"/>
        </w:rPr>
        <w:t xml:space="preserve"> </w:t>
      </w:r>
      <w:r w:rsidRPr="002C0E1B">
        <w:rPr>
          <w:lang w:val="en-CA"/>
        </w:rPr>
        <w:t>currently</w:t>
      </w:r>
      <w:r w:rsidRPr="002C0E1B">
        <w:rPr>
          <w:spacing w:val="-7"/>
          <w:lang w:val="en-CA"/>
        </w:rPr>
        <w:t xml:space="preserve"> </w:t>
      </w:r>
      <w:r w:rsidRPr="002C0E1B">
        <w:rPr>
          <w:lang w:val="en-CA"/>
        </w:rPr>
        <w:t>an</w:t>
      </w:r>
      <w:r w:rsidRPr="002C0E1B">
        <w:rPr>
          <w:spacing w:val="-7"/>
          <w:lang w:val="en-CA"/>
        </w:rPr>
        <w:t xml:space="preserve"> </w:t>
      </w:r>
      <w:r w:rsidRPr="002C0E1B">
        <w:rPr>
          <w:lang w:val="en-CA"/>
        </w:rPr>
        <w:t>underutilized</w:t>
      </w:r>
      <w:r w:rsidRPr="002C0E1B">
        <w:rPr>
          <w:spacing w:val="-7"/>
          <w:lang w:val="en-CA"/>
        </w:rPr>
        <w:t xml:space="preserve"> </w:t>
      </w:r>
      <w:r w:rsidRPr="002C0E1B">
        <w:rPr>
          <w:lang w:val="en-CA"/>
        </w:rPr>
        <w:t>street. As</w:t>
      </w:r>
      <w:r w:rsidRPr="002C0E1B">
        <w:rPr>
          <w:spacing w:val="-11"/>
          <w:lang w:val="en-CA"/>
        </w:rPr>
        <w:t xml:space="preserve"> </w:t>
      </w:r>
      <w:r w:rsidRPr="002C0E1B">
        <w:rPr>
          <w:lang w:val="en-CA"/>
        </w:rPr>
        <w:t>a</w:t>
      </w:r>
      <w:r w:rsidRPr="002C0E1B">
        <w:rPr>
          <w:spacing w:val="-11"/>
          <w:lang w:val="en-CA"/>
        </w:rPr>
        <w:t xml:space="preserve"> </w:t>
      </w:r>
      <w:r w:rsidRPr="002C0E1B">
        <w:rPr>
          <w:lang w:val="en-CA"/>
        </w:rPr>
        <w:t>cul-de-sac,</w:t>
      </w:r>
      <w:r w:rsidRPr="002C0E1B">
        <w:rPr>
          <w:spacing w:val="-11"/>
          <w:lang w:val="en-CA"/>
        </w:rPr>
        <w:t xml:space="preserve"> </w:t>
      </w:r>
      <w:r w:rsidRPr="002C0E1B">
        <w:rPr>
          <w:lang w:val="en-CA"/>
        </w:rPr>
        <w:t>Cielo</w:t>
      </w:r>
      <w:r w:rsidRPr="002C0E1B">
        <w:rPr>
          <w:spacing w:val="-11"/>
          <w:lang w:val="en-CA"/>
        </w:rPr>
        <w:t xml:space="preserve"> </w:t>
      </w:r>
      <w:r w:rsidR="00290807" w:rsidRPr="002C0E1B">
        <w:rPr>
          <w:lang w:val="en-CA"/>
        </w:rPr>
        <w:t>C</w:t>
      </w:r>
      <w:r w:rsidRPr="002C0E1B">
        <w:rPr>
          <w:lang w:val="en-CA"/>
        </w:rPr>
        <w:t>ourt</w:t>
      </w:r>
      <w:r w:rsidRPr="002C0E1B">
        <w:rPr>
          <w:spacing w:val="-11"/>
          <w:lang w:val="en-CA"/>
        </w:rPr>
        <w:t xml:space="preserve"> </w:t>
      </w:r>
      <w:r w:rsidRPr="002C0E1B">
        <w:rPr>
          <w:lang w:val="en-CA"/>
        </w:rPr>
        <w:t>does</w:t>
      </w:r>
      <w:r w:rsidRPr="002C0E1B">
        <w:rPr>
          <w:spacing w:val="-11"/>
          <w:lang w:val="en-CA"/>
        </w:rPr>
        <w:t xml:space="preserve"> </w:t>
      </w:r>
      <w:r w:rsidRPr="002C0E1B">
        <w:rPr>
          <w:lang w:val="en-CA"/>
        </w:rPr>
        <w:t>not</w:t>
      </w:r>
      <w:r w:rsidRPr="002C0E1B">
        <w:rPr>
          <w:spacing w:val="-11"/>
          <w:lang w:val="en-CA"/>
        </w:rPr>
        <w:t xml:space="preserve"> </w:t>
      </w:r>
      <w:r w:rsidRPr="002C0E1B">
        <w:rPr>
          <w:lang w:val="en-CA"/>
        </w:rPr>
        <w:t>carry</w:t>
      </w:r>
      <w:r w:rsidRPr="00290807">
        <w:rPr>
          <w:spacing w:val="-10"/>
        </w:rPr>
        <w:t xml:space="preserve"> </w:t>
      </w:r>
      <w:r w:rsidRPr="00411AA2">
        <w:t>through</w:t>
      </w:r>
      <w:r w:rsidRPr="00290807">
        <w:rPr>
          <w:spacing w:val="-11"/>
        </w:rPr>
        <w:t xml:space="preserve"> </w:t>
      </w:r>
      <w:r w:rsidRPr="00411AA2">
        <w:t>traffic.</w:t>
      </w:r>
      <w:r w:rsidRPr="00290807">
        <w:rPr>
          <w:spacing w:val="-12"/>
        </w:rPr>
        <w:t xml:space="preserve"> </w:t>
      </w:r>
      <w:r w:rsidRPr="00411AA2">
        <w:t>Furthermore,</w:t>
      </w:r>
      <w:r w:rsidRPr="00290807">
        <w:rPr>
          <w:spacing w:val="-10"/>
        </w:rPr>
        <w:t xml:space="preserve"> </w:t>
      </w:r>
      <w:r w:rsidRPr="00411AA2">
        <w:t>dwellings</w:t>
      </w:r>
      <w:r w:rsidRPr="00290807">
        <w:rPr>
          <w:spacing w:val="-11"/>
        </w:rPr>
        <w:t xml:space="preserve"> </w:t>
      </w:r>
      <w:r w:rsidRPr="00411AA2">
        <w:t>are</w:t>
      </w:r>
      <w:r w:rsidRPr="00290807">
        <w:rPr>
          <w:spacing w:val="-13"/>
        </w:rPr>
        <w:t xml:space="preserve"> </w:t>
      </w:r>
      <w:r w:rsidRPr="00411AA2">
        <w:t xml:space="preserve">only located on the south side of the road, which is neither an optimal use of the road nor existing water and wastewater services. </w:t>
      </w:r>
    </w:p>
    <w:p w14:paraId="6359D738" w14:textId="4A67EFDD" w:rsidR="00324C2A" w:rsidRDefault="00411AA2" w:rsidP="00AE600B">
      <w:pPr>
        <w:pStyle w:val="ListParagraph"/>
      </w:pPr>
      <w:r w:rsidRPr="00411AA2">
        <w:t xml:space="preserve">Accordingly, Ms. </w:t>
      </w:r>
      <w:proofErr w:type="spellStart"/>
      <w:r w:rsidRPr="00411AA2">
        <w:t>Frieday</w:t>
      </w:r>
      <w:proofErr w:type="spellEnd"/>
      <w:r w:rsidRPr="00411AA2">
        <w:t xml:space="preserve"> opined that the Subject Applications meet the general criteria for residential intensification as per Section B.2.4.1.4 of the</w:t>
      </w:r>
      <w:r w:rsidRPr="00324C2A">
        <w:rPr>
          <w:spacing w:val="-2"/>
        </w:rPr>
        <w:t xml:space="preserve"> </w:t>
      </w:r>
      <w:r w:rsidRPr="00411AA2">
        <w:t>UHOP.</w:t>
      </w:r>
    </w:p>
    <w:p w14:paraId="68740F7E" w14:textId="09D48744" w:rsidR="00E478DB" w:rsidRPr="006A1948" w:rsidRDefault="003F716A" w:rsidP="00AE600B">
      <w:pPr>
        <w:pStyle w:val="ListParagraph"/>
        <w:rPr>
          <w:bCs/>
          <w:iCs/>
          <w:lang w:val="en-CA"/>
        </w:rPr>
      </w:pPr>
      <w:r w:rsidRPr="00AE600B">
        <w:rPr>
          <w:iCs/>
        </w:rPr>
        <w:t xml:space="preserve">Ms. Rogers, </w:t>
      </w:r>
      <w:proofErr w:type="gramStart"/>
      <w:r w:rsidRPr="00AE600B">
        <w:rPr>
          <w:iCs/>
        </w:rPr>
        <w:t>in regards to</w:t>
      </w:r>
      <w:proofErr w:type="gramEnd"/>
      <w:r w:rsidRPr="00AE600B">
        <w:rPr>
          <w:iCs/>
        </w:rPr>
        <w:t xml:space="preserve"> the UHOP</w:t>
      </w:r>
      <w:r w:rsidRPr="00AE600B">
        <w:t xml:space="preserve">, </w:t>
      </w:r>
      <w:r w:rsidR="00E478DB" w:rsidRPr="006A1948">
        <w:t>identified the subject</w:t>
      </w:r>
      <w:r w:rsidR="00E478DB" w:rsidRPr="006A1948">
        <w:rPr>
          <w:spacing w:val="-5"/>
        </w:rPr>
        <w:t xml:space="preserve"> </w:t>
      </w:r>
      <w:r w:rsidR="00E478DB" w:rsidRPr="006A1948">
        <w:t>lands</w:t>
      </w:r>
      <w:r w:rsidR="00E478DB" w:rsidRPr="006A1948">
        <w:rPr>
          <w:spacing w:val="-7"/>
        </w:rPr>
        <w:t xml:space="preserve"> as</w:t>
      </w:r>
      <w:r w:rsidR="00E478DB" w:rsidRPr="006A1948">
        <w:rPr>
          <w:spacing w:val="-5"/>
        </w:rPr>
        <w:t xml:space="preserve"> </w:t>
      </w:r>
      <w:r w:rsidR="00E478DB" w:rsidRPr="006A1948">
        <w:rPr>
          <w:lang w:val="en-CA"/>
        </w:rPr>
        <w:t>“Neighbourhoods”</w:t>
      </w:r>
      <w:r w:rsidR="00E478DB" w:rsidRPr="006A1948">
        <w:rPr>
          <w:spacing w:val="-6"/>
          <w:lang w:val="en-CA"/>
        </w:rPr>
        <w:t xml:space="preserve"> </w:t>
      </w:r>
      <w:r w:rsidR="00E478DB" w:rsidRPr="006A1948">
        <w:rPr>
          <w:lang w:val="en-CA"/>
        </w:rPr>
        <w:t>in</w:t>
      </w:r>
      <w:r w:rsidR="00E478DB" w:rsidRPr="006A1948">
        <w:rPr>
          <w:spacing w:val="-4"/>
          <w:lang w:val="en-CA"/>
        </w:rPr>
        <w:t xml:space="preserve"> </w:t>
      </w:r>
      <w:r w:rsidR="00E478DB" w:rsidRPr="006A1948">
        <w:rPr>
          <w:lang w:val="en-CA"/>
        </w:rPr>
        <w:t>Schedule</w:t>
      </w:r>
      <w:r w:rsidR="00E478DB" w:rsidRPr="006A1948">
        <w:rPr>
          <w:spacing w:val="-5"/>
          <w:lang w:val="en-CA"/>
        </w:rPr>
        <w:t xml:space="preserve"> </w:t>
      </w:r>
      <w:r w:rsidR="00E478DB" w:rsidRPr="006A1948">
        <w:rPr>
          <w:lang w:val="en-CA"/>
        </w:rPr>
        <w:t>“E”</w:t>
      </w:r>
      <w:r w:rsidR="00E478DB" w:rsidRPr="006A1948">
        <w:rPr>
          <w:spacing w:val="1"/>
          <w:lang w:val="en-CA"/>
        </w:rPr>
        <w:t xml:space="preserve"> </w:t>
      </w:r>
      <w:r w:rsidR="00E478DB" w:rsidRPr="006A1948">
        <w:rPr>
          <w:lang w:val="en-CA"/>
        </w:rPr>
        <w:t>–</w:t>
      </w:r>
      <w:r w:rsidR="00E478DB" w:rsidRPr="006A1948">
        <w:rPr>
          <w:spacing w:val="-3"/>
          <w:lang w:val="en-CA"/>
        </w:rPr>
        <w:t xml:space="preserve"> </w:t>
      </w:r>
      <w:r w:rsidR="00E478DB" w:rsidRPr="006A1948">
        <w:rPr>
          <w:lang w:val="en-CA"/>
        </w:rPr>
        <w:t>Urban</w:t>
      </w:r>
      <w:r w:rsidR="00E478DB" w:rsidRPr="006A1948">
        <w:rPr>
          <w:spacing w:val="-5"/>
          <w:lang w:val="en-CA"/>
        </w:rPr>
        <w:t xml:space="preserve"> </w:t>
      </w:r>
      <w:r w:rsidR="00E478DB" w:rsidRPr="006A1948">
        <w:rPr>
          <w:lang w:val="en-CA"/>
        </w:rPr>
        <w:t xml:space="preserve">Structure and designated “Neighbourhoods” in Schedule “E-1” – Urban Land Use Designations </w:t>
      </w:r>
      <w:r w:rsidR="00E478DB" w:rsidRPr="006A1948">
        <w:rPr>
          <w:spacing w:val="-3"/>
          <w:lang w:val="en-CA"/>
        </w:rPr>
        <w:t xml:space="preserve">in </w:t>
      </w:r>
      <w:r w:rsidR="00E478DB" w:rsidRPr="006A1948">
        <w:rPr>
          <w:lang w:val="en-CA"/>
        </w:rPr>
        <w:t xml:space="preserve">the UHOP. </w:t>
      </w:r>
    </w:p>
    <w:p w14:paraId="4FA42E10" w14:textId="77777777" w:rsidR="00E478DB" w:rsidRPr="006A1948" w:rsidRDefault="00E478DB" w:rsidP="00AE600B">
      <w:pPr>
        <w:pStyle w:val="ListParagraph"/>
        <w:rPr>
          <w:bCs/>
          <w:iCs/>
          <w:lang w:val="en-CA"/>
        </w:rPr>
      </w:pPr>
      <w:r w:rsidRPr="006A1948">
        <w:rPr>
          <w:lang w:val="en-CA"/>
        </w:rPr>
        <w:lastRenderedPageBreak/>
        <w:t>Ms. Rogers submitted that the subject lands are not within a Secondary Plan and</w:t>
      </w:r>
      <w:r w:rsidRPr="006A1948">
        <w:rPr>
          <w:spacing w:val="-6"/>
          <w:lang w:val="en-CA"/>
        </w:rPr>
        <w:t xml:space="preserve"> </w:t>
      </w:r>
      <w:r w:rsidRPr="006A1948">
        <w:rPr>
          <w:lang w:val="en-CA"/>
        </w:rPr>
        <w:t>are</w:t>
      </w:r>
      <w:r w:rsidRPr="006A1948">
        <w:rPr>
          <w:spacing w:val="-7"/>
          <w:lang w:val="en-CA"/>
        </w:rPr>
        <w:t xml:space="preserve"> </w:t>
      </w:r>
      <w:r w:rsidRPr="006A1948">
        <w:rPr>
          <w:lang w:val="en-CA"/>
        </w:rPr>
        <w:t>not</w:t>
      </w:r>
      <w:r w:rsidRPr="006A1948">
        <w:rPr>
          <w:spacing w:val="-5"/>
          <w:lang w:val="en-CA"/>
        </w:rPr>
        <w:t xml:space="preserve"> </w:t>
      </w:r>
      <w:r w:rsidRPr="006A1948">
        <w:rPr>
          <w:lang w:val="en-CA"/>
        </w:rPr>
        <w:t>subject</w:t>
      </w:r>
      <w:r w:rsidRPr="006A1948">
        <w:rPr>
          <w:spacing w:val="-8"/>
          <w:lang w:val="en-CA"/>
        </w:rPr>
        <w:t xml:space="preserve"> </w:t>
      </w:r>
      <w:r w:rsidRPr="006A1948">
        <w:rPr>
          <w:lang w:val="en-CA"/>
        </w:rPr>
        <w:t>to</w:t>
      </w:r>
      <w:r w:rsidRPr="006A1948">
        <w:rPr>
          <w:spacing w:val="-7"/>
          <w:lang w:val="en-CA"/>
        </w:rPr>
        <w:t xml:space="preserve"> </w:t>
      </w:r>
      <w:r w:rsidRPr="006A1948">
        <w:rPr>
          <w:lang w:val="en-CA"/>
        </w:rPr>
        <w:t>any</w:t>
      </w:r>
      <w:r w:rsidRPr="006A1948">
        <w:rPr>
          <w:spacing w:val="-8"/>
          <w:lang w:val="en-CA"/>
        </w:rPr>
        <w:t xml:space="preserve"> </w:t>
      </w:r>
      <w:r w:rsidRPr="006A1948">
        <w:rPr>
          <w:lang w:val="en-CA"/>
        </w:rPr>
        <w:t>Urban</w:t>
      </w:r>
      <w:r w:rsidRPr="006A1948">
        <w:rPr>
          <w:spacing w:val="-6"/>
          <w:lang w:val="en-CA"/>
        </w:rPr>
        <w:t xml:space="preserve"> </w:t>
      </w:r>
      <w:r w:rsidRPr="006A1948">
        <w:rPr>
          <w:lang w:val="en-CA"/>
        </w:rPr>
        <w:t>Area</w:t>
      </w:r>
      <w:r w:rsidRPr="006A1948">
        <w:rPr>
          <w:spacing w:val="-5"/>
          <w:lang w:val="en-CA"/>
        </w:rPr>
        <w:t xml:space="preserve"> </w:t>
      </w:r>
      <w:r w:rsidRPr="006A1948">
        <w:rPr>
          <w:lang w:val="en-CA"/>
        </w:rPr>
        <w:t>Specific</w:t>
      </w:r>
      <w:r w:rsidRPr="006A1948">
        <w:rPr>
          <w:spacing w:val="-10"/>
          <w:lang w:val="en-CA"/>
        </w:rPr>
        <w:t xml:space="preserve"> </w:t>
      </w:r>
      <w:r w:rsidRPr="006A1948">
        <w:rPr>
          <w:lang w:val="en-CA"/>
        </w:rPr>
        <w:t>Policies</w:t>
      </w:r>
      <w:r w:rsidRPr="006A1948">
        <w:rPr>
          <w:spacing w:val="-5"/>
          <w:lang w:val="en-CA"/>
        </w:rPr>
        <w:t xml:space="preserve"> </w:t>
      </w:r>
      <w:r w:rsidRPr="006A1948">
        <w:rPr>
          <w:lang w:val="en-CA"/>
        </w:rPr>
        <w:t>or</w:t>
      </w:r>
      <w:r w:rsidRPr="006A1948">
        <w:rPr>
          <w:spacing w:val="-7"/>
          <w:lang w:val="en-CA"/>
        </w:rPr>
        <w:t xml:space="preserve"> </w:t>
      </w:r>
      <w:r w:rsidRPr="006A1948">
        <w:rPr>
          <w:lang w:val="en-CA"/>
        </w:rPr>
        <w:t>Urban</w:t>
      </w:r>
      <w:r w:rsidRPr="006A1948">
        <w:rPr>
          <w:spacing w:val="-7"/>
          <w:lang w:val="en-CA"/>
        </w:rPr>
        <w:t xml:space="preserve"> </w:t>
      </w:r>
      <w:proofErr w:type="gramStart"/>
      <w:r w:rsidRPr="006A1948">
        <w:rPr>
          <w:lang w:val="en-CA"/>
        </w:rPr>
        <w:t>Site Specific</w:t>
      </w:r>
      <w:proofErr w:type="gramEnd"/>
      <w:r w:rsidRPr="006A1948">
        <w:rPr>
          <w:lang w:val="en-CA"/>
        </w:rPr>
        <w:t xml:space="preserve"> Policies. </w:t>
      </w:r>
    </w:p>
    <w:p w14:paraId="7B5DEDFE" w14:textId="6EB4F88A" w:rsidR="00946DC3" w:rsidRPr="00AE600B" w:rsidRDefault="00E478DB" w:rsidP="00AE600B">
      <w:pPr>
        <w:pStyle w:val="ListParagraph"/>
        <w:rPr>
          <w:lang w:val="en-CA"/>
        </w:rPr>
      </w:pPr>
      <w:r w:rsidRPr="006A1948">
        <w:rPr>
          <w:lang w:val="en-CA"/>
        </w:rPr>
        <w:t xml:space="preserve">Ms. Rogers evaluated the proposed consents against policies </w:t>
      </w:r>
      <w:r w:rsidR="0078665C" w:rsidRPr="00AE600B">
        <w:rPr>
          <w:lang w:val="en-CA"/>
        </w:rPr>
        <w:t xml:space="preserve">and specific subheadings </w:t>
      </w:r>
      <w:r w:rsidRPr="006A1948">
        <w:rPr>
          <w:lang w:val="en-CA"/>
        </w:rPr>
        <w:t>within the UHOP as follows</w:t>
      </w:r>
      <w:r w:rsidR="00946DC3" w:rsidRPr="00AE600B">
        <w:rPr>
          <w:lang w:val="en-CA"/>
        </w:rPr>
        <w:t>:</w:t>
      </w:r>
    </w:p>
    <w:p w14:paraId="2C64D84C" w14:textId="0B0EAE96" w:rsidR="00946DC3" w:rsidRPr="00353B7C" w:rsidRDefault="00946DC3" w:rsidP="00353B7C">
      <w:pPr>
        <w:rPr>
          <w:rFonts w:ascii="Arial" w:hAnsi="Arial" w:cs="Arial"/>
          <w:b/>
          <w:bCs/>
          <w:lang w:val="en-CA"/>
        </w:rPr>
      </w:pPr>
      <w:r w:rsidRPr="00353B7C">
        <w:rPr>
          <w:rFonts w:ascii="Arial" w:hAnsi="Arial" w:cs="Arial"/>
          <w:b/>
          <w:bCs/>
          <w:lang w:val="en-CA"/>
        </w:rPr>
        <w:t>Neigh</w:t>
      </w:r>
      <w:r w:rsidR="0078665C" w:rsidRPr="00353B7C">
        <w:rPr>
          <w:rFonts w:ascii="Arial" w:hAnsi="Arial" w:cs="Arial"/>
          <w:b/>
          <w:bCs/>
          <w:lang w:val="en-CA"/>
        </w:rPr>
        <w:t>bou</w:t>
      </w:r>
      <w:r w:rsidR="00B769AE" w:rsidRPr="00353B7C">
        <w:rPr>
          <w:rFonts w:ascii="Arial" w:hAnsi="Arial" w:cs="Arial"/>
          <w:b/>
          <w:bCs/>
          <w:lang w:val="en-CA"/>
        </w:rPr>
        <w:t>r</w:t>
      </w:r>
      <w:r w:rsidR="0078665C" w:rsidRPr="00353B7C">
        <w:rPr>
          <w:rFonts w:ascii="Arial" w:hAnsi="Arial" w:cs="Arial"/>
          <w:b/>
          <w:bCs/>
          <w:lang w:val="en-CA"/>
        </w:rPr>
        <w:t>hoods</w:t>
      </w:r>
    </w:p>
    <w:p w14:paraId="15941C8D" w14:textId="77777777" w:rsidR="00E478DB" w:rsidRPr="006A1948" w:rsidRDefault="00E478DB" w:rsidP="00AE600B">
      <w:pPr>
        <w:pStyle w:val="ListParagraph"/>
        <w:rPr>
          <w:bCs/>
          <w:iCs/>
        </w:rPr>
      </w:pPr>
      <w:r w:rsidRPr="006A1948">
        <w:t xml:space="preserve">Ms. Rogers submitted the subject lands contain one single detached dwelling at a density of 4.9 units per hectare. </w:t>
      </w:r>
    </w:p>
    <w:p w14:paraId="6E180378" w14:textId="77777777" w:rsidR="00E478DB" w:rsidRPr="006A1948" w:rsidRDefault="00E478DB" w:rsidP="00AE600B">
      <w:pPr>
        <w:pStyle w:val="ListParagraph"/>
        <w:rPr>
          <w:bCs/>
          <w:iCs/>
        </w:rPr>
      </w:pPr>
      <w:r w:rsidRPr="006A1948">
        <w:t>A density of 7.8 units per hectare is proposed for the retained lands of the first consent and a density of 26.0 units per hectare is proposed for both the severed and retained lands of the second consent,</w:t>
      </w:r>
    </w:p>
    <w:p w14:paraId="706CA939" w14:textId="2D674991" w:rsidR="00E478DB" w:rsidRPr="006A1948" w:rsidRDefault="00E478DB" w:rsidP="00AE600B">
      <w:pPr>
        <w:pStyle w:val="ListParagraph"/>
        <w:rPr>
          <w:iCs/>
          <w:lang w:val="en-CA"/>
        </w:rPr>
      </w:pPr>
      <w:r w:rsidRPr="006A1948">
        <w:rPr>
          <w:lang w:val="en-CA"/>
        </w:rPr>
        <w:t>The proposed densities therefore conform with Scale Policy E.3.4.4, which permits a maximum net residential density of 60 units per hectare on lands within the low</w:t>
      </w:r>
      <w:r w:rsidR="00B769AE">
        <w:rPr>
          <w:lang w:val="en-CA"/>
        </w:rPr>
        <w:t>-</w:t>
      </w:r>
      <w:r w:rsidRPr="006A1948">
        <w:rPr>
          <w:lang w:val="en-CA"/>
        </w:rPr>
        <w:t>density residential areas of the Neighbourhoods designation.</w:t>
      </w:r>
    </w:p>
    <w:p w14:paraId="7A78203F" w14:textId="218EB89C" w:rsidR="00077E74" w:rsidRPr="00B769AE" w:rsidRDefault="0078665C" w:rsidP="00353B7C">
      <w:pPr>
        <w:rPr>
          <w:rFonts w:ascii="Arial" w:hAnsi="Arial" w:cs="Arial"/>
          <w:b/>
          <w:bCs/>
        </w:rPr>
      </w:pPr>
      <w:r w:rsidRPr="00B769AE">
        <w:rPr>
          <w:rFonts w:ascii="Arial" w:hAnsi="Arial" w:cs="Arial"/>
          <w:b/>
          <w:bCs/>
        </w:rPr>
        <w:t>Residential Intensification</w:t>
      </w:r>
    </w:p>
    <w:p w14:paraId="1596CE89" w14:textId="09448C4B" w:rsidR="00077E74" w:rsidRPr="006A1948" w:rsidRDefault="00077E74" w:rsidP="00AE600B">
      <w:pPr>
        <w:pStyle w:val="ListParagraph"/>
      </w:pPr>
      <w:r w:rsidRPr="006A1948">
        <w:t xml:space="preserve">The subject lands are on the north side of Cielo Court, which contains a mix of large through lots fronting on Stone Church Road East and infill lots created through previous Consent applications. </w:t>
      </w:r>
    </w:p>
    <w:p w14:paraId="3B629CA1" w14:textId="7E93DF7F" w:rsidR="00077E74" w:rsidRPr="006A1948" w:rsidRDefault="00077E74" w:rsidP="00AE600B">
      <w:pPr>
        <w:pStyle w:val="ListParagraph"/>
      </w:pPr>
      <w:r w:rsidRPr="006A1948">
        <w:t xml:space="preserve">The south side of Cielo Court is developed with single detached dwellings. </w:t>
      </w:r>
    </w:p>
    <w:p w14:paraId="3865AF0C" w14:textId="6F9817EA" w:rsidR="00077E74" w:rsidRPr="006A1948" w:rsidRDefault="00077E74" w:rsidP="00AE600B">
      <w:pPr>
        <w:pStyle w:val="ListParagraph"/>
      </w:pPr>
      <w:r w:rsidRPr="006A1948">
        <w:t>The proposed lot pattern, size, and frontages is consistent with the lots on the south side of Cielo Court and the infill lots created to date along the north side of Cielo Court</w:t>
      </w:r>
    </w:p>
    <w:p w14:paraId="725CF88E" w14:textId="03747255" w:rsidR="00077E74" w:rsidRPr="006A1948" w:rsidRDefault="00077E74" w:rsidP="00AE600B">
      <w:pPr>
        <w:pStyle w:val="ListParagraph"/>
      </w:pPr>
      <w:r w:rsidRPr="006A1948">
        <w:t>Ms. Rogers opined that the Consent applications maintain the general intent of the policies in Section B.2.4 Residential Intensification.</w:t>
      </w:r>
    </w:p>
    <w:p w14:paraId="382DAEA7" w14:textId="6AF65157" w:rsidR="00627D4A" w:rsidRPr="006A1948" w:rsidRDefault="00627D4A" w:rsidP="00AE600B">
      <w:pPr>
        <w:pStyle w:val="ListParagraph"/>
      </w:pPr>
      <w:r w:rsidRPr="006A1948">
        <w:lastRenderedPageBreak/>
        <w:t>Ms. Rogers informed the Tribunal, that the lots on the south side of Cielo Court conform</w:t>
      </w:r>
      <w:r w:rsidRPr="006A1948">
        <w:rPr>
          <w:spacing w:val="-9"/>
        </w:rPr>
        <w:t xml:space="preserve"> </w:t>
      </w:r>
      <w:r w:rsidRPr="006A1948">
        <w:t>to</w:t>
      </w:r>
      <w:r w:rsidRPr="006A1948">
        <w:rPr>
          <w:spacing w:val="-8"/>
        </w:rPr>
        <w:t xml:space="preserve"> </w:t>
      </w:r>
      <w:r w:rsidRPr="006A1948">
        <w:t>the</w:t>
      </w:r>
      <w:r w:rsidRPr="006A1948">
        <w:rPr>
          <w:spacing w:val="-8"/>
        </w:rPr>
        <w:t xml:space="preserve"> </w:t>
      </w:r>
      <w:r w:rsidRPr="006A1948">
        <w:t>requirements</w:t>
      </w:r>
      <w:r w:rsidRPr="006A1948">
        <w:rPr>
          <w:spacing w:val="-9"/>
        </w:rPr>
        <w:t xml:space="preserve"> </w:t>
      </w:r>
      <w:r w:rsidRPr="006A1948">
        <w:t>of</w:t>
      </w:r>
      <w:r w:rsidRPr="006A1948">
        <w:rPr>
          <w:spacing w:val="-10"/>
        </w:rPr>
        <w:t xml:space="preserve"> </w:t>
      </w:r>
      <w:r w:rsidRPr="006A1948">
        <w:t>their</w:t>
      </w:r>
      <w:r w:rsidRPr="006A1948">
        <w:rPr>
          <w:spacing w:val="-10"/>
        </w:rPr>
        <w:t xml:space="preserve"> </w:t>
      </w:r>
      <w:r w:rsidRPr="006A1948">
        <w:t>existing</w:t>
      </w:r>
      <w:r w:rsidRPr="006A1948">
        <w:rPr>
          <w:spacing w:val="-10"/>
        </w:rPr>
        <w:t xml:space="preserve"> </w:t>
      </w:r>
      <w:r w:rsidRPr="006A1948">
        <w:t>“C”</w:t>
      </w:r>
      <w:r w:rsidRPr="006A1948">
        <w:rPr>
          <w:spacing w:val="-11"/>
        </w:rPr>
        <w:t xml:space="preserve"> </w:t>
      </w:r>
      <w:r w:rsidRPr="006A1948">
        <w:t>District</w:t>
      </w:r>
      <w:r w:rsidRPr="006A1948">
        <w:rPr>
          <w:spacing w:val="-8"/>
        </w:rPr>
        <w:t xml:space="preserve"> </w:t>
      </w:r>
      <w:r w:rsidRPr="006A1948">
        <w:t>zoning</w:t>
      </w:r>
      <w:r w:rsidRPr="006A1948">
        <w:rPr>
          <w:spacing w:val="-10"/>
        </w:rPr>
        <w:t xml:space="preserve"> </w:t>
      </w:r>
      <w:r w:rsidRPr="006A1948">
        <w:t>and</w:t>
      </w:r>
      <w:r w:rsidRPr="006A1948">
        <w:rPr>
          <w:spacing w:val="-12"/>
        </w:rPr>
        <w:t xml:space="preserve"> </w:t>
      </w:r>
      <w:r w:rsidRPr="006A1948">
        <w:t>were</w:t>
      </w:r>
      <w:r w:rsidRPr="006A1948">
        <w:rPr>
          <w:spacing w:val="-9"/>
        </w:rPr>
        <w:t xml:space="preserve"> </w:t>
      </w:r>
      <w:r w:rsidRPr="006A1948">
        <w:t>created</w:t>
      </w:r>
      <w:r w:rsidRPr="006A1948">
        <w:rPr>
          <w:spacing w:val="-11"/>
        </w:rPr>
        <w:t xml:space="preserve"> </w:t>
      </w:r>
      <w:r w:rsidRPr="006A1948">
        <w:t>through the comprehensive review and approval of the plan of subdivision registered as 62M-209.</w:t>
      </w:r>
    </w:p>
    <w:p w14:paraId="31DBF3C7" w14:textId="76078630" w:rsidR="00627D4A" w:rsidRPr="006A1948" w:rsidRDefault="00627D4A" w:rsidP="00AE600B">
      <w:pPr>
        <w:pStyle w:val="ListParagraph"/>
      </w:pPr>
      <w:r w:rsidRPr="006A1948">
        <w:t xml:space="preserve">Ms. Rogers further submitted that the infill lots on the north side of Cielo Court are in the “B” District zoning and were created through consent applications. </w:t>
      </w:r>
    </w:p>
    <w:p w14:paraId="66E8064F" w14:textId="738E9B2D" w:rsidR="00C00495" w:rsidRPr="00AE600B" w:rsidRDefault="00281FFC" w:rsidP="00AE600B">
      <w:pPr>
        <w:pStyle w:val="ListParagraph"/>
        <w:rPr>
          <w:rFonts w:cs="Times New Roman"/>
        </w:rPr>
      </w:pPr>
      <w:r w:rsidRPr="006A1948">
        <w:t>Ms. Rogers opined that t</w:t>
      </w:r>
      <w:r w:rsidR="00627D4A" w:rsidRPr="006A1948">
        <w:t>he proposal would more appropriately be assessed through a Zoning By-law Amendment</w:t>
      </w:r>
      <w:r w:rsidR="00627D4A" w:rsidRPr="006A1948">
        <w:rPr>
          <w:spacing w:val="-6"/>
        </w:rPr>
        <w:t xml:space="preserve"> </w:t>
      </w:r>
      <w:r w:rsidR="00627D4A" w:rsidRPr="006A1948">
        <w:t>application</w:t>
      </w:r>
      <w:r w:rsidR="00C33F31" w:rsidRPr="006A1948">
        <w:t>.</w:t>
      </w:r>
    </w:p>
    <w:p w14:paraId="40E3FD5E" w14:textId="3539E210" w:rsidR="0078665C" w:rsidRPr="00353B7C" w:rsidRDefault="0078665C" w:rsidP="00353B7C">
      <w:pPr>
        <w:rPr>
          <w:rFonts w:ascii="Arial" w:hAnsi="Arial" w:cs="Arial"/>
          <w:b/>
          <w:bCs/>
        </w:rPr>
      </w:pPr>
      <w:r w:rsidRPr="00353B7C">
        <w:rPr>
          <w:rFonts w:ascii="Arial" w:hAnsi="Arial" w:cs="Arial"/>
          <w:b/>
          <w:bCs/>
        </w:rPr>
        <w:t>Noise</w:t>
      </w:r>
    </w:p>
    <w:p w14:paraId="08A24C8B" w14:textId="4D4C69E3" w:rsidR="0078665C" w:rsidRPr="00AE600B" w:rsidRDefault="0078665C" w:rsidP="00AE600B">
      <w:pPr>
        <w:pStyle w:val="ListParagraph"/>
      </w:pPr>
      <w:r w:rsidRPr="00AE600B">
        <w:t>Ms. Rogers informed the Tribunal that Stone Church Road in this location is identified as a minor arterial road in Schedule C – Functional Road Classification in the UHOP.  The consents are proposed for the purpose of a sensitive land use.  In turn, Ms. Rogers opined a noise feasibility study, or noise study, or both, is required to be submitted for review and approval in order to conform to Policy B.3.6.3.7 Road and railway Traffic Noise and Vibration.</w:t>
      </w:r>
    </w:p>
    <w:p w14:paraId="5529C2D8" w14:textId="48AF7A1C" w:rsidR="0078665C" w:rsidRPr="00353B7C" w:rsidRDefault="0078665C" w:rsidP="00353B7C">
      <w:pPr>
        <w:rPr>
          <w:rFonts w:ascii="Arial" w:hAnsi="Arial" w:cs="Arial"/>
          <w:b/>
          <w:bCs/>
        </w:rPr>
      </w:pPr>
      <w:r w:rsidRPr="00353B7C">
        <w:rPr>
          <w:rFonts w:ascii="Arial" w:hAnsi="Arial" w:cs="Arial"/>
          <w:b/>
          <w:bCs/>
        </w:rPr>
        <w:t>Natural Heritage</w:t>
      </w:r>
    </w:p>
    <w:p w14:paraId="0EEC685B" w14:textId="71697CD0" w:rsidR="0078665C" w:rsidRPr="00AE600B" w:rsidRDefault="0078665C" w:rsidP="00AE600B">
      <w:pPr>
        <w:pStyle w:val="ListParagraph"/>
      </w:pPr>
      <w:r w:rsidRPr="00AE600B">
        <w:t>Ms. Rogers outlined the subject lands contain existing trees which my conflict with the proposal development. As a result, a Tree Protection Plan and associated Landscape Plan which shows required compensation will be required to be submitted for review and approval in order to conform to Policy C.2.11.1 Tree Woodland Protection.</w:t>
      </w:r>
    </w:p>
    <w:p w14:paraId="76E62E9F" w14:textId="31693460" w:rsidR="0078665C" w:rsidRPr="00353B7C" w:rsidRDefault="0078665C" w:rsidP="00353B7C">
      <w:pPr>
        <w:rPr>
          <w:rFonts w:ascii="Arial" w:hAnsi="Arial" w:cs="Arial"/>
          <w:b/>
          <w:bCs/>
        </w:rPr>
      </w:pPr>
      <w:r w:rsidRPr="00353B7C">
        <w:rPr>
          <w:rFonts w:ascii="Arial" w:hAnsi="Arial" w:cs="Arial"/>
          <w:b/>
          <w:bCs/>
        </w:rPr>
        <w:t>Lot Creation – Urban Area</w:t>
      </w:r>
    </w:p>
    <w:p w14:paraId="1B15227E" w14:textId="77777777" w:rsidR="00627D4A" w:rsidRPr="006A1948" w:rsidRDefault="00627D4A" w:rsidP="00AE600B">
      <w:pPr>
        <w:pStyle w:val="ListParagraph"/>
        <w:rPr>
          <w:bCs/>
          <w:iCs/>
          <w:lang w:val="en-CA"/>
        </w:rPr>
      </w:pPr>
      <w:r w:rsidRPr="006A1948">
        <w:t xml:space="preserve">Ms. Rogers informed the Tribunal that within Section F.1.14.3.1, Urban Area Lot Creation policy, the proposed lots comply with the </w:t>
      </w:r>
      <w:r w:rsidRPr="006A1948">
        <w:rPr>
          <w:lang w:val="en-CA"/>
        </w:rPr>
        <w:t>Neighbourhoods and Residential Intensification policies of the UHOP.</w:t>
      </w:r>
    </w:p>
    <w:p w14:paraId="19A23764" w14:textId="77777777" w:rsidR="00B769AE" w:rsidRPr="00B769AE" w:rsidRDefault="00627D4A" w:rsidP="00B769AE">
      <w:pPr>
        <w:pStyle w:val="ListParagraph"/>
        <w:rPr>
          <w:bCs/>
          <w:iCs/>
          <w:lang w:val="en-CA"/>
        </w:rPr>
      </w:pPr>
      <w:r w:rsidRPr="006A1948">
        <w:rPr>
          <w:lang w:val="en-CA"/>
        </w:rPr>
        <w:lastRenderedPageBreak/>
        <w:t>Ms. Rogers reviewed additional policies within the UHOP</w:t>
      </w:r>
      <w:r w:rsidR="00B769AE">
        <w:rPr>
          <w:lang w:val="en-CA"/>
        </w:rPr>
        <w:t>.</w:t>
      </w:r>
    </w:p>
    <w:p w14:paraId="647E6EF8" w14:textId="390C4ECB" w:rsidR="00627D4A" w:rsidRPr="00B769AE" w:rsidRDefault="00B769AE" w:rsidP="00B769AE">
      <w:pPr>
        <w:pStyle w:val="ListParagraph"/>
        <w:numPr>
          <w:ilvl w:val="0"/>
          <w:numId w:val="0"/>
        </w:numPr>
        <w:ind w:firstLine="720"/>
        <w:rPr>
          <w:bCs/>
          <w:iCs/>
          <w:lang w:val="en-CA"/>
        </w:rPr>
      </w:pPr>
      <w:r>
        <w:rPr>
          <w:lang w:val="en-CA"/>
        </w:rPr>
        <w:t xml:space="preserve">Section </w:t>
      </w:r>
      <w:r w:rsidR="00627D4A" w:rsidRPr="00B769AE">
        <w:rPr>
          <w:lang w:val="en-CA"/>
        </w:rPr>
        <w:t>F.1.14.3.1(b) The lots comply with existing Neighbourhood Plans</w:t>
      </w:r>
      <w:r w:rsidR="007A505B">
        <w:rPr>
          <w:lang w:val="en-CA"/>
        </w:rPr>
        <w:t>:</w:t>
      </w:r>
    </w:p>
    <w:p w14:paraId="61741C06" w14:textId="1691F564" w:rsidR="00627D4A" w:rsidRPr="00AE600B" w:rsidRDefault="00627D4A" w:rsidP="00AE600B">
      <w:pPr>
        <w:pStyle w:val="ListParagraph"/>
        <w:rPr>
          <w:rFonts w:cs="Times New Roman"/>
          <w:lang w:val="en-CA"/>
        </w:rPr>
      </w:pPr>
      <w:r w:rsidRPr="006A1948">
        <w:rPr>
          <w:lang w:val="en-CA"/>
        </w:rPr>
        <w:t xml:space="preserve">Ms. Rogers identified the lands as “Single and Double” within the Ryckmans Neighbourhood Plan, </w:t>
      </w:r>
      <w:r w:rsidRPr="006A1948">
        <w:rPr>
          <w:bCs/>
          <w:lang w:val="en-CA"/>
        </w:rPr>
        <w:t>to which the proposal complies</w:t>
      </w:r>
      <w:r w:rsidR="00B769AE">
        <w:rPr>
          <w:bCs/>
          <w:lang w:val="en-CA"/>
        </w:rPr>
        <w:t>.</w:t>
      </w:r>
    </w:p>
    <w:p w14:paraId="134DFF7A" w14:textId="754B69FE" w:rsidR="00AB191B" w:rsidRPr="00B769AE" w:rsidRDefault="007A505B" w:rsidP="00B769AE">
      <w:pPr>
        <w:spacing w:beforeLines="50" w:before="120" w:afterLines="50" w:after="120"/>
        <w:ind w:left="720" w:right="1418"/>
        <w:rPr>
          <w:rFonts w:ascii="Arial" w:hAnsi="Arial" w:cs="Arial"/>
          <w:lang w:val="en-CA"/>
        </w:rPr>
      </w:pPr>
      <w:r>
        <w:rPr>
          <w:rFonts w:ascii="Arial" w:hAnsi="Arial" w:cs="Arial"/>
          <w:lang w:val="en-CA"/>
        </w:rPr>
        <w:t xml:space="preserve">Section </w:t>
      </w:r>
      <w:r w:rsidR="00AB191B" w:rsidRPr="00B769AE">
        <w:rPr>
          <w:rFonts w:ascii="Arial" w:hAnsi="Arial" w:cs="Arial"/>
          <w:lang w:val="en-CA"/>
        </w:rPr>
        <w:t>F.1.14.3.1(c)   The lots are in conformity with the Zoning By-law or a minor variance is</w:t>
      </w:r>
      <w:r w:rsidR="00AB191B" w:rsidRPr="00B769AE">
        <w:rPr>
          <w:rFonts w:ascii="Arial" w:hAnsi="Arial" w:cs="Arial"/>
          <w:spacing w:val="-1"/>
          <w:lang w:val="en-CA"/>
        </w:rPr>
        <w:t xml:space="preserve"> </w:t>
      </w:r>
      <w:r w:rsidR="00AB191B" w:rsidRPr="00B769AE">
        <w:rPr>
          <w:rFonts w:ascii="Arial" w:hAnsi="Arial" w:cs="Arial"/>
          <w:lang w:val="en-CA"/>
        </w:rPr>
        <w:t>approved</w:t>
      </w:r>
      <w:r>
        <w:rPr>
          <w:rFonts w:ascii="Arial" w:hAnsi="Arial" w:cs="Arial"/>
          <w:lang w:val="en-CA"/>
        </w:rPr>
        <w:t>:</w:t>
      </w:r>
    </w:p>
    <w:p w14:paraId="4F54B761" w14:textId="77777777" w:rsidR="00AB191B" w:rsidRPr="006A1948" w:rsidRDefault="00AB191B" w:rsidP="00AE600B">
      <w:pPr>
        <w:pStyle w:val="ListParagraph"/>
        <w:rPr>
          <w:bCs/>
          <w:iCs/>
          <w:lang w:val="en-CA"/>
        </w:rPr>
      </w:pPr>
      <w:r w:rsidRPr="006A1948">
        <w:rPr>
          <w:lang w:val="en-CA"/>
        </w:rPr>
        <w:t xml:space="preserve">Ms. Rogers opined that the proposed lots </w:t>
      </w:r>
      <w:r w:rsidRPr="006A1948">
        <w:rPr>
          <w:bCs/>
          <w:lang w:val="en-CA"/>
        </w:rPr>
        <w:t>do not conform to the Zoning By-law</w:t>
      </w:r>
      <w:r w:rsidRPr="006A1948">
        <w:rPr>
          <w:lang w:val="en-CA"/>
        </w:rPr>
        <w:t xml:space="preserve"> and the variances necessary to facilitate the consents do not meet the four tests of subsection 45(1) of the </w:t>
      </w:r>
      <w:r w:rsidRPr="006A1948">
        <w:rPr>
          <w:iCs/>
          <w:lang w:val="en-CA"/>
        </w:rPr>
        <w:t>Act</w:t>
      </w:r>
      <w:r w:rsidRPr="006A1948">
        <w:rPr>
          <w:lang w:val="en-CA"/>
        </w:rPr>
        <w:t>.</w:t>
      </w:r>
    </w:p>
    <w:p w14:paraId="0FB0C018" w14:textId="47FE247A" w:rsidR="00AB191B" w:rsidRPr="007A505B" w:rsidRDefault="007A505B" w:rsidP="007A505B">
      <w:pPr>
        <w:spacing w:beforeLines="50" w:before="120" w:afterLines="50" w:after="120"/>
        <w:ind w:left="720" w:right="1418"/>
        <w:rPr>
          <w:rFonts w:ascii="Arial" w:hAnsi="Arial" w:cs="Arial"/>
          <w:lang w:val="en-CA"/>
        </w:rPr>
      </w:pPr>
      <w:r>
        <w:rPr>
          <w:rFonts w:ascii="Arial" w:hAnsi="Arial" w:cs="Arial"/>
          <w:lang w:val="en-CA"/>
        </w:rPr>
        <w:t xml:space="preserve">Section </w:t>
      </w:r>
      <w:r w:rsidR="00AB191B" w:rsidRPr="007A505B">
        <w:rPr>
          <w:rFonts w:ascii="Arial" w:hAnsi="Arial" w:cs="Arial"/>
          <w:lang w:val="en-CA"/>
        </w:rPr>
        <w:t>F.1.14.3.1(d) The lots reflect the general scale and character of the established development pattern in the surrounding area by taking into consideration lot frontages and areas, building height, coverage, mass, setbacks, privacy and overview</w:t>
      </w:r>
      <w:r>
        <w:rPr>
          <w:rFonts w:ascii="Arial" w:hAnsi="Arial" w:cs="Arial"/>
          <w:lang w:val="en-CA"/>
        </w:rPr>
        <w:t>:</w:t>
      </w:r>
    </w:p>
    <w:p w14:paraId="7904F710" w14:textId="28F6DA96" w:rsidR="00AB191B" w:rsidRPr="006A1948" w:rsidRDefault="00AB191B" w:rsidP="00AE600B">
      <w:pPr>
        <w:pStyle w:val="ListParagraph"/>
        <w:rPr>
          <w:spacing w:val="-13"/>
          <w:lang w:val="en-CA"/>
        </w:rPr>
      </w:pPr>
      <w:r w:rsidRPr="006A1948">
        <w:rPr>
          <w:lang w:val="en-CA"/>
        </w:rPr>
        <w:t>Ms. Rogers confirmed that the lots reflect the general scale and character of the established development pattern,</w:t>
      </w:r>
      <w:r w:rsidRPr="006A1948">
        <w:rPr>
          <w:spacing w:val="-13"/>
          <w:lang w:val="en-CA"/>
        </w:rPr>
        <w:t xml:space="preserve"> </w:t>
      </w:r>
      <w:r w:rsidRPr="006A1948">
        <w:rPr>
          <w:lang w:val="en-CA"/>
        </w:rPr>
        <w:t>on</w:t>
      </w:r>
      <w:r w:rsidRPr="006A1948">
        <w:rPr>
          <w:spacing w:val="-16"/>
          <w:lang w:val="en-CA"/>
        </w:rPr>
        <w:t xml:space="preserve"> </w:t>
      </w:r>
      <w:r w:rsidRPr="006A1948">
        <w:rPr>
          <w:lang w:val="en-CA"/>
        </w:rPr>
        <w:t>the</w:t>
      </w:r>
      <w:r w:rsidRPr="006A1948">
        <w:rPr>
          <w:spacing w:val="-15"/>
          <w:lang w:val="en-CA"/>
        </w:rPr>
        <w:t xml:space="preserve"> </w:t>
      </w:r>
      <w:r w:rsidRPr="006A1948">
        <w:rPr>
          <w:lang w:val="en-CA"/>
        </w:rPr>
        <w:t>north</w:t>
      </w:r>
      <w:r w:rsidRPr="006A1948">
        <w:rPr>
          <w:spacing w:val="-16"/>
          <w:lang w:val="en-CA"/>
        </w:rPr>
        <w:t xml:space="preserve"> </w:t>
      </w:r>
      <w:r w:rsidRPr="006A1948">
        <w:rPr>
          <w:lang w:val="en-CA"/>
        </w:rPr>
        <w:t>side</w:t>
      </w:r>
      <w:r w:rsidRPr="006A1948">
        <w:rPr>
          <w:spacing w:val="-12"/>
          <w:lang w:val="en-CA"/>
        </w:rPr>
        <w:t xml:space="preserve"> </w:t>
      </w:r>
      <w:r w:rsidRPr="006A1948">
        <w:rPr>
          <w:lang w:val="en-CA"/>
        </w:rPr>
        <w:t>of</w:t>
      </w:r>
      <w:r w:rsidRPr="006A1948">
        <w:rPr>
          <w:spacing w:val="-11"/>
          <w:lang w:val="en-CA"/>
        </w:rPr>
        <w:t xml:space="preserve"> </w:t>
      </w:r>
      <w:r w:rsidRPr="006A1948">
        <w:rPr>
          <w:lang w:val="en-CA"/>
        </w:rPr>
        <w:t>Cielo</w:t>
      </w:r>
      <w:r w:rsidRPr="006A1948">
        <w:rPr>
          <w:spacing w:val="-13"/>
          <w:lang w:val="en-CA"/>
        </w:rPr>
        <w:t xml:space="preserve"> </w:t>
      </w:r>
      <w:r w:rsidRPr="006A1948">
        <w:rPr>
          <w:lang w:val="en-CA"/>
        </w:rPr>
        <w:t>Court</w:t>
      </w:r>
      <w:r w:rsidR="007A505B">
        <w:rPr>
          <w:lang w:val="en-CA"/>
        </w:rPr>
        <w:t>.</w:t>
      </w:r>
    </w:p>
    <w:p w14:paraId="00FCAA3B" w14:textId="12089F4E" w:rsidR="006A1948" w:rsidRPr="007A505B" w:rsidRDefault="007A505B" w:rsidP="007A505B">
      <w:pPr>
        <w:spacing w:afterLines="50" w:after="120"/>
        <w:ind w:left="720" w:right="1418"/>
        <w:rPr>
          <w:rFonts w:ascii="Arial" w:hAnsi="Arial" w:cs="Arial"/>
          <w:lang w:val="en-CA"/>
        </w:rPr>
      </w:pPr>
      <w:r w:rsidRPr="007A505B">
        <w:rPr>
          <w:rFonts w:ascii="Arial" w:hAnsi="Arial" w:cs="Arial"/>
          <w:lang w:val="en-CA"/>
        </w:rPr>
        <w:t xml:space="preserve">Section </w:t>
      </w:r>
      <w:r w:rsidR="00AB191B" w:rsidRPr="007A505B">
        <w:rPr>
          <w:rFonts w:ascii="Arial" w:hAnsi="Arial" w:cs="Arial"/>
          <w:lang w:val="en-CA"/>
        </w:rPr>
        <w:t>F.1.14.3.1(e) The lots are fully serviced by municipal water and wastewater systems</w:t>
      </w:r>
      <w:r>
        <w:rPr>
          <w:rFonts w:ascii="Arial" w:hAnsi="Arial" w:cs="Arial"/>
          <w:lang w:val="en-CA"/>
        </w:rPr>
        <w:t>:</w:t>
      </w:r>
    </w:p>
    <w:p w14:paraId="72C0132D" w14:textId="282B174D" w:rsidR="00001489" w:rsidRPr="006A1948" w:rsidRDefault="00001489" w:rsidP="00AE600B">
      <w:pPr>
        <w:pStyle w:val="ListParagraph"/>
        <w:rPr>
          <w:iCs/>
        </w:rPr>
      </w:pPr>
      <w:r w:rsidRPr="006A1948">
        <w:t xml:space="preserve">Ms. Rogers informed </w:t>
      </w:r>
      <w:r w:rsidR="006C543E">
        <w:t xml:space="preserve">the Tribunal </w:t>
      </w:r>
      <w:r w:rsidRPr="006A1948">
        <w:t>that there are municipal services available on Cielo Court</w:t>
      </w:r>
      <w:r w:rsidRPr="006A1948">
        <w:rPr>
          <w:b/>
        </w:rPr>
        <w:t>.</w:t>
      </w:r>
    </w:p>
    <w:p w14:paraId="256A79C0" w14:textId="2A60D182" w:rsidR="00001489" w:rsidRPr="006A1948" w:rsidRDefault="00001489" w:rsidP="007A505B">
      <w:pPr>
        <w:pStyle w:val="ListParagraph"/>
        <w:numPr>
          <w:ilvl w:val="0"/>
          <w:numId w:val="0"/>
        </w:numPr>
        <w:ind w:firstLine="720"/>
        <w:rPr>
          <w:bCs/>
        </w:rPr>
      </w:pPr>
      <w:r w:rsidRPr="006A1948">
        <w:t>F.1.14.3.1(f) The lots have frontage on a public</w:t>
      </w:r>
      <w:r w:rsidRPr="006A1948">
        <w:rPr>
          <w:spacing w:val="-7"/>
        </w:rPr>
        <w:t xml:space="preserve"> </w:t>
      </w:r>
      <w:r w:rsidRPr="006A1948">
        <w:t>road.</w:t>
      </w:r>
    </w:p>
    <w:p w14:paraId="00CD8F59" w14:textId="5F5223CB" w:rsidR="00001489" w:rsidRPr="006A1948" w:rsidRDefault="00001489" w:rsidP="00AE600B">
      <w:pPr>
        <w:pStyle w:val="ListParagraph"/>
        <w:rPr>
          <w:bCs/>
          <w:iCs/>
        </w:rPr>
      </w:pPr>
      <w:r w:rsidRPr="006A1948">
        <w:t>Along</w:t>
      </w:r>
      <w:r w:rsidRPr="006A1948">
        <w:rPr>
          <w:spacing w:val="-13"/>
        </w:rPr>
        <w:t xml:space="preserve"> </w:t>
      </w:r>
      <w:r w:rsidRPr="006A1948">
        <w:t>Cielo</w:t>
      </w:r>
      <w:r w:rsidRPr="006A1948">
        <w:rPr>
          <w:spacing w:val="-10"/>
        </w:rPr>
        <w:t xml:space="preserve"> </w:t>
      </w:r>
      <w:r w:rsidRPr="006A1948">
        <w:t>Court</w:t>
      </w:r>
      <w:r w:rsidRPr="006A1948">
        <w:rPr>
          <w:spacing w:val="-14"/>
        </w:rPr>
        <w:t xml:space="preserve"> </w:t>
      </w:r>
      <w:r w:rsidRPr="006A1948">
        <w:t>there</w:t>
      </w:r>
      <w:r w:rsidRPr="006A1948">
        <w:rPr>
          <w:spacing w:val="-10"/>
        </w:rPr>
        <w:t xml:space="preserve"> </w:t>
      </w:r>
      <w:r w:rsidRPr="006A1948">
        <w:t>is</w:t>
      </w:r>
      <w:r w:rsidRPr="006A1948">
        <w:rPr>
          <w:spacing w:val="-14"/>
        </w:rPr>
        <w:t xml:space="preserve"> </w:t>
      </w:r>
      <w:r w:rsidRPr="006A1948">
        <w:t>a</w:t>
      </w:r>
      <w:r w:rsidRPr="006A1948">
        <w:rPr>
          <w:spacing w:val="-10"/>
        </w:rPr>
        <w:t xml:space="preserve"> </w:t>
      </w:r>
      <w:r w:rsidRPr="006A1948">
        <w:t>0.3</w:t>
      </w:r>
      <w:r w:rsidRPr="006A1948">
        <w:rPr>
          <w:spacing w:val="-12"/>
        </w:rPr>
        <w:t xml:space="preserve"> </w:t>
      </w:r>
      <w:r w:rsidRPr="006A1948">
        <w:t>m</w:t>
      </w:r>
      <w:r w:rsidRPr="006A1948">
        <w:rPr>
          <w:spacing w:val="-12"/>
        </w:rPr>
        <w:t xml:space="preserve"> </w:t>
      </w:r>
      <w:r w:rsidRPr="006A1948">
        <w:t>reserve</w:t>
      </w:r>
      <w:r w:rsidRPr="006A1948">
        <w:rPr>
          <w:spacing w:val="-10"/>
        </w:rPr>
        <w:t xml:space="preserve"> </w:t>
      </w:r>
      <w:r w:rsidRPr="006A1948">
        <w:t>block,</w:t>
      </w:r>
      <w:r w:rsidRPr="006A1948">
        <w:rPr>
          <w:spacing w:val="-11"/>
        </w:rPr>
        <w:t xml:space="preserve"> </w:t>
      </w:r>
      <w:r w:rsidRPr="006A1948">
        <w:t>being</w:t>
      </w:r>
      <w:r w:rsidRPr="006A1948">
        <w:rPr>
          <w:spacing w:val="-12"/>
        </w:rPr>
        <w:t xml:space="preserve"> </w:t>
      </w:r>
      <w:r w:rsidRPr="006A1948">
        <w:t>part</w:t>
      </w:r>
      <w:r w:rsidRPr="006A1948">
        <w:rPr>
          <w:spacing w:val="-14"/>
        </w:rPr>
        <w:t xml:space="preserve"> </w:t>
      </w:r>
      <w:r w:rsidRPr="006A1948">
        <w:t>of</w:t>
      </w:r>
      <w:r w:rsidRPr="006A1948">
        <w:rPr>
          <w:spacing w:val="-10"/>
        </w:rPr>
        <w:t xml:space="preserve"> </w:t>
      </w:r>
      <w:r w:rsidRPr="006A1948">
        <w:t>Block</w:t>
      </w:r>
      <w:r w:rsidRPr="006A1948">
        <w:rPr>
          <w:spacing w:val="-15"/>
        </w:rPr>
        <w:t xml:space="preserve"> </w:t>
      </w:r>
      <w:r w:rsidRPr="006A1948">
        <w:t>106,</w:t>
      </w:r>
      <w:r w:rsidRPr="006A1948">
        <w:rPr>
          <w:spacing w:val="-13"/>
        </w:rPr>
        <w:t xml:space="preserve"> </w:t>
      </w:r>
      <w:r w:rsidRPr="006A1948">
        <w:t>Registered</w:t>
      </w:r>
      <w:r w:rsidRPr="006A1948">
        <w:rPr>
          <w:spacing w:val="-12"/>
        </w:rPr>
        <w:t xml:space="preserve"> </w:t>
      </w:r>
      <w:r w:rsidRPr="006A1948">
        <w:t>Plan 62M-1209, that abuts the subject lands. The portion of the reserve block abutting the subject</w:t>
      </w:r>
      <w:r w:rsidRPr="006A1948">
        <w:rPr>
          <w:spacing w:val="-6"/>
        </w:rPr>
        <w:t xml:space="preserve"> </w:t>
      </w:r>
      <w:r w:rsidRPr="006A1948">
        <w:t>lands</w:t>
      </w:r>
      <w:r w:rsidRPr="006A1948">
        <w:rPr>
          <w:spacing w:val="-6"/>
        </w:rPr>
        <w:t xml:space="preserve"> </w:t>
      </w:r>
      <w:r w:rsidRPr="006A1948">
        <w:t>along</w:t>
      </w:r>
      <w:r w:rsidRPr="006A1948">
        <w:rPr>
          <w:spacing w:val="-5"/>
        </w:rPr>
        <w:t xml:space="preserve"> </w:t>
      </w:r>
      <w:r w:rsidRPr="006A1948">
        <w:t>Cielo</w:t>
      </w:r>
      <w:r w:rsidRPr="006A1948">
        <w:rPr>
          <w:spacing w:val="-3"/>
        </w:rPr>
        <w:t xml:space="preserve"> </w:t>
      </w:r>
      <w:r w:rsidRPr="006A1948">
        <w:t>Court</w:t>
      </w:r>
      <w:r w:rsidRPr="006A1948">
        <w:rPr>
          <w:spacing w:val="-6"/>
        </w:rPr>
        <w:t xml:space="preserve"> </w:t>
      </w:r>
      <w:r w:rsidRPr="006A1948">
        <w:t>must</w:t>
      </w:r>
      <w:r w:rsidRPr="006A1948">
        <w:rPr>
          <w:spacing w:val="-5"/>
        </w:rPr>
        <w:t xml:space="preserve"> </w:t>
      </w:r>
      <w:r w:rsidRPr="006A1948">
        <w:t>be</w:t>
      </w:r>
      <w:r w:rsidRPr="006A1948">
        <w:rPr>
          <w:spacing w:val="-6"/>
        </w:rPr>
        <w:t xml:space="preserve"> </w:t>
      </w:r>
      <w:r w:rsidRPr="006A1948">
        <w:t>lifted</w:t>
      </w:r>
      <w:r w:rsidRPr="006A1948">
        <w:rPr>
          <w:spacing w:val="-5"/>
        </w:rPr>
        <w:t xml:space="preserve"> </w:t>
      </w:r>
      <w:r w:rsidRPr="006A1948">
        <w:t>for</w:t>
      </w:r>
      <w:r w:rsidRPr="006A1948">
        <w:rPr>
          <w:spacing w:val="-6"/>
        </w:rPr>
        <w:t xml:space="preserve"> </w:t>
      </w:r>
      <w:r w:rsidRPr="006A1948">
        <w:t>the</w:t>
      </w:r>
      <w:r w:rsidRPr="006A1948">
        <w:rPr>
          <w:spacing w:val="-5"/>
        </w:rPr>
        <w:t xml:space="preserve"> </w:t>
      </w:r>
      <w:r w:rsidRPr="006A1948">
        <w:t>proposed</w:t>
      </w:r>
      <w:r w:rsidRPr="006A1948">
        <w:rPr>
          <w:spacing w:val="-3"/>
        </w:rPr>
        <w:t xml:space="preserve"> </w:t>
      </w:r>
      <w:r w:rsidRPr="006A1948">
        <w:t>lots</w:t>
      </w:r>
      <w:r w:rsidRPr="006A1948">
        <w:rPr>
          <w:spacing w:val="-6"/>
        </w:rPr>
        <w:t xml:space="preserve"> </w:t>
      </w:r>
      <w:r w:rsidRPr="006A1948">
        <w:t>to</w:t>
      </w:r>
      <w:r w:rsidRPr="006A1948">
        <w:rPr>
          <w:spacing w:val="-2"/>
        </w:rPr>
        <w:t xml:space="preserve"> </w:t>
      </w:r>
      <w:r w:rsidRPr="006A1948">
        <w:t>have</w:t>
      </w:r>
      <w:r w:rsidRPr="006A1948">
        <w:rPr>
          <w:spacing w:val="-5"/>
        </w:rPr>
        <w:t xml:space="preserve"> </w:t>
      </w:r>
      <w:r w:rsidRPr="006A1948">
        <w:t>frontage</w:t>
      </w:r>
      <w:r w:rsidRPr="006A1948">
        <w:rPr>
          <w:spacing w:val="-3"/>
        </w:rPr>
        <w:t xml:space="preserve"> </w:t>
      </w:r>
      <w:r w:rsidRPr="006A1948">
        <w:t>on</w:t>
      </w:r>
      <w:r w:rsidRPr="006A1948">
        <w:rPr>
          <w:spacing w:val="-5"/>
        </w:rPr>
        <w:t xml:space="preserve"> </w:t>
      </w:r>
      <w:r w:rsidRPr="006A1948">
        <w:t>a public road, and to permit the lots to connect to the municipal services available on</w:t>
      </w:r>
      <w:r w:rsidRPr="006A1948">
        <w:rPr>
          <w:spacing w:val="-47"/>
        </w:rPr>
        <w:t xml:space="preserve"> </w:t>
      </w:r>
      <w:r w:rsidRPr="006A1948">
        <w:t>Cielo Court.</w:t>
      </w:r>
    </w:p>
    <w:p w14:paraId="6900FF94" w14:textId="77777777" w:rsidR="00001489" w:rsidRPr="006A1948" w:rsidRDefault="00001489" w:rsidP="00AE600B">
      <w:pPr>
        <w:pStyle w:val="ListParagraph"/>
        <w:rPr>
          <w:bCs/>
          <w:iCs/>
        </w:rPr>
      </w:pPr>
      <w:r w:rsidRPr="006A1948">
        <w:lastRenderedPageBreak/>
        <w:t>Ms. Rogers opined that the proposed consents conform to parts (</w:t>
      </w:r>
      <w:r w:rsidRPr="006A1948">
        <w:rPr>
          <w:bCs/>
        </w:rPr>
        <w:t>b), (d), and (e) of F.1.14.3.1</w:t>
      </w:r>
      <w:r w:rsidRPr="006A1948">
        <w:t xml:space="preserve"> and upon lifting the reserve block, will conform to part </w:t>
      </w:r>
      <w:r w:rsidRPr="006A1948">
        <w:rPr>
          <w:bCs/>
        </w:rPr>
        <w:t>(f).</w:t>
      </w:r>
    </w:p>
    <w:p w14:paraId="6659BE16" w14:textId="77777777" w:rsidR="00001489" w:rsidRPr="006A1948" w:rsidRDefault="00001489" w:rsidP="00AE600B">
      <w:pPr>
        <w:pStyle w:val="ListParagraph"/>
        <w:rPr>
          <w:bCs/>
          <w:iCs/>
        </w:rPr>
      </w:pPr>
      <w:r w:rsidRPr="006A1948">
        <w:t>Ms. Rogers further added that the proposed consents do not conform</w:t>
      </w:r>
      <w:r w:rsidRPr="006A1948">
        <w:rPr>
          <w:spacing w:val="-5"/>
        </w:rPr>
        <w:t xml:space="preserve"> </w:t>
      </w:r>
      <w:r w:rsidRPr="006A1948">
        <w:t>to</w:t>
      </w:r>
      <w:r w:rsidRPr="006A1948">
        <w:rPr>
          <w:spacing w:val="-5"/>
        </w:rPr>
        <w:t xml:space="preserve"> </w:t>
      </w:r>
      <w:r w:rsidRPr="006A1948">
        <w:t>F.1.14.3.1</w:t>
      </w:r>
      <w:r w:rsidRPr="006A1948">
        <w:rPr>
          <w:spacing w:val="-5"/>
        </w:rPr>
        <w:t xml:space="preserve"> </w:t>
      </w:r>
      <w:r w:rsidRPr="006A1948">
        <w:t>(c),</w:t>
      </w:r>
      <w:r w:rsidRPr="006A1948">
        <w:rPr>
          <w:spacing w:val="-7"/>
        </w:rPr>
        <w:t xml:space="preserve"> </w:t>
      </w:r>
      <w:r w:rsidRPr="006A1948">
        <w:t>as</w:t>
      </w:r>
      <w:r w:rsidRPr="006A1948">
        <w:rPr>
          <w:spacing w:val="-7"/>
        </w:rPr>
        <w:t xml:space="preserve"> </w:t>
      </w:r>
      <w:r w:rsidRPr="006A1948">
        <w:t>the</w:t>
      </w:r>
      <w:r w:rsidRPr="006A1948">
        <w:rPr>
          <w:spacing w:val="-7"/>
        </w:rPr>
        <w:t xml:space="preserve"> </w:t>
      </w:r>
      <w:r w:rsidRPr="006A1948">
        <w:t>lots</w:t>
      </w:r>
      <w:r w:rsidRPr="006A1948">
        <w:rPr>
          <w:spacing w:val="-9"/>
        </w:rPr>
        <w:t xml:space="preserve"> </w:t>
      </w:r>
      <w:r w:rsidRPr="006A1948">
        <w:t>are</w:t>
      </w:r>
      <w:r w:rsidRPr="006A1948">
        <w:rPr>
          <w:spacing w:val="-8"/>
        </w:rPr>
        <w:t xml:space="preserve"> </w:t>
      </w:r>
      <w:r w:rsidRPr="006A1948">
        <w:t>not</w:t>
      </w:r>
      <w:r w:rsidRPr="006A1948">
        <w:rPr>
          <w:spacing w:val="-8"/>
        </w:rPr>
        <w:t xml:space="preserve"> </w:t>
      </w:r>
      <w:r w:rsidRPr="006A1948">
        <w:t>in</w:t>
      </w:r>
      <w:r w:rsidRPr="006A1948">
        <w:rPr>
          <w:spacing w:val="-6"/>
        </w:rPr>
        <w:t xml:space="preserve"> </w:t>
      </w:r>
      <w:r w:rsidRPr="006A1948">
        <w:t>conformity</w:t>
      </w:r>
      <w:r w:rsidRPr="006A1948">
        <w:rPr>
          <w:spacing w:val="-9"/>
        </w:rPr>
        <w:t xml:space="preserve"> </w:t>
      </w:r>
      <w:r w:rsidRPr="006A1948">
        <w:t>with</w:t>
      </w:r>
      <w:r w:rsidRPr="006A1948">
        <w:rPr>
          <w:spacing w:val="-6"/>
        </w:rPr>
        <w:t xml:space="preserve"> </w:t>
      </w:r>
      <w:r w:rsidRPr="006A1948">
        <w:t>the</w:t>
      </w:r>
      <w:r w:rsidRPr="006A1948">
        <w:rPr>
          <w:spacing w:val="-6"/>
        </w:rPr>
        <w:t xml:space="preserve"> </w:t>
      </w:r>
      <w:r w:rsidRPr="006A1948">
        <w:t>Zoning</w:t>
      </w:r>
      <w:r w:rsidRPr="006A1948">
        <w:rPr>
          <w:spacing w:val="-8"/>
        </w:rPr>
        <w:t xml:space="preserve"> </w:t>
      </w:r>
      <w:r w:rsidRPr="006A1948">
        <w:t>By-law</w:t>
      </w:r>
      <w:r w:rsidRPr="006A1948">
        <w:rPr>
          <w:spacing w:val="-8"/>
        </w:rPr>
        <w:t xml:space="preserve"> </w:t>
      </w:r>
      <w:r w:rsidRPr="006A1948">
        <w:t>and</w:t>
      </w:r>
      <w:r w:rsidRPr="006A1948">
        <w:rPr>
          <w:spacing w:val="-6"/>
        </w:rPr>
        <w:t xml:space="preserve"> </w:t>
      </w:r>
      <w:r w:rsidRPr="006A1948">
        <w:t>the variances</w:t>
      </w:r>
      <w:r w:rsidRPr="006A1948">
        <w:rPr>
          <w:spacing w:val="-14"/>
        </w:rPr>
        <w:t xml:space="preserve"> </w:t>
      </w:r>
      <w:r w:rsidRPr="006A1948">
        <w:t>required</w:t>
      </w:r>
      <w:r w:rsidRPr="006A1948">
        <w:rPr>
          <w:spacing w:val="-13"/>
        </w:rPr>
        <w:t xml:space="preserve"> </w:t>
      </w:r>
      <w:r w:rsidRPr="006A1948">
        <w:t>to</w:t>
      </w:r>
      <w:r w:rsidRPr="006A1948">
        <w:rPr>
          <w:spacing w:val="-12"/>
        </w:rPr>
        <w:t xml:space="preserve"> </w:t>
      </w:r>
      <w:r w:rsidRPr="006A1948">
        <w:t>facilitate</w:t>
      </w:r>
      <w:r w:rsidRPr="006A1948">
        <w:rPr>
          <w:spacing w:val="-13"/>
        </w:rPr>
        <w:t xml:space="preserve"> </w:t>
      </w:r>
      <w:r w:rsidRPr="006A1948">
        <w:t>the</w:t>
      </w:r>
      <w:r w:rsidRPr="006A1948">
        <w:rPr>
          <w:spacing w:val="-12"/>
        </w:rPr>
        <w:t xml:space="preserve"> </w:t>
      </w:r>
      <w:r w:rsidRPr="006A1948">
        <w:t>consents</w:t>
      </w:r>
      <w:r w:rsidRPr="006A1948">
        <w:rPr>
          <w:spacing w:val="-13"/>
        </w:rPr>
        <w:t xml:space="preserve"> </w:t>
      </w:r>
      <w:r w:rsidRPr="006A1948">
        <w:t>do</w:t>
      </w:r>
      <w:r w:rsidRPr="006A1948">
        <w:rPr>
          <w:spacing w:val="-13"/>
        </w:rPr>
        <w:t xml:space="preserve"> </w:t>
      </w:r>
      <w:r w:rsidRPr="006A1948">
        <w:t>not</w:t>
      </w:r>
      <w:r w:rsidRPr="006A1948">
        <w:rPr>
          <w:spacing w:val="-15"/>
        </w:rPr>
        <w:t xml:space="preserve"> </w:t>
      </w:r>
      <w:r w:rsidRPr="006A1948">
        <w:t>meet</w:t>
      </w:r>
      <w:r w:rsidRPr="006A1948">
        <w:rPr>
          <w:spacing w:val="-13"/>
        </w:rPr>
        <w:t xml:space="preserve"> </w:t>
      </w:r>
      <w:r w:rsidRPr="006A1948">
        <w:t>the</w:t>
      </w:r>
      <w:r w:rsidRPr="006A1948">
        <w:rPr>
          <w:spacing w:val="-15"/>
        </w:rPr>
        <w:t xml:space="preserve"> </w:t>
      </w:r>
      <w:r w:rsidRPr="006A1948">
        <w:t>four</w:t>
      </w:r>
      <w:r w:rsidRPr="006A1948">
        <w:rPr>
          <w:spacing w:val="-15"/>
        </w:rPr>
        <w:t xml:space="preserve"> </w:t>
      </w:r>
      <w:r w:rsidRPr="006A1948">
        <w:t>tests</w:t>
      </w:r>
      <w:r w:rsidRPr="006A1948">
        <w:rPr>
          <w:spacing w:val="-13"/>
        </w:rPr>
        <w:t xml:space="preserve"> </w:t>
      </w:r>
      <w:r w:rsidRPr="006A1948">
        <w:t>of</w:t>
      </w:r>
      <w:r w:rsidRPr="006A1948">
        <w:rPr>
          <w:spacing w:val="-11"/>
        </w:rPr>
        <w:t xml:space="preserve"> </w:t>
      </w:r>
      <w:r w:rsidRPr="006A1948">
        <w:t>subsection</w:t>
      </w:r>
      <w:r w:rsidRPr="006A1948">
        <w:rPr>
          <w:spacing w:val="-12"/>
        </w:rPr>
        <w:t xml:space="preserve"> </w:t>
      </w:r>
      <w:r w:rsidRPr="006A1948">
        <w:t xml:space="preserve">45(1) of the </w:t>
      </w:r>
      <w:r w:rsidRPr="006A1948">
        <w:rPr>
          <w:i/>
        </w:rPr>
        <w:t xml:space="preserve"> </w:t>
      </w:r>
      <w:r w:rsidRPr="006A1948">
        <w:rPr>
          <w:iCs/>
        </w:rPr>
        <w:t>Act</w:t>
      </w:r>
      <w:r w:rsidRPr="006A1948">
        <w:rPr>
          <w:i/>
        </w:rPr>
        <w:t>.</w:t>
      </w:r>
    </w:p>
    <w:p w14:paraId="1BDE37D3" w14:textId="1391BFD6" w:rsidR="00001489" w:rsidRPr="00AE600B" w:rsidRDefault="00001489" w:rsidP="00AE600B">
      <w:pPr>
        <w:pStyle w:val="ListParagraph"/>
        <w:rPr>
          <w:rFonts w:cs="Times New Roman"/>
        </w:rPr>
      </w:pPr>
      <w:r w:rsidRPr="006A1948">
        <w:t>Ms. Rogers added that the proposed lots would more appropriately</w:t>
      </w:r>
      <w:r w:rsidRPr="006A1948">
        <w:rPr>
          <w:spacing w:val="-7"/>
        </w:rPr>
        <w:t xml:space="preserve"> </w:t>
      </w:r>
      <w:r w:rsidRPr="006A1948">
        <w:t>be</w:t>
      </w:r>
      <w:r w:rsidRPr="006A1948">
        <w:rPr>
          <w:spacing w:val="-5"/>
        </w:rPr>
        <w:t xml:space="preserve"> </w:t>
      </w:r>
      <w:r w:rsidRPr="006A1948">
        <w:t>assessed</w:t>
      </w:r>
      <w:r w:rsidRPr="006A1948">
        <w:rPr>
          <w:spacing w:val="-5"/>
        </w:rPr>
        <w:t xml:space="preserve"> </w:t>
      </w:r>
      <w:r w:rsidRPr="006A1948">
        <w:t>through</w:t>
      </w:r>
      <w:r w:rsidRPr="006A1948">
        <w:rPr>
          <w:spacing w:val="-6"/>
        </w:rPr>
        <w:t xml:space="preserve"> </w:t>
      </w:r>
      <w:r w:rsidRPr="006A1948">
        <w:t>a</w:t>
      </w:r>
      <w:r w:rsidRPr="006A1948">
        <w:rPr>
          <w:spacing w:val="-5"/>
        </w:rPr>
        <w:t xml:space="preserve"> </w:t>
      </w:r>
      <w:r w:rsidRPr="006A1948">
        <w:t>Zoning</w:t>
      </w:r>
      <w:r w:rsidRPr="006A1948">
        <w:rPr>
          <w:spacing w:val="-7"/>
        </w:rPr>
        <w:t xml:space="preserve"> </w:t>
      </w:r>
      <w:r w:rsidRPr="006A1948">
        <w:t>By-law</w:t>
      </w:r>
      <w:r w:rsidRPr="006A1948">
        <w:rPr>
          <w:spacing w:val="-6"/>
        </w:rPr>
        <w:t xml:space="preserve"> </w:t>
      </w:r>
      <w:r w:rsidRPr="006A1948">
        <w:t>Amendment</w:t>
      </w:r>
      <w:r w:rsidRPr="006A1948">
        <w:rPr>
          <w:spacing w:val="-6"/>
        </w:rPr>
        <w:t xml:space="preserve"> </w:t>
      </w:r>
      <w:r w:rsidRPr="006A1948">
        <w:t>application.</w:t>
      </w:r>
    </w:p>
    <w:p w14:paraId="5A945906" w14:textId="29F5D343" w:rsidR="00651D3C" w:rsidRPr="004D1712" w:rsidRDefault="00651D3C" w:rsidP="00AE600B">
      <w:pPr>
        <w:pStyle w:val="ListParagraph"/>
        <w:rPr>
          <w:bCs/>
          <w:iCs/>
        </w:rPr>
      </w:pPr>
      <w:r w:rsidRPr="004D1712">
        <w:t>The Tribunal is satisfied that the Applications for Consent have had regard for the criteria set out in s. 51(24) and s.</w:t>
      </w:r>
      <w:r>
        <w:t xml:space="preserve"> </w:t>
      </w:r>
      <w:r w:rsidRPr="004D1712">
        <w:t xml:space="preserve">2 of the Act.  There were no concerns identified with the criteria.  The applications will contribute to the provision of a full range of housing and represent orderly development.  The lands are appropriate for the applications and </w:t>
      </w:r>
      <w:r w:rsidR="007B102C">
        <w:t xml:space="preserve">the consents </w:t>
      </w:r>
      <w:r w:rsidRPr="004D1712">
        <w:t>conform to the Official Plan.</w:t>
      </w:r>
    </w:p>
    <w:p w14:paraId="637BAE63" w14:textId="55BFF78E" w:rsidR="00324C2A" w:rsidRPr="00AE600B" w:rsidRDefault="00324C2A" w:rsidP="00AE600B">
      <w:pPr>
        <w:rPr>
          <w:rFonts w:ascii="Arial" w:hAnsi="Arial" w:cs="Arial"/>
          <w:b/>
        </w:rPr>
      </w:pPr>
      <w:r w:rsidRPr="00AE600B">
        <w:rPr>
          <w:rFonts w:ascii="Arial" w:hAnsi="Arial" w:cs="Arial"/>
          <w:b/>
        </w:rPr>
        <w:t>ZONING BY-LAW NO. 6593, AS AMENDED</w:t>
      </w:r>
    </w:p>
    <w:p w14:paraId="16F059DB" w14:textId="695E4E86" w:rsidR="00651D3C" w:rsidRDefault="00411AA2" w:rsidP="007A505B">
      <w:pPr>
        <w:pStyle w:val="ListParagraph"/>
      </w:pPr>
      <w:r w:rsidRPr="00411AA2">
        <w:t xml:space="preserve">Through her testimony, Ms. </w:t>
      </w:r>
      <w:proofErr w:type="spellStart"/>
      <w:r w:rsidRPr="00411AA2">
        <w:t>Freiday</w:t>
      </w:r>
      <w:proofErr w:type="spellEnd"/>
      <w:r w:rsidRPr="00411AA2">
        <w:t xml:space="preserve"> informed the </w:t>
      </w:r>
      <w:r w:rsidR="00324C2A">
        <w:t>T</w:t>
      </w:r>
      <w:r w:rsidRPr="00411AA2">
        <w:t xml:space="preserve">ribunal </w:t>
      </w:r>
      <w:r w:rsidR="00324C2A">
        <w:t>t</w:t>
      </w:r>
      <w:r w:rsidRPr="00411AA2">
        <w:t>he Subject Lands remain zoned in the former City of Hamilton Z</w:t>
      </w:r>
      <w:r w:rsidR="00324C2A">
        <w:t xml:space="preserve">oning </w:t>
      </w:r>
      <w:r w:rsidRPr="00411AA2">
        <w:t>B</w:t>
      </w:r>
      <w:r w:rsidR="00324C2A">
        <w:t>y-law</w:t>
      </w:r>
      <w:r w:rsidRPr="00411AA2">
        <w:t xml:space="preserve"> No. 6593. This Z</w:t>
      </w:r>
      <w:r w:rsidR="00324C2A">
        <w:t xml:space="preserve">oning </w:t>
      </w:r>
      <w:r w:rsidRPr="00411AA2">
        <w:t>B</w:t>
      </w:r>
      <w:r w:rsidR="00324C2A">
        <w:t>y-law</w:t>
      </w:r>
      <w:r w:rsidRPr="00411AA2">
        <w:t xml:space="preserve"> was passed on July 25,</w:t>
      </w:r>
      <w:r w:rsidRPr="00324C2A">
        <w:rPr>
          <w:spacing w:val="-6"/>
        </w:rPr>
        <w:t xml:space="preserve"> </w:t>
      </w:r>
      <w:r w:rsidRPr="00411AA2">
        <w:t>1950.  The Office Consolidation of Zoning By-law No. 6593 on the City’s website is dated April 12,</w:t>
      </w:r>
      <w:r w:rsidRPr="00324C2A">
        <w:rPr>
          <w:spacing w:val="-1"/>
        </w:rPr>
        <w:t xml:space="preserve"> </w:t>
      </w:r>
      <w:r w:rsidRPr="00411AA2">
        <w:t>2019.</w:t>
      </w:r>
    </w:p>
    <w:p w14:paraId="04B0CAC0" w14:textId="787761D0" w:rsidR="00324C2A" w:rsidRDefault="00411AA2" w:rsidP="00AE600B">
      <w:pPr>
        <w:pStyle w:val="ListParagraph"/>
      </w:pPr>
      <w:r w:rsidRPr="00324C2A">
        <w:t>At the time the Subject Applications were submitted, the Subject Lands were zoned “B” (Suburban Agriculture and Residential, etc.) District.</w:t>
      </w:r>
    </w:p>
    <w:p w14:paraId="46ED3D9F" w14:textId="1D6D59DE" w:rsidR="00324C2A" w:rsidRDefault="00411AA2" w:rsidP="00AE600B">
      <w:pPr>
        <w:pStyle w:val="ListParagraph"/>
      </w:pPr>
      <w:r w:rsidRPr="00411AA2">
        <w:t xml:space="preserve">On December 11, 2019, City Council passed </w:t>
      </w:r>
      <w:r w:rsidR="00324C2A">
        <w:t xml:space="preserve">Zoning </w:t>
      </w:r>
      <w:r w:rsidRPr="00411AA2">
        <w:t>By-law No. 19-307. This By-law adds the Site-Specific notation S-1787 and S-1788 to 10</w:t>
      </w:r>
      <w:r w:rsidR="009B7F65">
        <w:t xml:space="preserve"> </w:t>
      </w:r>
      <w:r w:rsidRPr="00411AA2">
        <w:t>residential zones in the City within Wards 1, 8 and part of</w:t>
      </w:r>
      <w:r w:rsidRPr="00324C2A">
        <w:rPr>
          <w:spacing w:val="-3"/>
        </w:rPr>
        <w:t xml:space="preserve"> </w:t>
      </w:r>
      <w:r w:rsidRPr="00411AA2">
        <w:t>14.</w:t>
      </w:r>
    </w:p>
    <w:p w14:paraId="3C2B7522" w14:textId="3062CDF3" w:rsidR="00324C2A" w:rsidRDefault="00411AA2" w:rsidP="00AE600B">
      <w:pPr>
        <w:pStyle w:val="ListParagraph"/>
      </w:pPr>
      <w:r w:rsidRPr="00411AA2">
        <w:t xml:space="preserve">S-1787 and S-1788 modify regulations in Section 19 of the Zoning By-law to </w:t>
      </w:r>
      <w:r w:rsidRPr="00411AA2">
        <w:lastRenderedPageBreak/>
        <w:t>provide alternative zoning by-law standards on a temporary basis for three years to facilitate the creation of an accessory dwelling in single detached and two-family dwellings as part of the on-going Low Density Rental Housing Licensing Pilot Project and Zoning By-law Reform project. The Temporary Use By-law is intended to serve as a bridge between providing relief to existing regulations in an in-effect Zoning By-law (such as By-law No. 6593)</w:t>
      </w:r>
      <w:r w:rsidRPr="00324C2A">
        <w:rPr>
          <w:spacing w:val="-9"/>
        </w:rPr>
        <w:t xml:space="preserve"> </w:t>
      </w:r>
      <w:r w:rsidRPr="00411AA2">
        <w:t>and</w:t>
      </w:r>
      <w:r w:rsidRPr="00324C2A">
        <w:rPr>
          <w:spacing w:val="-8"/>
        </w:rPr>
        <w:t xml:space="preserve"> </w:t>
      </w:r>
      <w:r w:rsidRPr="00411AA2">
        <w:t>future</w:t>
      </w:r>
      <w:r w:rsidRPr="00324C2A">
        <w:rPr>
          <w:spacing w:val="-8"/>
        </w:rPr>
        <w:t xml:space="preserve"> </w:t>
      </w:r>
      <w:r w:rsidRPr="00411AA2">
        <w:t>regulations</w:t>
      </w:r>
      <w:r w:rsidRPr="00324C2A">
        <w:rPr>
          <w:spacing w:val="-8"/>
        </w:rPr>
        <w:t xml:space="preserve"> </w:t>
      </w:r>
      <w:r w:rsidRPr="00411AA2">
        <w:t>for</w:t>
      </w:r>
      <w:r w:rsidRPr="00324C2A">
        <w:rPr>
          <w:spacing w:val="-9"/>
        </w:rPr>
        <w:t xml:space="preserve"> </w:t>
      </w:r>
      <w:r w:rsidRPr="00411AA2">
        <w:t>Second</w:t>
      </w:r>
      <w:r w:rsidRPr="00324C2A">
        <w:rPr>
          <w:spacing w:val="-8"/>
        </w:rPr>
        <w:t xml:space="preserve"> </w:t>
      </w:r>
      <w:r w:rsidRPr="00411AA2">
        <w:t>Dwelling</w:t>
      </w:r>
      <w:r w:rsidRPr="00324C2A">
        <w:rPr>
          <w:spacing w:val="-8"/>
        </w:rPr>
        <w:t xml:space="preserve"> </w:t>
      </w:r>
      <w:r w:rsidRPr="00411AA2">
        <w:t>Units</w:t>
      </w:r>
      <w:r w:rsidRPr="00324C2A">
        <w:rPr>
          <w:spacing w:val="-8"/>
        </w:rPr>
        <w:t xml:space="preserve"> </w:t>
      </w:r>
      <w:r w:rsidRPr="00411AA2">
        <w:t>in</w:t>
      </w:r>
      <w:r w:rsidRPr="00324C2A">
        <w:rPr>
          <w:spacing w:val="-9"/>
        </w:rPr>
        <w:t xml:space="preserve"> </w:t>
      </w:r>
      <w:r w:rsidR="00324C2A">
        <w:t>the City</w:t>
      </w:r>
      <w:r w:rsidRPr="00324C2A">
        <w:rPr>
          <w:spacing w:val="-8"/>
        </w:rPr>
        <w:t xml:space="preserve"> </w:t>
      </w:r>
      <w:r w:rsidRPr="00411AA2">
        <w:t>Zoning</w:t>
      </w:r>
      <w:r w:rsidRPr="00324C2A">
        <w:rPr>
          <w:spacing w:val="-8"/>
        </w:rPr>
        <w:t xml:space="preserve"> </w:t>
      </w:r>
      <w:r w:rsidRPr="00411AA2">
        <w:t>By-law</w:t>
      </w:r>
      <w:r w:rsidRPr="00324C2A">
        <w:rPr>
          <w:spacing w:val="-8"/>
        </w:rPr>
        <w:t xml:space="preserve"> </w:t>
      </w:r>
      <w:r w:rsidRPr="00411AA2">
        <w:t>No.</w:t>
      </w:r>
      <w:r w:rsidRPr="00324C2A">
        <w:rPr>
          <w:spacing w:val="-8"/>
        </w:rPr>
        <w:t xml:space="preserve"> </w:t>
      </w:r>
      <w:r w:rsidRPr="00411AA2">
        <w:t xml:space="preserve">05-200. </w:t>
      </w:r>
    </w:p>
    <w:p w14:paraId="76412E43" w14:textId="6A1D052C" w:rsidR="00324C2A" w:rsidRDefault="00411AA2" w:rsidP="00AE600B">
      <w:pPr>
        <w:pStyle w:val="ListParagraph"/>
      </w:pPr>
      <w:r w:rsidRPr="00411AA2">
        <w:t>The Subject Lands are now zoned B/S-1788. The modification permits the conversion of single</w:t>
      </w:r>
      <w:r w:rsidRPr="00324C2A">
        <w:rPr>
          <w:spacing w:val="-8"/>
        </w:rPr>
        <w:t xml:space="preserve"> </w:t>
      </w:r>
      <w:r w:rsidRPr="00411AA2">
        <w:t>detached</w:t>
      </w:r>
      <w:r w:rsidRPr="00324C2A">
        <w:rPr>
          <w:spacing w:val="-8"/>
        </w:rPr>
        <w:t xml:space="preserve"> </w:t>
      </w:r>
      <w:r w:rsidRPr="00411AA2">
        <w:t>dwellings</w:t>
      </w:r>
      <w:r w:rsidRPr="00324C2A">
        <w:rPr>
          <w:spacing w:val="-7"/>
        </w:rPr>
        <w:t xml:space="preserve"> </w:t>
      </w:r>
      <w:r w:rsidRPr="00411AA2">
        <w:t>in</w:t>
      </w:r>
      <w:r w:rsidRPr="00324C2A">
        <w:rPr>
          <w:spacing w:val="-8"/>
        </w:rPr>
        <w:t xml:space="preserve"> </w:t>
      </w:r>
      <w:r w:rsidRPr="00411AA2">
        <w:t>the</w:t>
      </w:r>
      <w:r w:rsidRPr="00324C2A">
        <w:rPr>
          <w:spacing w:val="-7"/>
        </w:rPr>
        <w:t xml:space="preserve"> </w:t>
      </w:r>
      <w:r w:rsidRPr="00411AA2">
        <w:t>“B”</w:t>
      </w:r>
      <w:r w:rsidRPr="00324C2A">
        <w:rPr>
          <w:spacing w:val="-9"/>
        </w:rPr>
        <w:t xml:space="preserve"> </w:t>
      </w:r>
      <w:r w:rsidRPr="00411AA2">
        <w:t>District</w:t>
      </w:r>
      <w:r w:rsidRPr="00324C2A">
        <w:rPr>
          <w:spacing w:val="-7"/>
        </w:rPr>
        <w:t xml:space="preserve"> </w:t>
      </w:r>
      <w:r w:rsidRPr="00411AA2">
        <w:t>to</w:t>
      </w:r>
      <w:r w:rsidRPr="00324C2A">
        <w:rPr>
          <w:spacing w:val="-9"/>
        </w:rPr>
        <w:t xml:space="preserve"> </w:t>
      </w:r>
      <w:r w:rsidRPr="00411AA2">
        <w:t>include</w:t>
      </w:r>
      <w:r w:rsidRPr="00324C2A">
        <w:rPr>
          <w:spacing w:val="-7"/>
        </w:rPr>
        <w:t xml:space="preserve"> </w:t>
      </w:r>
      <w:r w:rsidRPr="00411AA2">
        <w:t>one</w:t>
      </w:r>
      <w:r w:rsidRPr="00324C2A">
        <w:rPr>
          <w:spacing w:val="-8"/>
        </w:rPr>
        <w:t xml:space="preserve"> </w:t>
      </w:r>
      <w:r w:rsidRPr="00411AA2">
        <w:t>additional</w:t>
      </w:r>
      <w:r w:rsidRPr="00324C2A">
        <w:rPr>
          <w:spacing w:val="-7"/>
        </w:rPr>
        <w:t xml:space="preserve"> </w:t>
      </w:r>
      <w:r w:rsidRPr="00411AA2">
        <w:t>dwelling</w:t>
      </w:r>
      <w:r w:rsidRPr="00324C2A">
        <w:rPr>
          <w:spacing w:val="-8"/>
        </w:rPr>
        <w:t xml:space="preserve"> </w:t>
      </w:r>
      <w:r w:rsidRPr="00411AA2">
        <w:t>unit,</w:t>
      </w:r>
      <w:r w:rsidRPr="00324C2A">
        <w:rPr>
          <w:spacing w:val="-7"/>
        </w:rPr>
        <w:t xml:space="preserve"> </w:t>
      </w:r>
      <w:r w:rsidRPr="00411AA2">
        <w:t xml:space="preserve">subject to regulations in Section 19 of Zoning By-law No. 6593. </w:t>
      </w:r>
      <w:r w:rsidRPr="00992C33">
        <w:rPr>
          <w:bCs/>
        </w:rPr>
        <w:t xml:space="preserve">Ms. </w:t>
      </w:r>
      <w:proofErr w:type="spellStart"/>
      <w:r w:rsidRPr="00992C33">
        <w:rPr>
          <w:bCs/>
        </w:rPr>
        <w:t>Freiday</w:t>
      </w:r>
      <w:proofErr w:type="spellEnd"/>
      <w:r w:rsidRPr="00992C33">
        <w:rPr>
          <w:bCs/>
        </w:rPr>
        <w:t xml:space="preserve"> </w:t>
      </w:r>
      <w:r w:rsidR="00321BC5">
        <w:rPr>
          <w:bCs/>
        </w:rPr>
        <w:t>cited</w:t>
      </w:r>
      <w:r w:rsidR="00321BC5" w:rsidRPr="00992C33">
        <w:rPr>
          <w:bCs/>
        </w:rPr>
        <w:t xml:space="preserve"> </w:t>
      </w:r>
      <w:r w:rsidR="0022692A">
        <w:rPr>
          <w:bCs/>
        </w:rPr>
        <w:t>as an</w:t>
      </w:r>
      <w:r w:rsidR="0022692A" w:rsidRPr="00992C33">
        <w:rPr>
          <w:bCs/>
        </w:rPr>
        <w:t xml:space="preserve"> </w:t>
      </w:r>
      <w:r w:rsidRPr="00992C33">
        <w:rPr>
          <w:bCs/>
        </w:rPr>
        <w:t>example, for conversion the minimum</w:t>
      </w:r>
      <w:r w:rsidRPr="00992C33">
        <w:rPr>
          <w:bCs/>
          <w:spacing w:val="-7"/>
        </w:rPr>
        <w:t xml:space="preserve"> </w:t>
      </w:r>
      <w:r w:rsidRPr="00992C33">
        <w:rPr>
          <w:bCs/>
        </w:rPr>
        <w:t>lot</w:t>
      </w:r>
      <w:r w:rsidRPr="00992C33">
        <w:rPr>
          <w:bCs/>
          <w:spacing w:val="-7"/>
        </w:rPr>
        <w:t xml:space="preserve"> </w:t>
      </w:r>
      <w:r w:rsidRPr="00992C33">
        <w:rPr>
          <w:bCs/>
        </w:rPr>
        <w:t>area</w:t>
      </w:r>
      <w:r w:rsidRPr="00992C33">
        <w:rPr>
          <w:bCs/>
          <w:spacing w:val="-7"/>
        </w:rPr>
        <w:t xml:space="preserve"> </w:t>
      </w:r>
      <w:r w:rsidRPr="00992C33">
        <w:rPr>
          <w:bCs/>
        </w:rPr>
        <w:t>had</w:t>
      </w:r>
      <w:r w:rsidRPr="00992C33">
        <w:rPr>
          <w:bCs/>
          <w:spacing w:val="-7"/>
        </w:rPr>
        <w:t xml:space="preserve"> </w:t>
      </w:r>
      <w:r w:rsidRPr="00992C33">
        <w:rPr>
          <w:bCs/>
        </w:rPr>
        <w:t>to</w:t>
      </w:r>
      <w:r w:rsidRPr="00992C33">
        <w:rPr>
          <w:bCs/>
          <w:spacing w:val="-7"/>
        </w:rPr>
        <w:t xml:space="preserve"> </w:t>
      </w:r>
      <w:r w:rsidRPr="00992C33">
        <w:rPr>
          <w:bCs/>
        </w:rPr>
        <w:t>be</w:t>
      </w:r>
      <w:r w:rsidRPr="00992C33">
        <w:rPr>
          <w:bCs/>
          <w:spacing w:val="-7"/>
        </w:rPr>
        <w:t xml:space="preserve"> </w:t>
      </w:r>
      <w:r w:rsidRPr="00992C33">
        <w:rPr>
          <w:bCs/>
        </w:rPr>
        <w:t>270</w:t>
      </w:r>
      <w:r w:rsidRPr="00992C33">
        <w:rPr>
          <w:bCs/>
          <w:spacing w:val="-7"/>
        </w:rPr>
        <w:t xml:space="preserve"> </w:t>
      </w:r>
      <w:proofErr w:type="spellStart"/>
      <w:r w:rsidRPr="00992C33">
        <w:rPr>
          <w:bCs/>
        </w:rPr>
        <w:t>sq</w:t>
      </w:r>
      <w:proofErr w:type="spellEnd"/>
      <w:r w:rsidR="004D1712">
        <w:rPr>
          <w:bCs/>
        </w:rPr>
        <w:t xml:space="preserve"> m</w:t>
      </w:r>
      <w:r w:rsidRPr="00992C33">
        <w:rPr>
          <w:bCs/>
        </w:rPr>
        <w:t>,</w:t>
      </w:r>
      <w:r w:rsidRPr="00992C33">
        <w:rPr>
          <w:bCs/>
          <w:spacing w:val="-7"/>
        </w:rPr>
        <w:t xml:space="preserve"> </w:t>
      </w:r>
      <w:r w:rsidRPr="00992C33">
        <w:rPr>
          <w:bCs/>
        </w:rPr>
        <w:t>but</w:t>
      </w:r>
      <w:r w:rsidRPr="00992C33">
        <w:rPr>
          <w:bCs/>
          <w:spacing w:val="-7"/>
        </w:rPr>
        <w:t xml:space="preserve"> </w:t>
      </w:r>
      <w:r w:rsidRPr="00992C33">
        <w:rPr>
          <w:bCs/>
        </w:rPr>
        <w:t>has</w:t>
      </w:r>
      <w:r w:rsidRPr="00992C33">
        <w:rPr>
          <w:bCs/>
          <w:spacing w:val="-7"/>
        </w:rPr>
        <w:t xml:space="preserve"> </w:t>
      </w:r>
      <w:r w:rsidRPr="00992C33">
        <w:rPr>
          <w:bCs/>
        </w:rPr>
        <w:t>now</w:t>
      </w:r>
      <w:r w:rsidRPr="00992C33">
        <w:rPr>
          <w:bCs/>
          <w:spacing w:val="-7"/>
        </w:rPr>
        <w:t xml:space="preserve"> </w:t>
      </w:r>
      <w:r w:rsidRPr="00992C33">
        <w:rPr>
          <w:bCs/>
        </w:rPr>
        <w:t>been</w:t>
      </w:r>
      <w:r w:rsidRPr="00992C33">
        <w:rPr>
          <w:bCs/>
          <w:spacing w:val="-5"/>
        </w:rPr>
        <w:t xml:space="preserve"> </w:t>
      </w:r>
      <w:r w:rsidRPr="00992C33">
        <w:rPr>
          <w:bCs/>
        </w:rPr>
        <w:t>changed</w:t>
      </w:r>
      <w:r w:rsidRPr="00992C33">
        <w:rPr>
          <w:bCs/>
          <w:spacing w:val="-7"/>
        </w:rPr>
        <w:t xml:space="preserve"> </w:t>
      </w:r>
      <w:r w:rsidRPr="00992C33">
        <w:rPr>
          <w:bCs/>
        </w:rPr>
        <w:t>to</w:t>
      </w:r>
      <w:r w:rsidRPr="00992C33">
        <w:rPr>
          <w:bCs/>
          <w:spacing w:val="-6"/>
        </w:rPr>
        <w:t xml:space="preserve"> </w:t>
      </w:r>
      <w:r w:rsidRPr="00992C33">
        <w:rPr>
          <w:bCs/>
        </w:rPr>
        <w:t>200</w:t>
      </w:r>
      <w:r w:rsidRPr="00992C33">
        <w:rPr>
          <w:bCs/>
          <w:spacing w:val="-7"/>
        </w:rPr>
        <w:t xml:space="preserve"> </w:t>
      </w:r>
      <w:proofErr w:type="spellStart"/>
      <w:r w:rsidRPr="00992C33">
        <w:rPr>
          <w:bCs/>
        </w:rPr>
        <w:t>sq</w:t>
      </w:r>
      <w:proofErr w:type="spellEnd"/>
      <w:r w:rsidR="004D1712">
        <w:rPr>
          <w:bCs/>
        </w:rPr>
        <w:t xml:space="preserve"> m</w:t>
      </w:r>
      <w:r w:rsidRPr="00992C33">
        <w:rPr>
          <w:bCs/>
        </w:rPr>
        <w:t>.</w:t>
      </w:r>
    </w:p>
    <w:p w14:paraId="4394CAD1" w14:textId="5A834767" w:rsidR="00324C2A" w:rsidRDefault="00411AA2" w:rsidP="00AE600B">
      <w:pPr>
        <w:pStyle w:val="ListParagraph"/>
        <w:rPr>
          <w:bCs/>
        </w:rPr>
      </w:pPr>
      <w:r w:rsidRPr="00411AA2">
        <w:t xml:space="preserve">Ms. </w:t>
      </w:r>
      <w:proofErr w:type="spellStart"/>
      <w:r w:rsidRPr="00411AA2">
        <w:t>Frieday</w:t>
      </w:r>
      <w:proofErr w:type="spellEnd"/>
      <w:r w:rsidRPr="00411AA2">
        <w:t xml:space="preserve"> opined, given that this modification applies to the “B” District, it is recognized that lands that remain zoned “B” District in the urban area may in fact be considerably</w:t>
      </w:r>
      <w:r w:rsidRPr="00324C2A">
        <w:rPr>
          <w:spacing w:val="-33"/>
        </w:rPr>
        <w:t xml:space="preserve"> </w:t>
      </w:r>
      <w:r w:rsidRPr="00411AA2">
        <w:t xml:space="preserve">smaller than 1,100 </w:t>
      </w:r>
      <w:proofErr w:type="spellStart"/>
      <w:r w:rsidRPr="00411AA2">
        <w:t>sq</w:t>
      </w:r>
      <w:proofErr w:type="spellEnd"/>
      <w:r w:rsidR="00324C2A">
        <w:t xml:space="preserve"> m</w:t>
      </w:r>
      <w:r w:rsidRPr="00411AA2">
        <w:t xml:space="preserve"> and some may be 200 </w:t>
      </w:r>
      <w:proofErr w:type="spellStart"/>
      <w:r w:rsidRPr="00411AA2">
        <w:t>sq</w:t>
      </w:r>
      <w:proofErr w:type="spellEnd"/>
      <w:r w:rsidR="00324C2A">
        <w:t xml:space="preserve"> m</w:t>
      </w:r>
      <w:r w:rsidRPr="00411AA2">
        <w:t xml:space="preserve">. </w:t>
      </w:r>
      <w:r w:rsidRPr="00992C33">
        <w:rPr>
          <w:bCs/>
        </w:rPr>
        <w:t xml:space="preserve">Therefore, smaller lots, 200 </w:t>
      </w:r>
      <w:proofErr w:type="spellStart"/>
      <w:r w:rsidRPr="00992C33">
        <w:rPr>
          <w:bCs/>
        </w:rPr>
        <w:t>sq</w:t>
      </w:r>
      <w:proofErr w:type="spellEnd"/>
      <w:r w:rsidR="00324C2A" w:rsidRPr="00992C33">
        <w:rPr>
          <w:bCs/>
        </w:rPr>
        <w:t xml:space="preserve"> m</w:t>
      </w:r>
      <w:r w:rsidRPr="00992C33">
        <w:rPr>
          <w:bCs/>
        </w:rPr>
        <w:t xml:space="preserve"> and above, meet the lot area criterion for a residential</w:t>
      </w:r>
      <w:r w:rsidRPr="00992C33">
        <w:rPr>
          <w:bCs/>
          <w:spacing w:val="-12"/>
        </w:rPr>
        <w:t xml:space="preserve"> </w:t>
      </w:r>
      <w:r w:rsidRPr="00992C33">
        <w:rPr>
          <w:bCs/>
        </w:rPr>
        <w:t>conversion</w:t>
      </w:r>
      <w:r w:rsidRPr="00324C2A">
        <w:rPr>
          <w:bCs/>
        </w:rPr>
        <w:t>.</w:t>
      </w:r>
    </w:p>
    <w:p w14:paraId="0B8159A7" w14:textId="79572DBB" w:rsidR="00324C2A" w:rsidRDefault="00411AA2" w:rsidP="00AE600B">
      <w:pPr>
        <w:pStyle w:val="ListParagraph"/>
        <w:rPr>
          <w:bCs/>
        </w:rPr>
      </w:pPr>
      <w:r w:rsidRPr="00411AA2">
        <w:t>Subsection</w:t>
      </w:r>
      <w:r w:rsidRPr="00324C2A">
        <w:rPr>
          <w:spacing w:val="-12"/>
        </w:rPr>
        <w:t xml:space="preserve"> </w:t>
      </w:r>
      <w:r w:rsidRPr="00411AA2">
        <w:t>8(1)</w:t>
      </w:r>
      <w:r w:rsidRPr="00324C2A">
        <w:rPr>
          <w:spacing w:val="-10"/>
        </w:rPr>
        <w:t xml:space="preserve"> </w:t>
      </w:r>
      <w:r w:rsidRPr="00411AA2">
        <w:t>of</w:t>
      </w:r>
      <w:r w:rsidRPr="00324C2A">
        <w:rPr>
          <w:spacing w:val="-11"/>
        </w:rPr>
        <w:t xml:space="preserve"> </w:t>
      </w:r>
      <w:r w:rsidRPr="00411AA2">
        <w:t>Zoning</w:t>
      </w:r>
      <w:r w:rsidRPr="00324C2A">
        <w:rPr>
          <w:spacing w:val="-9"/>
        </w:rPr>
        <w:t xml:space="preserve"> </w:t>
      </w:r>
      <w:r w:rsidRPr="00411AA2">
        <w:t>By-law</w:t>
      </w:r>
      <w:r w:rsidRPr="00324C2A">
        <w:rPr>
          <w:spacing w:val="-10"/>
        </w:rPr>
        <w:t xml:space="preserve"> </w:t>
      </w:r>
      <w:r w:rsidRPr="00411AA2">
        <w:t>No.</w:t>
      </w:r>
      <w:r w:rsidRPr="00324C2A">
        <w:rPr>
          <w:spacing w:val="-11"/>
        </w:rPr>
        <w:t xml:space="preserve"> </w:t>
      </w:r>
      <w:r w:rsidRPr="00411AA2">
        <w:t>6593,</w:t>
      </w:r>
      <w:r w:rsidRPr="00324C2A">
        <w:rPr>
          <w:spacing w:val="-10"/>
        </w:rPr>
        <w:t xml:space="preserve"> </w:t>
      </w:r>
      <w:r w:rsidRPr="00411AA2">
        <w:t>titled</w:t>
      </w:r>
      <w:r w:rsidRPr="00324C2A">
        <w:rPr>
          <w:spacing w:val="-10"/>
        </w:rPr>
        <w:t xml:space="preserve"> </w:t>
      </w:r>
      <w:r w:rsidRPr="00411AA2">
        <w:t>Requirements</w:t>
      </w:r>
      <w:r w:rsidRPr="00324C2A">
        <w:rPr>
          <w:spacing w:val="-11"/>
        </w:rPr>
        <w:t xml:space="preserve"> </w:t>
      </w:r>
      <w:r w:rsidRPr="00411AA2">
        <w:t>as</w:t>
      </w:r>
      <w:r w:rsidRPr="00324C2A">
        <w:rPr>
          <w:spacing w:val="-10"/>
        </w:rPr>
        <w:t xml:space="preserve"> </w:t>
      </w:r>
      <w:r w:rsidRPr="00411AA2">
        <w:t>to</w:t>
      </w:r>
      <w:r w:rsidRPr="00324C2A">
        <w:rPr>
          <w:spacing w:val="-9"/>
        </w:rPr>
        <w:t xml:space="preserve"> </w:t>
      </w:r>
      <w:r w:rsidRPr="00411AA2">
        <w:t>Use,</w:t>
      </w:r>
      <w:r w:rsidRPr="00324C2A">
        <w:rPr>
          <w:spacing w:val="-9"/>
        </w:rPr>
        <w:t xml:space="preserve"> </w:t>
      </w:r>
      <w:r w:rsidRPr="00411AA2">
        <w:t>states</w:t>
      </w:r>
      <w:r w:rsidRPr="00324C2A">
        <w:rPr>
          <w:spacing w:val="-10"/>
        </w:rPr>
        <w:t xml:space="preserve"> </w:t>
      </w:r>
      <w:r w:rsidRPr="00411AA2">
        <w:t>that</w:t>
      </w:r>
      <w:r w:rsidRPr="00324C2A">
        <w:rPr>
          <w:spacing w:val="-9"/>
        </w:rPr>
        <w:t xml:space="preserve"> </w:t>
      </w:r>
      <w:r w:rsidRPr="00411AA2">
        <w:t>the residential uses permitted in the “B” District include a single detached dwelling, a foster home, a residential care facility and a retirement</w:t>
      </w:r>
      <w:r w:rsidRPr="00324C2A">
        <w:rPr>
          <w:spacing w:val="-4"/>
        </w:rPr>
        <w:t xml:space="preserve"> </w:t>
      </w:r>
      <w:r w:rsidRPr="00411AA2">
        <w:t>home.</w:t>
      </w:r>
    </w:p>
    <w:p w14:paraId="37FE3B85" w14:textId="2F3E2194" w:rsidR="00970B36" w:rsidRPr="00970B36" w:rsidRDefault="00411AA2" w:rsidP="00AE600B">
      <w:pPr>
        <w:pStyle w:val="ListParagraph"/>
        <w:rPr>
          <w:bCs/>
        </w:rPr>
      </w:pPr>
      <w:r w:rsidRPr="00411AA2">
        <w:t>The</w:t>
      </w:r>
      <w:r w:rsidRPr="00324C2A">
        <w:rPr>
          <w:spacing w:val="-8"/>
        </w:rPr>
        <w:t xml:space="preserve"> </w:t>
      </w:r>
      <w:r w:rsidRPr="00411AA2">
        <w:t>following</w:t>
      </w:r>
      <w:r w:rsidRPr="00324C2A">
        <w:rPr>
          <w:spacing w:val="-8"/>
        </w:rPr>
        <w:t xml:space="preserve"> </w:t>
      </w:r>
      <w:r w:rsidRPr="00411AA2">
        <w:t>“B”</w:t>
      </w:r>
      <w:r w:rsidRPr="00324C2A">
        <w:rPr>
          <w:spacing w:val="-8"/>
        </w:rPr>
        <w:t xml:space="preserve"> </w:t>
      </w:r>
      <w:r w:rsidRPr="00411AA2">
        <w:t>District</w:t>
      </w:r>
      <w:r w:rsidRPr="00324C2A">
        <w:rPr>
          <w:spacing w:val="-9"/>
        </w:rPr>
        <w:t xml:space="preserve"> </w:t>
      </w:r>
      <w:r w:rsidRPr="00411AA2">
        <w:t>development</w:t>
      </w:r>
      <w:r w:rsidRPr="00324C2A">
        <w:rPr>
          <w:spacing w:val="-8"/>
        </w:rPr>
        <w:t xml:space="preserve"> </w:t>
      </w:r>
      <w:r w:rsidRPr="00411AA2">
        <w:t>standards</w:t>
      </w:r>
      <w:r w:rsidRPr="00324C2A">
        <w:rPr>
          <w:spacing w:val="-8"/>
        </w:rPr>
        <w:t xml:space="preserve"> </w:t>
      </w:r>
      <w:r w:rsidRPr="00411AA2">
        <w:t>apply</w:t>
      </w:r>
      <w:r w:rsidRPr="00324C2A">
        <w:rPr>
          <w:spacing w:val="-7"/>
        </w:rPr>
        <w:t xml:space="preserve"> </w:t>
      </w:r>
      <w:r w:rsidRPr="00411AA2">
        <w:t>(Section</w:t>
      </w:r>
      <w:r w:rsidRPr="00324C2A">
        <w:rPr>
          <w:spacing w:val="-10"/>
        </w:rPr>
        <w:t xml:space="preserve"> </w:t>
      </w:r>
      <w:r w:rsidRPr="00411AA2">
        <w:t>8,</w:t>
      </w:r>
      <w:r w:rsidRPr="00324C2A">
        <w:rPr>
          <w:spacing w:val="-8"/>
        </w:rPr>
        <w:t xml:space="preserve"> </w:t>
      </w:r>
      <w:r w:rsidRPr="00411AA2">
        <w:t>Subsection</w:t>
      </w:r>
      <w:r w:rsidRPr="00324C2A">
        <w:rPr>
          <w:spacing w:val="-7"/>
        </w:rPr>
        <w:t xml:space="preserve"> </w:t>
      </w:r>
      <w:r w:rsidRPr="00411AA2">
        <w:t>(2),</w:t>
      </w:r>
      <w:r w:rsidRPr="00324C2A">
        <w:rPr>
          <w:spacing w:val="-10"/>
        </w:rPr>
        <w:t xml:space="preserve"> </w:t>
      </w:r>
      <w:r w:rsidRPr="00411AA2">
        <w:t>(3)</w:t>
      </w:r>
      <w:r w:rsidRPr="00324C2A">
        <w:rPr>
          <w:spacing w:val="-10"/>
        </w:rPr>
        <w:t xml:space="preserve"> </w:t>
      </w:r>
      <w:r w:rsidRPr="00411AA2">
        <w:t>and (4)</w:t>
      </w:r>
      <w:r w:rsidR="00324C2A">
        <w:rPr>
          <w:bCs/>
        </w:rPr>
        <w:t xml:space="preserve"> </w:t>
      </w:r>
      <w:r w:rsidRPr="00411AA2">
        <w:t>of Zoning By-law No.</w:t>
      </w:r>
      <w:r w:rsidRPr="00324C2A">
        <w:rPr>
          <w:spacing w:val="-1"/>
        </w:rPr>
        <w:t xml:space="preserve"> </w:t>
      </w:r>
      <w:r w:rsidRPr="00411AA2">
        <w:t>6593):</w:t>
      </w:r>
    </w:p>
    <w:p w14:paraId="3C0742C5" w14:textId="687A7592" w:rsidR="00970B36" w:rsidRPr="00411AA2" w:rsidRDefault="00970B36" w:rsidP="00353B7C">
      <w:pPr>
        <w:pStyle w:val="ListParagraph"/>
        <w:numPr>
          <w:ilvl w:val="0"/>
          <w:numId w:val="7"/>
        </w:numPr>
        <w:ind w:left="1134"/>
      </w:pPr>
      <w:r w:rsidRPr="00411AA2">
        <w:t xml:space="preserve">a minimum lot area of at least 1,100 </w:t>
      </w:r>
      <w:proofErr w:type="spellStart"/>
      <w:r w:rsidRPr="00411AA2">
        <w:t>sq</w:t>
      </w:r>
      <w:proofErr w:type="spellEnd"/>
      <w:r>
        <w:t xml:space="preserve"> </w:t>
      </w:r>
      <w:proofErr w:type="gramStart"/>
      <w:r>
        <w:t>m</w:t>
      </w:r>
      <w:r w:rsidRPr="00411AA2">
        <w:t>;</w:t>
      </w:r>
      <w:proofErr w:type="gramEnd"/>
    </w:p>
    <w:p w14:paraId="7D99550E" w14:textId="3CFD43D2" w:rsidR="00970B36" w:rsidRPr="00411AA2" w:rsidRDefault="00970B36" w:rsidP="00353B7C">
      <w:pPr>
        <w:pStyle w:val="ListParagraph"/>
        <w:numPr>
          <w:ilvl w:val="0"/>
          <w:numId w:val="7"/>
        </w:numPr>
        <w:ind w:left="1134"/>
      </w:pPr>
      <w:r w:rsidRPr="00411AA2">
        <w:t>a minimum lot width of at least 20</w:t>
      </w:r>
      <w:r w:rsidRPr="00324C2A">
        <w:rPr>
          <w:spacing w:val="-1"/>
        </w:rPr>
        <w:t xml:space="preserve"> </w:t>
      </w:r>
      <w:proofErr w:type="gramStart"/>
      <w:r w:rsidRPr="00411AA2">
        <w:t>m;</w:t>
      </w:r>
      <w:proofErr w:type="gramEnd"/>
    </w:p>
    <w:p w14:paraId="7E6103F3" w14:textId="68E485F1" w:rsidR="00970B36" w:rsidRPr="00411AA2" w:rsidRDefault="00970B36" w:rsidP="00353B7C">
      <w:pPr>
        <w:pStyle w:val="ListParagraph"/>
        <w:numPr>
          <w:ilvl w:val="0"/>
          <w:numId w:val="7"/>
        </w:numPr>
        <w:ind w:left="1134"/>
      </w:pPr>
      <w:r w:rsidRPr="00411AA2">
        <w:t>a minimum front yard depth of at least 12</w:t>
      </w:r>
      <w:r w:rsidRPr="00324C2A">
        <w:rPr>
          <w:spacing w:val="-2"/>
        </w:rPr>
        <w:t xml:space="preserve"> </w:t>
      </w:r>
      <w:proofErr w:type="gramStart"/>
      <w:r w:rsidRPr="00411AA2">
        <w:t>m;</w:t>
      </w:r>
      <w:proofErr w:type="gramEnd"/>
    </w:p>
    <w:p w14:paraId="6AE189DF" w14:textId="1162E582" w:rsidR="00970B36" w:rsidRPr="00411AA2" w:rsidRDefault="00970B36" w:rsidP="00353B7C">
      <w:pPr>
        <w:pStyle w:val="ListParagraph"/>
        <w:numPr>
          <w:ilvl w:val="0"/>
          <w:numId w:val="7"/>
        </w:numPr>
        <w:ind w:left="1134"/>
      </w:pPr>
      <w:r w:rsidRPr="00411AA2">
        <w:lastRenderedPageBreak/>
        <w:t>a minimum rear yard depth of at least 9</w:t>
      </w:r>
      <w:r w:rsidRPr="00324C2A">
        <w:rPr>
          <w:spacing w:val="-2"/>
        </w:rPr>
        <w:t xml:space="preserve"> </w:t>
      </w:r>
      <w:proofErr w:type="gramStart"/>
      <w:r w:rsidRPr="00411AA2">
        <w:t>m;</w:t>
      </w:r>
      <w:proofErr w:type="gramEnd"/>
    </w:p>
    <w:p w14:paraId="69730EF2" w14:textId="3FB14197" w:rsidR="00970B36" w:rsidRDefault="00970B36" w:rsidP="00353B7C">
      <w:pPr>
        <w:pStyle w:val="ListParagraph"/>
        <w:numPr>
          <w:ilvl w:val="0"/>
          <w:numId w:val="7"/>
        </w:numPr>
        <w:ind w:left="1134"/>
      </w:pPr>
      <w:r w:rsidRPr="00411AA2">
        <w:t>a minimum side yard depth of at least 3 m;</w:t>
      </w:r>
      <w:r w:rsidRPr="00324C2A">
        <w:rPr>
          <w:spacing w:val="-1"/>
        </w:rPr>
        <w:t xml:space="preserve"> </w:t>
      </w:r>
      <w:r w:rsidRPr="00411AA2">
        <w:t>and,</w:t>
      </w:r>
    </w:p>
    <w:p w14:paraId="7E113925" w14:textId="0E2E1FB7" w:rsidR="00970B36" w:rsidRPr="00411AA2" w:rsidRDefault="00970B36" w:rsidP="00353B7C">
      <w:pPr>
        <w:pStyle w:val="ListParagraph"/>
        <w:numPr>
          <w:ilvl w:val="0"/>
          <w:numId w:val="7"/>
        </w:numPr>
        <w:ind w:left="1134"/>
      </w:pPr>
      <w:r w:rsidRPr="00411AA2">
        <w:t xml:space="preserve">a maximum height of 2.5 </w:t>
      </w:r>
      <w:proofErr w:type="spellStart"/>
      <w:r w:rsidRPr="00411AA2">
        <w:t>storeys</w:t>
      </w:r>
      <w:proofErr w:type="spellEnd"/>
      <w:r w:rsidRPr="00411AA2">
        <w:t xml:space="preserve"> (11</w:t>
      </w:r>
      <w:r w:rsidRPr="00970B36">
        <w:rPr>
          <w:spacing w:val="-2"/>
        </w:rPr>
        <w:t xml:space="preserve"> </w:t>
      </w:r>
      <w:r w:rsidRPr="00411AA2">
        <w:t>m).</w:t>
      </w:r>
    </w:p>
    <w:p w14:paraId="4F9CBB78" w14:textId="77777777" w:rsidR="00970B36" w:rsidRDefault="00411AA2" w:rsidP="00AE600B">
      <w:pPr>
        <w:pStyle w:val="ListParagraph"/>
        <w:rPr>
          <w:bCs/>
        </w:rPr>
      </w:pPr>
      <w:r w:rsidRPr="00411AA2">
        <w:t xml:space="preserve">In Ms. </w:t>
      </w:r>
      <w:proofErr w:type="spellStart"/>
      <w:r w:rsidRPr="00411AA2">
        <w:t>Frieday’s</w:t>
      </w:r>
      <w:proofErr w:type="spellEnd"/>
      <w:r w:rsidRPr="00411AA2">
        <w:t xml:space="preserve"> opinion, given the </w:t>
      </w:r>
      <w:proofErr w:type="gramStart"/>
      <w:r w:rsidRPr="00411AA2">
        <w:t>up-to-date</w:t>
      </w:r>
      <w:proofErr w:type="gramEnd"/>
      <w:r w:rsidRPr="00411AA2">
        <w:t xml:space="preserve"> UHOP policies in 2020, the development standards for the “B” District are not appropriate for the Subject Lands, especially given the immediate</w:t>
      </w:r>
      <w:r w:rsidRPr="00970B36">
        <w:rPr>
          <w:spacing w:val="-1"/>
        </w:rPr>
        <w:t xml:space="preserve"> </w:t>
      </w:r>
      <w:r w:rsidRPr="00411AA2">
        <w:t>context.</w:t>
      </w:r>
    </w:p>
    <w:p w14:paraId="6E160C87" w14:textId="77777777" w:rsidR="00970B36" w:rsidRDefault="00411AA2" w:rsidP="00AE600B">
      <w:pPr>
        <w:pStyle w:val="ListParagraph"/>
        <w:rPr>
          <w:bCs/>
        </w:rPr>
      </w:pPr>
      <w:r w:rsidRPr="00411AA2">
        <w:t xml:space="preserve">Ms. </w:t>
      </w:r>
      <w:proofErr w:type="spellStart"/>
      <w:r w:rsidRPr="00411AA2">
        <w:t>Frieday</w:t>
      </w:r>
      <w:proofErr w:type="spellEnd"/>
      <w:r w:rsidRPr="00411AA2">
        <w:t xml:space="preserve"> submitted that the test for a minor variance in terms of the Zoning By-law is whether the “general intent and</w:t>
      </w:r>
      <w:r w:rsidRPr="00970B36">
        <w:rPr>
          <w:spacing w:val="15"/>
        </w:rPr>
        <w:t xml:space="preserve"> </w:t>
      </w:r>
      <w:r w:rsidRPr="00411AA2">
        <w:t>purpose”</w:t>
      </w:r>
      <w:r w:rsidRPr="00970B36">
        <w:rPr>
          <w:spacing w:val="16"/>
        </w:rPr>
        <w:t xml:space="preserve"> </w:t>
      </w:r>
      <w:r w:rsidRPr="00411AA2">
        <w:t>of</w:t>
      </w:r>
      <w:r w:rsidRPr="00970B36">
        <w:rPr>
          <w:spacing w:val="16"/>
        </w:rPr>
        <w:t xml:space="preserve"> </w:t>
      </w:r>
      <w:r w:rsidRPr="00411AA2">
        <w:t>the</w:t>
      </w:r>
      <w:r w:rsidRPr="00970B36">
        <w:rPr>
          <w:spacing w:val="16"/>
        </w:rPr>
        <w:t xml:space="preserve"> </w:t>
      </w:r>
      <w:r w:rsidRPr="00411AA2">
        <w:t>Zoning</w:t>
      </w:r>
      <w:r w:rsidRPr="00970B36">
        <w:rPr>
          <w:spacing w:val="16"/>
        </w:rPr>
        <w:t xml:space="preserve"> </w:t>
      </w:r>
      <w:r w:rsidRPr="00411AA2">
        <w:t>By-law</w:t>
      </w:r>
      <w:r w:rsidRPr="00970B36">
        <w:rPr>
          <w:spacing w:val="16"/>
        </w:rPr>
        <w:t xml:space="preserve"> </w:t>
      </w:r>
      <w:r w:rsidRPr="00411AA2">
        <w:t>is</w:t>
      </w:r>
      <w:r w:rsidRPr="00970B36">
        <w:rPr>
          <w:spacing w:val="16"/>
        </w:rPr>
        <w:t xml:space="preserve"> </w:t>
      </w:r>
      <w:r w:rsidRPr="00411AA2">
        <w:t>maintained.</w:t>
      </w:r>
      <w:r w:rsidRPr="00970B36">
        <w:rPr>
          <w:spacing w:val="16"/>
        </w:rPr>
        <w:t xml:space="preserve"> </w:t>
      </w:r>
      <w:r w:rsidRPr="00411AA2">
        <w:t>In</w:t>
      </w:r>
      <w:r w:rsidRPr="00970B36">
        <w:rPr>
          <w:spacing w:val="16"/>
        </w:rPr>
        <w:t xml:space="preserve"> her </w:t>
      </w:r>
      <w:r w:rsidRPr="00411AA2">
        <w:t>opinion,</w:t>
      </w:r>
      <w:r w:rsidRPr="00970B36">
        <w:rPr>
          <w:spacing w:val="17"/>
        </w:rPr>
        <w:t xml:space="preserve"> </w:t>
      </w:r>
      <w:r w:rsidRPr="00411AA2">
        <w:t>the</w:t>
      </w:r>
      <w:r w:rsidRPr="00970B36">
        <w:rPr>
          <w:spacing w:val="14"/>
        </w:rPr>
        <w:t xml:space="preserve"> </w:t>
      </w:r>
      <w:r w:rsidRPr="00411AA2">
        <w:t>general</w:t>
      </w:r>
      <w:r w:rsidRPr="00970B36">
        <w:rPr>
          <w:spacing w:val="16"/>
        </w:rPr>
        <w:t xml:space="preserve"> </w:t>
      </w:r>
      <w:r w:rsidRPr="00411AA2">
        <w:t>intent</w:t>
      </w:r>
      <w:r w:rsidRPr="00970B36">
        <w:rPr>
          <w:spacing w:val="16"/>
        </w:rPr>
        <w:t xml:space="preserve"> </w:t>
      </w:r>
      <w:r w:rsidRPr="00411AA2">
        <w:t xml:space="preserve">and purpose of the Zoning By-law for the Subject Lands is to provide for single detached dwellings that are compatible with other residential uses in the area, along with other compatible uses. </w:t>
      </w:r>
    </w:p>
    <w:p w14:paraId="1B6F3286" w14:textId="6BA0FDE2" w:rsidR="00651D3C" w:rsidRPr="007A505B" w:rsidRDefault="00411AA2" w:rsidP="007A505B">
      <w:pPr>
        <w:pStyle w:val="ListParagraph"/>
        <w:rPr>
          <w:bCs/>
        </w:rPr>
      </w:pPr>
      <w:r w:rsidRPr="00411AA2">
        <w:t xml:space="preserve">Ms. </w:t>
      </w:r>
      <w:proofErr w:type="spellStart"/>
      <w:r w:rsidRPr="00411AA2">
        <w:t>Frieday</w:t>
      </w:r>
      <w:proofErr w:type="spellEnd"/>
      <w:r w:rsidRPr="00411AA2">
        <w:t xml:space="preserve"> opined, the variances clearly maintain that general intent and purpose of the Zoning By-law.</w:t>
      </w:r>
    </w:p>
    <w:p w14:paraId="5C0170B8" w14:textId="1DB3F29D" w:rsidR="00970B36" w:rsidRDefault="00411AA2" w:rsidP="00AE600B">
      <w:pPr>
        <w:pStyle w:val="ListParagraph"/>
        <w:rPr>
          <w:bCs/>
        </w:rPr>
      </w:pPr>
      <w:r w:rsidRPr="00411AA2">
        <w:t xml:space="preserve">Ms. </w:t>
      </w:r>
      <w:proofErr w:type="spellStart"/>
      <w:r w:rsidRPr="00411AA2">
        <w:t>Frieday</w:t>
      </w:r>
      <w:proofErr w:type="spellEnd"/>
      <w:r w:rsidRPr="00411AA2">
        <w:t xml:space="preserve"> further submitted that the consents</w:t>
      </w:r>
      <w:r w:rsidRPr="00970B36">
        <w:rPr>
          <w:spacing w:val="-9"/>
        </w:rPr>
        <w:t xml:space="preserve"> </w:t>
      </w:r>
      <w:r w:rsidRPr="00411AA2">
        <w:t>and</w:t>
      </w:r>
      <w:r w:rsidRPr="00970B36">
        <w:rPr>
          <w:spacing w:val="-8"/>
        </w:rPr>
        <w:t xml:space="preserve"> </w:t>
      </w:r>
      <w:r w:rsidRPr="00411AA2">
        <w:t>variances</w:t>
      </w:r>
      <w:r w:rsidRPr="00970B36">
        <w:rPr>
          <w:spacing w:val="-9"/>
        </w:rPr>
        <w:t xml:space="preserve"> </w:t>
      </w:r>
      <w:r w:rsidRPr="00411AA2">
        <w:t>will</w:t>
      </w:r>
      <w:r w:rsidRPr="00970B36">
        <w:rPr>
          <w:spacing w:val="-9"/>
        </w:rPr>
        <w:t xml:space="preserve"> </w:t>
      </w:r>
      <w:r w:rsidRPr="00411AA2">
        <w:t>continue</w:t>
      </w:r>
      <w:r w:rsidRPr="00970B36">
        <w:rPr>
          <w:spacing w:val="-8"/>
        </w:rPr>
        <w:t xml:space="preserve"> </w:t>
      </w:r>
      <w:r w:rsidRPr="00411AA2">
        <w:t>to</w:t>
      </w:r>
      <w:r w:rsidRPr="00970B36">
        <w:rPr>
          <w:spacing w:val="-9"/>
        </w:rPr>
        <w:t xml:space="preserve"> </w:t>
      </w:r>
      <w:r w:rsidRPr="00411AA2">
        <w:t>provide</w:t>
      </w:r>
      <w:r w:rsidRPr="00970B36">
        <w:rPr>
          <w:spacing w:val="-9"/>
        </w:rPr>
        <w:t xml:space="preserve"> </w:t>
      </w:r>
      <w:r w:rsidRPr="00411AA2">
        <w:t>for</w:t>
      </w:r>
      <w:r w:rsidRPr="00970B36">
        <w:rPr>
          <w:spacing w:val="-9"/>
        </w:rPr>
        <w:t xml:space="preserve"> </w:t>
      </w:r>
      <w:r w:rsidRPr="00411AA2">
        <w:t>single</w:t>
      </w:r>
      <w:r w:rsidRPr="00970B36">
        <w:rPr>
          <w:spacing w:val="-10"/>
        </w:rPr>
        <w:t xml:space="preserve"> </w:t>
      </w:r>
      <w:r w:rsidRPr="00411AA2">
        <w:t>detached</w:t>
      </w:r>
      <w:r w:rsidRPr="00970B36">
        <w:rPr>
          <w:spacing w:val="-9"/>
        </w:rPr>
        <w:t xml:space="preserve"> </w:t>
      </w:r>
      <w:r w:rsidRPr="00411AA2">
        <w:t>dwellings</w:t>
      </w:r>
      <w:r w:rsidRPr="00970B36">
        <w:rPr>
          <w:spacing w:val="-8"/>
        </w:rPr>
        <w:t xml:space="preserve"> </w:t>
      </w:r>
      <w:r w:rsidRPr="00411AA2">
        <w:t>that</w:t>
      </w:r>
      <w:r w:rsidRPr="00970B36">
        <w:rPr>
          <w:spacing w:val="-11"/>
        </w:rPr>
        <w:t xml:space="preserve"> </w:t>
      </w:r>
      <w:r w:rsidRPr="00411AA2">
        <w:t xml:space="preserve">are compatible with other residential uses in the vicinity. </w:t>
      </w:r>
      <w:r w:rsidRPr="00992C33">
        <w:rPr>
          <w:bCs/>
        </w:rPr>
        <w:t>The two lots will permit only single detached</w:t>
      </w:r>
      <w:r w:rsidRPr="00992C33">
        <w:rPr>
          <w:bCs/>
          <w:spacing w:val="-11"/>
        </w:rPr>
        <w:t xml:space="preserve"> </w:t>
      </w:r>
      <w:r w:rsidRPr="00992C33">
        <w:rPr>
          <w:bCs/>
        </w:rPr>
        <w:t>dwellings</w:t>
      </w:r>
      <w:r w:rsidRPr="00992C33">
        <w:rPr>
          <w:bCs/>
          <w:spacing w:val="-11"/>
        </w:rPr>
        <w:t xml:space="preserve"> </w:t>
      </w:r>
      <w:r w:rsidRPr="00992C33">
        <w:rPr>
          <w:bCs/>
        </w:rPr>
        <w:t>with</w:t>
      </w:r>
      <w:r w:rsidRPr="00992C33">
        <w:rPr>
          <w:bCs/>
          <w:spacing w:val="-12"/>
        </w:rPr>
        <w:t xml:space="preserve"> </w:t>
      </w:r>
      <w:r w:rsidRPr="00992C33">
        <w:rPr>
          <w:bCs/>
        </w:rPr>
        <w:t>lot</w:t>
      </w:r>
      <w:r w:rsidRPr="00992C33">
        <w:rPr>
          <w:bCs/>
          <w:spacing w:val="-11"/>
        </w:rPr>
        <w:t xml:space="preserve"> </w:t>
      </w:r>
      <w:r w:rsidRPr="00992C33">
        <w:rPr>
          <w:bCs/>
        </w:rPr>
        <w:t>areas</w:t>
      </w:r>
      <w:r w:rsidRPr="00992C33">
        <w:rPr>
          <w:bCs/>
          <w:spacing w:val="-11"/>
        </w:rPr>
        <w:t xml:space="preserve"> </w:t>
      </w:r>
      <w:r w:rsidRPr="00992C33">
        <w:rPr>
          <w:bCs/>
        </w:rPr>
        <w:t>and</w:t>
      </w:r>
      <w:r w:rsidRPr="00992C33">
        <w:rPr>
          <w:bCs/>
          <w:spacing w:val="-11"/>
        </w:rPr>
        <w:t xml:space="preserve"> </w:t>
      </w:r>
      <w:r w:rsidRPr="00992C33">
        <w:rPr>
          <w:bCs/>
        </w:rPr>
        <w:t>setbacks</w:t>
      </w:r>
      <w:r w:rsidRPr="00992C33">
        <w:rPr>
          <w:bCs/>
          <w:spacing w:val="-11"/>
        </w:rPr>
        <w:t xml:space="preserve"> </w:t>
      </w:r>
      <w:r w:rsidRPr="00992C33">
        <w:rPr>
          <w:bCs/>
        </w:rPr>
        <w:t>that</w:t>
      </w:r>
      <w:r w:rsidRPr="00992C33">
        <w:rPr>
          <w:bCs/>
          <w:spacing w:val="-11"/>
        </w:rPr>
        <w:t xml:space="preserve"> </w:t>
      </w:r>
      <w:r w:rsidRPr="00992C33">
        <w:rPr>
          <w:bCs/>
        </w:rPr>
        <w:t>are</w:t>
      </w:r>
      <w:r w:rsidRPr="00992C33">
        <w:rPr>
          <w:bCs/>
          <w:spacing w:val="-11"/>
        </w:rPr>
        <w:t xml:space="preserve"> </w:t>
      </w:r>
      <w:r w:rsidRPr="00992C33">
        <w:rPr>
          <w:bCs/>
        </w:rPr>
        <w:t>not</w:t>
      </w:r>
      <w:r w:rsidRPr="00992C33">
        <w:rPr>
          <w:bCs/>
          <w:spacing w:val="-11"/>
        </w:rPr>
        <w:t xml:space="preserve"> </w:t>
      </w:r>
      <w:r w:rsidRPr="00992C33">
        <w:rPr>
          <w:bCs/>
        </w:rPr>
        <w:t>only</w:t>
      </w:r>
      <w:r w:rsidRPr="00992C33">
        <w:rPr>
          <w:bCs/>
          <w:spacing w:val="-11"/>
        </w:rPr>
        <w:t xml:space="preserve"> </w:t>
      </w:r>
      <w:r w:rsidRPr="00992C33">
        <w:rPr>
          <w:bCs/>
        </w:rPr>
        <w:t>compatible</w:t>
      </w:r>
      <w:r w:rsidRPr="00992C33">
        <w:rPr>
          <w:bCs/>
          <w:spacing w:val="-11"/>
        </w:rPr>
        <w:t xml:space="preserve"> </w:t>
      </w:r>
      <w:r w:rsidRPr="00992C33">
        <w:rPr>
          <w:bCs/>
        </w:rPr>
        <w:t>with</w:t>
      </w:r>
      <w:r w:rsidRPr="00992C33">
        <w:rPr>
          <w:bCs/>
          <w:spacing w:val="-10"/>
        </w:rPr>
        <w:t xml:space="preserve"> </w:t>
      </w:r>
      <w:r w:rsidRPr="00992C33">
        <w:rPr>
          <w:bCs/>
        </w:rPr>
        <w:t>other</w:t>
      </w:r>
      <w:r w:rsidRPr="00992C33">
        <w:rPr>
          <w:bCs/>
          <w:spacing w:val="-11"/>
        </w:rPr>
        <w:t xml:space="preserve"> </w:t>
      </w:r>
      <w:r w:rsidRPr="00992C33">
        <w:rPr>
          <w:bCs/>
        </w:rPr>
        <w:t>lots in</w:t>
      </w:r>
      <w:r w:rsidRPr="00992C33">
        <w:rPr>
          <w:bCs/>
          <w:spacing w:val="-8"/>
        </w:rPr>
        <w:t xml:space="preserve"> </w:t>
      </w:r>
      <w:r w:rsidRPr="00992C33">
        <w:rPr>
          <w:bCs/>
        </w:rPr>
        <w:t>the</w:t>
      </w:r>
      <w:r w:rsidRPr="00992C33">
        <w:rPr>
          <w:bCs/>
          <w:spacing w:val="-7"/>
        </w:rPr>
        <w:t xml:space="preserve"> </w:t>
      </w:r>
      <w:r w:rsidRPr="00992C33">
        <w:rPr>
          <w:bCs/>
        </w:rPr>
        <w:t>area,</w:t>
      </w:r>
      <w:r w:rsidRPr="00992C33">
        <w:rPr>
          <w:bCs/>
          <w:spacing w:val="-8"/>
        </w:rPr>
        <w:t xml:space="preserve"> </w:t>
      </w:r>
      <w:r w:rsidRPr="00992C33">
        <w:rPr>
          <w:bCs/>
        </w:rPr>
        <w:t>but</w:t>
      </w:r>
      <w:r w:rsidRPr="00992C33">
        <w:rPr>
          <w:bCs/>
          <w:spacing w:val="-8"/>
        </w:rPr>
        <w:t xml:space="preserve"> </w:t>
      </w:r>
      <w:r w:rsidRPr="00992C33">
        <w:rPr>
          <w:bCs/>
        </w:rPr>
        <w:t>in</w:t>
      </w:r>
      <w:r w:rsidRPr="00992C33">
        <w:rPr>
          <w:bCs/>
          <w:spacing w:val="-7"/>
        </w:rPr>
        <w:t xml:space="preserve"> </w:t>
      </w:r>
      <w:r w:rsidRPr="00992C33">
        <w:rPr>
          <w:bCs/>
        </w:rPr>
        <w:t>fact</w:t>
      </w:r>
      <w:r w:rsidRPr="00992C33">
        <w:rPr>
          <w:bCs/>
          <w:spacing w:val="-7"/>
        </w:rPr>
        <w:t xml:space="preserve"> </w:t>
      </w:r>
      <w:r w:rsidRPr="00992C33">
        <w:rPr>
          <w:bCs/>
        </w:rPr>
        <w:t>are</w:t>
      </w:r>
      <w:r w:rsidRPr="00992C33">
        <w:rPr>
          <w:bCs/>
          <w:spacing w:val="-8"/>
        </w:rPr>
        <w:t xml:space="preserve"> </w:t>
      </w:r>
      <w:r w:rsidRPr="00992C33">
        <w:rPr>
          <w:bCs/>
        </w:rPr>
        <w:t>very</w:t>
      </w:r>
      <w:r w:rsidRPr="00992C33">
        <w:rPr>
          <w:bCs/>
          <w:spacing w:val="-7"/>
        </w:rPr>
        <w:t xml:space="preserve"> </w:t>
      </w:r>
      <w:r w:rsidRPr="00992C33">
        <w:rPr>
          <w:bCs/>
        </w:rPr>
        <w:t>consistent</w:t>
      </w:r>
      <w:r w:rsidRPr="00992C33">
        <w:rPr>
          <w:bCs/>
          <w:spacing w:val="-7"/>
        </w:rPr>
        <w:t xml:space="preserve"> </w:t>
      </w:r>
      <w:r w:rsidRPr="00992C33">
        <w:rPr>
          <w:bCs/>
        </w:rPr>
        <w:t>with</w:t>
      </w:r>
      <w:r w:rsidRPr="00992C33">
        <w:rPr>
          <w:bCs/>
          <w:spacing w:val="-8"/>
        </w:rPr>
        <w:t xml:space="preserve"> </w:t>
      </w:r>
      <w:r w:rsidRPr="00992C33">
        <w:rPr>
          <w:bCs/>
        </w:rPr>
        <w:t>the</w:t>
      </w:r>
      <w:r w:rsidRPr="00992C33">
        <w:rPr>
          <w:bCs/>
          <w:spacing w:val="-7"/>
        </w:rPr>
        <w:t xml:space="preserve"> </w:t>
      </w:r>
      <w:r w:rsidRPr="00992C33">
        <w:rPr>
          <w:bCs/>
        </w:rPr>
        <w:t>established</w:t>
      </w:r>
      <w:r w:rsidRPr="00992C33">
        <w:rPr>
          <w:bCs/>
          <w:spacing w:val="-7"/>
        </w:rPr>
        <w:t xml:space="preserve"> </w:t>
      </w:r>
      <w:r w:rsidRPr="00992C33">
        <w:rPr>
          <w:bCs/>
        </w:rPr>
        <w:t>development</w:t>
      </w:r>
      <w:r w:rsidRPr="00992C33">
        <w:rPr>
          <w:bCs/>
          <w:spacing w:val="-8"/>
        </w:rPr>
        <w:t xml:space="preserve"> </w:t>
      </w:r>
      <w:r w:rsidRPr="00992C33">
        <w:rPr>
          <w:bCs/>
        </w:rPr>
        <w:t>pattern</w:t>
      </w:r>
      <w:r w:rsidRPr="00992C33">
        <w:rPr>
          <w:bCs/>
          <w:spacing w:val="-7"/>
        </w:rPr>
        <w:t xml:space="preserve"> </w:t>
      </w:r>
      <w:r w:rsidRPr="00992C33">
        <w:rPr>
          <w:bCs/>
        </w:rPr>
        <w:t>of</w:t>
      </w:r>
      <w:r w:rsidRPr="00992C33">
        <w:rPr>
          <w:bCs/>
          <w:spacing w:val="-7"/>
        </w:rPr>
        <w:t xml:space="preserve"> </w:t>
      </w:r>
      <w:r w:rsidRPr="00992C33">
        <w:rPr>
          <w:bCs/>
        </w:rPr>
        <w:t>lots fronting on Cielo</w:t>
      </w:r>
      <w:r w:rsidRPr="00992C33">
        <w:rPr>
          <w:bCs/>
          <w:spacing w:val="-2"/>
        </w:rPr>
        <w:t xml:space="preserve"> </w:t>
      </w:r>
      <w:r w:rsidRPr="00992C33">
        <w:rPr>
          <w:bCs/>
        </w:rPr>
        <w:t>Court</w:t>
      </w:r>
      <w:r w:rsidRPr="00970B36">
        <w:rPr>
          <w:bCs/>
        </w:rPr>
        <w:t>.</w:t>
      </w:r>
    </w:p>
    <w:p w14:paraId="18DDDBA6" w14:textId="77777777" w:rsidR="00970B36" w:rsidRDefault="00411AA2" w:rsidP="00AE600B">
      <w:pPr>
        <w:pStyle w:val="ListParagraph"/>
        <w:rPr>
          <w:bCs/>
        </w:rPr>
      </w:pPr>
      <w:r w:rsidRPr="00411AA2">
        <w:t xml:space="preserve">Ms. </w:t>
      </w:r>
      <w:proofErr w:type="spellStart"/>
      <w:r w:rsidRPr="00411AA2">
        <w:t>Freiday</w:t>
      </w:r>
      <w:proofErr w:type="spellEnd"/>
      <w:r w:rsidRPr="00411AA2">
        <w:t xml:space="preserve"> stated that the request is to vary the </w:t>
      </w:r>
      <w:r w:rsidRPr="00992C33">
        <w:rPr>
          <w:bCs/>
        </w:rPr>
        <w:t>development standards</w:t>
      </w:r>
      <w:r w:rsidRPr="00411AA2">
        <w:t xml:space="preserve"> to reflect the general scale and character of the existing development pattern in the immediate area and beyond. </w:t>
      </w:r>
      <w:r w:rsidRPr="00992C33">
        <w:rPr>
          <w:bCs/>
        </w:rPr>
        <w:t>The variances would not vary the general intent and purpose of the Zoning</w:t>
      </w:r>
      <w:r w:rsidRPr="00992C33">
        <w:rPr>
          <w:bCs/>
          <w:spacing w:val="-7"/>
        </w:rPr>
        <w:t xml:space="preserve"> </w:t>
      </w:r>
      <w:r w:rsidRPr="00992C33">
        <w:rPr>
          <w:bCs/>
        </w:rPr>
        <w:t>By-law.</w:t>
      </w:r>
    </w:p>
    <w:p w14:paraId="3CD60EFD" w14:textId="3EBFD3EF" w:rsidR="00970B36" w:rsidRDefault="00411AA2" w:rsidP="00AE600B">
      <w:pPr>
        <w:pStyle w:val="ListParagraph"/>
        <w:rPr>
          <w:bCs/>
        </w:rPr>
      </w:pPr>
      <w:r w:rsidRPr="00411AA2">
        <w:t xml:space="preserve">Ms. </w:t>
      </w:r>
      <w:proofErr w:type="spellStart"/>
      <w:r w:rsidRPr="00411AA2">
        <w:t>Frieday</w:t>
      </w:r>
      <w:proofErr w:type="spellEnd"/>
      <w:r w:rsidRPr="00411AA2">
        <w:t xml:space="preserve"> informed the Tribunal that the existing development pattern was established through the registration of 10 phases of a plan of subdivision south of Cielo </w:t>
      </w:r>
      <w:r w:rsidRPr="00411AA2">
        <w:lastRenderedPageBreak/>
        <w:t xml:space="preserve">Court, draft approved in 1987 and referred to as DiCenzo Gardens. </w:t>
      </w:r>
    </w:p>
    <w:p w14:paraId="1C76CDC1" w14:textId="77777777" w:rsidR="00970B36" w:rsidRDefault="00411AA2" w:rsidP="00AE600B">
      <w:pPr>
        <w:pStyle w:val="ListParagraph"/>
        <w:rPr>
          <w:bCs/>
        </w:rPr>
      </w:pPr>
      <w:r w:rsidRPr="00411AA2">
        <w:t>The existing lot pattern was also established through the approval</w:t>
      </w:r>
      <w:r w:rsidRPr="00970B36">
        <w:rPr>
          <w:spacing w:val="-15"/>
        </w:rPr>
        <w:t xml:space="preserve"> </w:t>
      </w:r>
      <w:r w:rsidRPr="00411AA2">
        <w:t>of</w:t>
      </w:r>
      <w:r w:rsidRPr="00970B36">
        <w:rPr>
          <w:spacing w:val="-14"/>
        </w:rPr>
        <w:t xml:space="preserve"> </w:t>
      </w:r>
      <w:r w:rsidRPr="00411AA2">
        <w:t>consent</w:t>
      </w:r>
      <w:r w:rsidRPr="00970B36">
        <w:rPr>
          <w:spacing w:val="-14"/>
        </w:rPr>
        <w:t xml:space="preserve"> </w:t>
      </w:r>
      <w:r w:rsidRPr="00411AA2">
        <w:t>applications</w:t>
      </w:r>
      <w:r w:rsidRPr="00970B36">
        <w:rPr>
          <w:spacing w:val="-14"/>
        </w:rPr>
        <w:t xml:space="preserve"> </w:t>
      </w:r>
      <w:r w:rsidRPr="00411AA2">
        <w:t>and</w:t>
      </w:r>
      <w:r w:rsidRPr="00970B36">
        <w:rPr>
          <w:spacing w:val="-14"/>
        </w:rPr>
        <w:t xml:space="preserve"> </w:t>
      </w:r>
      <w:r w:rsidRPr="00411AA2">
        <w:t>minor</w:t>
      </w:r>
      <w:r w:rsidRPr="00970B36">
        <w:rPr>
          <w:spacing w:val="-14"/>
        </w:rPr>
        <w:t xml:space="preserve"> </w:t>
      </w:r>
      <w:r w:rsidRPr="00411AA2">
        <w:t>variance</w:t>
      </w:r>
      <w:r w:rsidRPr="00970B36">
        <w:rPr>
          <w:spacing w:val="-15"/>
        </w:rPr>
        <w:t xml:space="preserve"> </w:t>
      </w:r>
      <w:r w:rsidRPr="00411AA2">
        <w:t>applications</w:t>
      </w:r>
      <w:r w:rsidRPr="00970B36">
        <w:rPr>
          <w:spacing w:val="-14"/>
        </w:rPr>
        <w:t xml:space="preserve"> </w:t>
      </w:r>
      <w:r w:rsidRPr="00411AA2">
        <w:t>on</w:t>
      </w:r>
      <w:r w:rsidRPr="00970B36">
        <w:rPr>
          <w:spacing w:val="-14"/>
        </w:rPr>
        <w:t xml:space="preserve"> </w:t>
      </w:r>
      <w:r w:rsidRPr="00411AA2">
        <w:t>the</w:t>
      </w:r>
      <w:r w:rsidRPr="00970B36">
        <w:rPr>
          <w:spacing w:val="-14"/>
        </w:rPr>
        <w:t xml:space="preserve"> </w:t>
      </w:r>
      <w:r w:rsidRPr="00411AA2">
        <w:t>north</w:t>
      </w:r>
      <w:r w:rsidRPr="00970B36">
        <w:rPr>
          <w:spacing w:val="-14"/>
        </w:rPr>
        <w:t xml:space="preserve"> </w:t>
      </w:r>
      <w:r w:rsidRPr="00411AA2">
        <w:t>side</w:t>
      </w:r>
      <w:r w:rsidRPr="00970B36">
        <w:rPr>
          <w:spacing w:val="-14"/>
        </w:rPr>
        <w:t xml:space="preserve"> </w:t>
      </w:r>
      <w:r w:rsidRPr="00411AA2">
        <w:t>of</w:t>
      </w:r>
      <w:r w:rsidRPr="00970B36">
        <w:rPr>
          <w:spacing w:val="-15"/>
        </w:rPr>
        <w:t xml:space="preserve"> </w:t>
      </w:r>
      <w:r w:rsidRPr="00411AA2">
        <w:t>Cielo Court.</w:t>
      </w:r>
    </w:p>
    <w:p w14:paraId="7DFC7CB2" w14:textId="603247C5" w:rsidR="00970B36" w:rsidRDefault="00411AA2" w:rsidP="00AE600B">
      <w:pPr>
        <w:pStyle w:val="ListParagraph"/>
        <w:rPr>
          <w:bCs/>
        </w:rPr>
      </w:pPr>
      <w:r w:rsidRPr="00411AA2">
        <w:t>The City initiated rezoning of City lands, through the new Comprehensive Zoning By-law project, has not yet included new residential zones. New residential zones may not come into effect for two or more</w:t>
      </w:r>
      <w:r w:rsidRPr="00970B36">
        <w:rPr>
          <w:spacing w:val="-1"/>
        </w:rPr>
        <w:t xml:space="preserve"> </w:t>
      </w:r>
      <w:r w:rsidRPr="00411AA2">
        <w:t>years.</w:t>
      </w:r>
    </w:p>
    <w:p w14:paraId="1578B028" w14:textId="03F84981" w:rsidR="00970B36" w:rsidRDefault="00411AA2" w:rsidP="00AE600B">
      <w:pPr>
        <w:pStyle w:val="ListParagraph"/>
        <w:rPr>
          <w:bCs/>
        </w:rPr>
      </w:pPr>
      <w:r w:rsidRPr="00411AA2">
        <w:t xml:space="preserve">Ms. </w:t>
      </w:r>
      <w:proofErr w:type="spellStart"/>
      <w:r w:rsidRPr="00411AA2">
        <w:t>Frieday</w:t>
      </w:r>
      <w:proofErr w:type="spellEnd"/>
      <w:r w:rsidRPr="00411AA2">
        <w:t xml:space="preserve"> opined that the minor variance application to permit the establishment of lot sizes and setbacks for new dwellings, more in keeping with the efficient use of urban serviced land and the surrounding development pattern should be permitted to proceed, </w:t>
      </w:r>
      <w:r w:rsidRPr="00992C33">
        <w:rPr>
          <w:bCs/>
        </w:rPr>
        <w:t xml:space="preserve">similar to the division of land and minor variances approved for 46 and 51 Cielo Court which are immediately to the west of the </w:t>
      </w:r>
      <w:r w:rsidR="004D1712">
        <w:rPr>
          <w:bCs/>
        </w:rPr>
        <w:t>Subject Lands</w:t>
      </w:r>
      <w:r w:rsidRPr="00970B36">
        <w:rPr>
          <w:bCs/>
        </w:rPr>
        <w:t>.</w:t>
      </w:r>
    </w:p>
    <w:p w14:paraId="08401B6E" w14:textId="1A38B5A0" w:rsidR="005C2D49" w:rsidRPr="0011647C" w:rsidRDefault="00411AA2" w:rsidP="00AE600B">
      <w:pPr>
        <w:pStyle w:val="ListParagraph"/>
      </w:pPr>
      <w:r w:rsidRPr="00411AA2">
        <w:t xml:space="preserve">Ms. </w:t>
      </w:r>
      <w:proofErr w:type="spellStart"/>
      <w:r w:rsidRPr="00411AA2">
        <w:t>Frieday</w:t>
      </w:r>
      <w:proofErr w:type="spellEnd"/>
      <w:r w:rsidRPr="00411AA2">
        <w:t xml:space="preserve"> further opined that there is nothing that would be gained by requiring a rezoning to achieve precisely the same</w:t>
      </w:r>
      <w:r w:rsidRPr="00970B36">
        <w:rPr>
          <w:spacing w:val="-1"/>
        </w:rPr>
        <w:t xml:space="preserve"> </w:t>
      </w:r>
      <w:r w:rsidRPr="00411AA2">
        <w:t>result.</w:t>
      </w:r>
    </w:p>
    <w:p w14:paraId="07949441" w14:textId="2FD3092A" w:rsidR="00970B36" w:rsidRPr="00FA165D" w:rsidRDefault="005C2D49" w:rsidP="00FA165D">
      <w:pPr>
        <w:rPr>
          <w:rFonts w:ascii="Arial" w:hAnsi="Arial" w:cs="Arial"/>
          <w:b/>
          <w:bCs/>
        </w:rPr>
      </w:pPr>
      <w:r w:rsidRPr="00FA165D">
        <w:rPr>
          <w:rFonts w:ascii="Arial" w:hAnsi="Arial" w:cs="Arial"/>
          <w:b/>
          <w:bCs/>
        </w:rPr>
        <w:t>Zoning By-law No.</w:t>
      </w:r>
      <w:r w:rsidR="007A505B" w:rsidRPr="00FA165D">
        <w:rPr>
          <w:rFonts w:ascii="Arial" w:hAnsi="Arial" w:cs="Arial"/>
          <w:b/>
          <w:bCs/>
        </w:rPr>
        <w:t xml:space="preserve"> </w:t>
      </w:r>
      <w:r w:rsidRPr="00FA165D">
        <w:rPr>
          <w:rFonts w:ascii="Arial" w:hAnsi="Arial" w:cs="Arial"/>
          <w:b/>
          <w:bCs/>
        </w:rPr>
        <w:t>05-200</w:t>
      </w:r>
    </w:p>
    <w:p w14:paraId="1B2C92E1" w14:textId="180B86E6" w:rsidR="00970B36" w:rsidRDefault="00411AA2" w:rsidP="00AE600B">
      <w:pPr>
        <w:pStyle w:val="ListParagraph"/>
        <w:rPr>
          <w:bCs/>
        </w:rPr>
      </w:pPr>
      <w:r w:rsidRPr="00411AA2">
        <w:t xml:space="preserve">Ms. </w:t>
      </w:r>
      <w:proofErr w:type="spellStart"/>
      <w:r w:rsidRPr="00411AA2">
        <w:t>Frieday</w:t>
      </w:r>
      <w:proofErr w:type="spellEnd"/>
      <w:r w:rsidRPr="00411AA2">
        <w:t xml:space="preserve"> informed the Tribunal that the City’s new Comprehensive Zoning By-law No. 05-200 came into effect on May 25, 2005 and is being implemented in stages. This Zoning By-law applies to the entire City of Hamilton and is replacing the Zoning By-laws of the former</w:t>
      </w:r>
      <w:r w:rsidRPr="00970B36">
        <w:rPr>
          <w:spacing w:val="-1"/>
        </w:rPr>
        <w:t xml:space="preserve"> </w:t>
      </w:r>
      <w:r w:rsidRPr="00411AA2">
        <w:t>municipalities.</w:t>
      </w:r>
    </w:p>
    <w:p w14:paraId="31EF0144" w14:textId="1D448CCC" w:rsidR="00D93524" w:rsidRDefault="00411AA2" w:rsidP="00AE600B">
      <w:pPr>
        <w:pStyle w:val="ListParagraph"/>
        <w:rPr>
          <w:bCs/>
        </w:rPr>
      </w:pPr>
      <w:r w:rsidRPr="00411AA2">
        <w:t>The final phase of the Comprehensive Zoning By-law project is now focused on new residential</w:t>
      </w:r>
      <w:r w:rsidRPr="00970B36">
        <w:rPr>
          <w:spacing w:val="-13"/>
        </w:rPr>
        <w:t xml:space="preserve"> </w:t>
      </w:r>
      <w:r w:rsidRPr="00411AA2">
        <w:t>zones</w:t>
      </w:r>
      <w:r w:rsidRPr="00970B36">
        <w:rPr>
          <w:spacing w:val="-12"/>
        </w:rPr>
        <w:t xml:space="preserve"> </w:t>
      </w:r>
      <w:r w:rsidRPr="00411AA2">
        <w:t>in</w:t>
      </w:r>
      <w:r w:rsidRPr="00970B36">
        <w:rPr>
          <w:spacing w:val="-12"/>
        </w:rPr>
        <w:t xml:space="preserve"> </w:t>
      </w:r>
      <w:r w:rsidRPr="00411AA2">
        <w:t>the</w:t>
      </w:r>
      <w:r w:rsidRPr="00970B36">
        <w:rPr>
          <w:spacing w:val="-13"/>
        </w:rPr>
        <w:t xml:space="preserve"> </w:t>
      </w:r>
      <w:r w:rsidRPr="00411AA2">
        <w:t>urban</w:t>
      </w:r>
      <w:r w:rsidRPr="00970B36">
        <w:rPr>
          <w:spacing w:val="-12"/>
        </w:rPr>
        <w:t xml:space="preserve"> </w:t>
      </w:r>
      <w:r w:rsidRPr="00411AA2">
        <w:t>area.</w:t>
      </w:r>
      <w:r w:rsidRPr="00970B36">
        <w:rPr>
          <w:spacing w:val="-12"/>
        </w:rPr>
        <w:t xml:space="preserve"> </w:t>
      </w:r>
      <w:r w:rsidRPr="00411AA2">
        <w:t>The</w:t>
      </w:r>
      <w:r w:rsidRPr="00970B36">
        <w:rPr>
          <w:spacing w:val="-12"/>
        </w:rPr>
        <w:t xml:space="preserve"> </w:t>
      </w:r>
      <w:r w:rsidRPr="00411AA2">
        <w:t>purpose</w:t>
      </w:r>
      <w:r w:rsidRPr="00970B36">
        <w:rPr>
          <w:spacing w:val="-13"/>
        </w:rPr>
        <w:t xml:space="preserve"> </w:t>
      </w:r>
      <w:r w:rsidRPr="00411AA2">
        <w:t>of</w:t>
      </w:r>
      <w:r w:rsidRPr="00970B36">
        <w:rPr>
          <w:spacing w:val="-12"/>
        </w:rPr>
        <w:t xml:space="preserve"> </w:t>
      </w:r>
      <w:r w:rsidRPr="00411AA2">
        <w:t>this</w:t>
      </w:r>
      <w:r w:rsidRPr="00970B36">
        <w:rPr>
          <w:spacing w:val="-12"/>
        </w:rPr>
        <w:t xml:space="preserve"> </w:t>
      </w:r>
      <w:r w:rsidRPr="00411AA2">
        <w:t>project</w:t>
      </w:r>
      <w:r w:rsidRPr="00970B36">
        <w:rPr>
          <w:spacing w:val="-12"/>
        </w:rPr>
        <w:t xml:space="preserve"> </w:t>
      </w:r>
      <w:r w:rsidRPr="00411AA2">
        <w:t>is</w:t>
      </w:r>
      <w:r w:rsidRPr="00970B36">
        <w:rPr>
          <w:spacing w:val="-12"/>
        </w:rPr>
        <w:t xml:space="preserve"> </w:t>
      </w:r>
      <w:r w:rsidRPr="00411AA2">
        <w:t>to</w:t>
      </w:r>
      <w:r w:rsidRPr="00970B36">
        <w:rPr>
          <w:spacing w:val="-13"/>
        </w:rPr>
        <w:t xml:space="preserve"> </w:t>
      </w:r>
      <w:r w:rsidRPr="00411AA2">
        <w:t>implement</w:t>
      </w:r>
      <w:r w:rsidRPr="00970B36">
        <w:rPr>
          <w:spacing w:val="-12"/>
        </w:rPr>
        <w:t xml:space="preserve"> </w:t>
      </w:r>
      <w:r w:rsidRPr="00411AA2">
        <w:t>the</w:t>
      </w:r>
      <w:r w:rsidRPr="00970B36">
        <w:rPr>
          <w:spacing w:val="-12"/>
        </w:rPr>
        <w:t xml:space="preserve"> </w:t>
      </w:r>
      <w:r w:rsidRPr="00411AA2">
        <w:t xml:space="preserve">policies of the UHOP to create consistent residential zones across the entire urban area of </w:t>
      </w:r>
      <w:r w:rsidR="004D1712">
        <w:t xml:space="preserve">the City of </w:t>
      </w:r>
      <w:r w:rsidRPr="00411AA2">
        <w:t>Hamilton.</w:t>
      </w:r>
    </w:p>
    <w:p w14:paraId="09CC571D" w14:textId="5AF41913" w:rsidR="00D93524" w:rsidRDefault="00411AA2" w:rsidP="00AE600B">
      <w:pPr>
        <w:pStyle w:val="ListParagraph"/>
        <w:rPr>
          <w:bCs/>
        </w:rPr>
      </w:pPr>
      <w:r w:rsidRPr="00411AA2">
        <w:t xml:space="preserve">Ms. </w:t>
      </w:r>
      <w:proofErr w:type="spellStart"/>
      <w:r w:rsidRPr="00411AA2">
        <w:t>Frieday</w:t>
      </w:r>
      <w:proofErr w:type="spellEnd"/>
      <w:r w:rsidRPr="00411AA2">
        <w:t xml:space="preserve"> stated that on the City’s website, Zoning By-law No. 05-200 “represents a living document that will evolve over time; a flexible, up-to-date document, </w:t>
      </w:r>
      <w:r w:rsidRPr="00411AA2">
        <w:lastRenderedPageBreak/>
        <w:t xml:space="preserve">reflecting current planning trends and priorities; and forward thinking – future ready.” Zoning By-law No. 6593, and in particular the “B” District zone, does not reflect the </w:t>
      </w:r>
      <w:r w:rsidR="007A505B">
        <w:t xml:space="preserve">   </w:t>
      </w:r>
      <w:proofErr w:type="gramStart"/>
      <w:r w:rsidRPr="00411AA2">
        <w:t>up-to-date</w:t>
      </w:r>
      <w:proofErr w:type="gramEnd"/>
      <w:r w:rsidRPr="00411AA2">
        <w:t xml:space="preserve"> UHOP, current planning trends and forward</w:t>
      </w:r>
      <w:r w:rsidRPr="00D93524">
        <w:rPr>
          <w:spacing w:val="-2"/>
        </w:rPr>
        <w:t xml:space="preserve"> </w:t>
      </w:r>
      <w:r w:rsidRPr="00411AA2">
        <w:t>thinking.</w:t>
      </w:r>
    </w:p>
    <w:p w14:paraId="445B60FD" w14:textId="77777777" w:rsidR="00D93524" w:rsidRDefault="00411AA2" w:rsidP="00AE600B">
      <w:pPr>
        <w:pStyle w:val="ListParagraph"/>
        <w:rPr>
          <w:bCs/>
        </w:rPr>
      </w:pPr>
      <w:r w:rsidRPr="00411AA2">
        <w:t xml:space="preserve">Ms. </w:t>
      </w:r>
      <w:proofErr w:type="spellStart"/>
      <w:r w:rsidRPr="00411AA2">
        <w:t>Frieday</w:t>
      </w:r>
      <w:proofErr w:type="spellEnd"/>
      <w:r w:rsidRPr="00411AA2">
        <w:t xml:space="preserve"> further stated that in due course, the new residential zones to be established by By-law No. 05-200 will apply to the Subject Lands. However, </w:t>
      </w:r>
      <w:r w:rsidRPr="00992C33">
        <w:rPr>
          <w:bCs/>
        </w:rPr>
        <w:t xml:space="preserve">it is not appropriate to require a landowner to await this process nor would a </w:t>
      </w:r>
      <w:r w:rsidRPr="00992C33">
        <w:rPr>
          <w:bCs/>
          <w:u w:val="single"/>
        </w:rPr>
        <w:t>site-specific</w:t>
      </w:r>
      <w:r w:rsidRPr="00992C33">
        <w:rPr>
          <w:bCs/>
        </w:rPr>
        <w:t xml:space="preserve"> re-zoning be any more comprehensive or broad-based than the proposed variances.</w:t>
      </w:r>
      <w:r w:rsidRPr="00411AA2">
        <w:t xml:space="preserve"> </w:t>
      </w:r>
    </w:p>
    <w:p w14:paraId="1D8D2744" w14:textId="1A841FA3" w:rsidR="00D93524" w:rsidRPr="00D93524" w:rsidRDefault="00411AA2" w:rsidP="00AE600B">
      <w:pPr>
        <w:pStyle w:val="ListParagraph"/>
        <w:rPr>
          <w:bCs/>
        </w:rPr>
      </w:pPr>
      <w:r w:rsidRPr="00411AA2">
        <w:t xml:space="preserve">Ms. </w:t>
      </w:r>
      <w:proofErr w:type="spellStart"/>
      <w:r w:rsidRPr="00411AA2">
        <w:t>Frieday</w:t>
      </w:r>
      <w:proofErr w:type="spellEnd"/>
      <w:r w:rsidRPr="00411AA2">
        <w:t xml:space="preserve"> again opined that there is no planning merit to simply requiring a different form of application to achieve the same</w:t>
      </w:r>
      <w:r w:rsidRPr="00D93524">
        <w:rPr>
          <w:spacing w:val="-2"/>
        </w:rPr>
        <w:t xml:space="preserve"> </w:t>
      </w:r>
      <w:r w:rsidRPr="00411AA2">
        <w:t>results.</w:t>
      </w:r>
    </w:p>
    <w:p w14:paraId="27085892" w14:textId="5DC92727" w:rsidR="001065C7" w:rsidRPr="007A505B" w:rsidRDefault="001065C7" w:rsidP="00FA165D">
      <w:pPr>
        <w:rPr>
          <w:rFonts w:ascii="Arial" w:hAnsi="Arial" w:cs="Arial"/>
          <w:b/>
          <w:bCs/>
          <w:i/>
        </w:rPr>
      </w:pPr>
      <w:r w:rsidRPr="007A505B">
        <w:rPr>
          <w:rFonts w:ascii="Arial" w:hAnsi="Arial" w:cs="Arial"/>
          <w:b/>
          <w:bCs/>
        </w:rPr>
        <w:t>Former City of Hamilton Zoning By-law No.</w:t>
      </w:r>
      <w:r w:rsidR="007A505B">
        <w:rPr>
          <w:rFonts w:ascii="Arial" w:hAnsi="Arial" w:cs="Arial"/>
          <w:b/>
          <w:bCs/>
        </w:rPr>
        <w:t xml:space="preserve"> </w:t>
      </w:r>
      <w:r w:rsidRPr="007A505B">
        <w:rPr>
          <w:rFonts w:ascii="Arial" w:hAnsi="Arial" w:cs="Arial"/>
          <w:b/>
          <w:bCs/>
        </w:rPr>
        <w:t>6593</w:t>
      </w:r>
    </w:p>
    <w:p w14:paraId="1AAF3360" w14:textId="47E05650" w:rsidR="00D66D13" w:rsidRPr="00D66D13" w:rsidRDefault="00651D3C" w:rsidP="00AE600B">
      <w:pPr>
        <w:pStyle w:val="ListParagraph"/>
        <w:rPr>
          <w:bCs/>
          <w:iCs/>
        </w:rPr>
      </w:pPr>
      <w:r>
        <w:t xml:space="preserve">Ms. Rogers informed the Tribunal that </w:t>
      </w:r>
      <w:r w:rsidR="00411AA2" w:rsidRPr="00D66D13">
        <w:t xml:space="preserve">Site Specific “S- 1788” modifies Section 19. (1) – Residential Conversion Requirements provisions for Single Family Detached Dwellings. </w:t>
      </w:r>
    </w:p>
    <w:p w14:paraId="7F14049D" w14:textId="78544FF8" w:rsidR="00D66D13" w:rsidRPr="00D66D13" w:rsidRDefault="00411AA2" w:rsidP="00AE600B">
      <w:pPr>
        <w:pStyle w:val="ListParagraph"/>
        <w:rPr>
          <w:bCs/>
          <w:iCs/>
        </w:rPr>
      </w:pPr>
      <w:r w:rsidRPr="00D66D13">
        <w:t xml:space="preserve">She further submitted, </w:t>
      </w:r>
      <w:r w:rsidR="003850C2">
        <w:t>i</w:t>
      </w:r>
      <w:r w:rsidRPr="00D66D13">
        <w:t xml:space="preserve">n the “B” District, the minimum required lot area is 1,100.0 </w:t>
      </w:r>
      <w:proofErr w:type="spellStart"/>
      <w:r w:rsidRPr="00D66D13">
        <w:t>sq</w:t>
      </w:r>
      <w:proofErr w:type="spellEnd"/>
      <w:r w:rsidR="00D66D13">
        <w:t xml:space="preserve"> m</w:t>
      </w:r>
      <w:r w:rsidRPr="00D66D13">
        <w:t xml:space="preserve"> and the minimum required lot width is 20 m. The lands proposed to be retained with frontage on Stone Church Road East (Consent application HM/B-19:86) have a lot area of 1290 </w:t>
      </w:r>
      <w:proofErr w:type="spellStart"/>
      <w:r w:rsidRPr="00D66D13">
        <w:t>sq</w:t>
      </w:r>
      <w:proofErr w:type="spellEnd"/>
      <w:r w:rsidR="00D66D13">
        <w:t xml:space="preserve"> m</w:t>
      </w:r>
      <w:r w:rsidRPr="00D66D13">
        <w:t xml:space="preserve"> and a lot width of 22.86 m and </w:t>
      </w:r>
      <w:r w:rsidRPr="00992C33">
        <w:rPr>
          <w:bCs/>
        </w:rPr>
        <w:t>therefore conform to these requirements.</w:t>
      </w:r>
    </w:p>
    <w:p w14:paraId="2EEB21D6" w14:textId="0D7DE79C" w:rsidR="007A505B" w:rsidRPr="007A505B" w:rsidRDefault="00411AA2" w:rsidP="007A505B">
      <w:pPr>
        <w:pStyle w:val="ListParagraph"/>
        <w:rPr>
          <w:bCs/>
          <w:iCs/>
        </w:rPr>
      </w:pPr>
      <w:r w:rsidRPr="00D66D13">
        <w:t xml:space="preserve">The lands proposed to be severed and retained with frontage on Cielo Court (Consent application HM/B-19:87) both have a lot area of 384 </w:t>
      </w:r>
      <w:proofErr w:type="spellStart"/>
      <w:r w:rsidRPr="00D66D13">
        <w:t>sq</w:t>
      </w:r>
      <w:proofErr w:type="spellEnd"/>
      <w:r w:rsidR="00D66D13">
        <w:t xml:space="preserve"> m</w:t>
      </w:r>
      <w:r w:rsidRPr="00D66D13">
        <w:t xml:space="preserve"> and a lot width of</w:t>
      </w:r>
      <w:r w:rsidR="00D66D13">
        <w:rPr>
          <w:bCs/>
          <w:iCs/>
        </w:rPr>
        <w:t xml:space="preserve"> </w:t>
      </w:r>
      <w:r w:rsidRPr="00D66D13">
        <w:t xml:space="preserve">11.42 m and therefore </w:t>
      </w:r>
      <w:r w:rsidRPr="00992C33">
        <w:rPr>
          <w:bCs/>
        </w:rPr>
        <w:t>do not conform to these requirements.</w:t>
      </w:r>
    </w:p>
    <w:p w14:paraId="38FDCA49" w14:textId="77777777" w:rsidR="007A505B" w:rsidRPr="007A505B" w:rsidRDefault="007A505B" w:rsidP="007A505B">
      <w:pPr>
        <w:pStyle w:val="ListParagraph"/>
        <w:numPr>
          <w:ilvl w:val="0"/>
          <w:numId w:val="0"/>
        </w:numPr>
        <w:rPr>
          <w:b/>
          <w:bCs/>
        </w:rPr>
      </w:pPr>
      <w:r w:rsidRPr="007A505B">
        <w:rPr>
          <w:b/>
          <w:bCs/>
        </w:rPr>
        <w:t>SUMMARY OF FINDINGS</w:t>
      </w:r>
    </w:p>
    <w:p w14:paraId="5A28A728" w14:textId="77777777" w:rsidR="007A505B" w:rsidRPr="007A505B" w:rsidRDefault="00411AA2" w:rsidP="007A505B">
      <w:pPr>
        <w:pStyle w:val="ListParagraph"/>
        <w:rPr>
          <w:bCs/>
          <w:iCs/>
        </w:rPr>
      </w:pPr>
      <w:r w:rsidRPr="007A505B">
        <w:t xml:space="preserve">The Tribunal, after considering the uncontested testimony of the witnesses, is satisfied that the proposed development has regard for the matters of provincial interest </w:t>
      </w:r>
      <w:r w:rsidRPr="007A505B">
        <w:lastRenderedPageBreak/>
        <w:t>as set out in s. 2 of the Act.</w:t>
      </w:r>
    </w:p>
    <w:p w14:paraId="54FAB6E3" w14:textId="4B24B460" w:rsidR="004D1712" w:rsidRPr="007A505B" w:rsidRDefault="00411AA2" w:rsidP="007A505B">
      <w:pPr>
        <w:pStyle w:val="ListParagraph"/>
        <w:rPr>
          <w:bCs/>
          <w:iCs/>
        </w:rPr>
      </w:pPr>
      <w:r w:rsidRPr="004D1712">
        <w:t>The Tribunal accepts the evidence that the Applications for Minor Variance as requested before the Tribunal satisfy the four tests of a minor variance.</w:t>
      </w:r>
    </w:p>
    <w:p w14:paraId="36696000" w14:textId="77777777" w:rsidR="00581487" w:rsidRPr="00581487" w:rsidRDefault="00411AA2" w:rsidP="00AE600B">
      <w:pPr>
        <w:pStyle w:val="ListParagraph"/>
        <w:rPr>
          <w:bCs/>
          <w:iCs/>
        </w:rPr>
      </w:pPr>
      <w:r w:rsidRPr="004D1712">
        <w:t>The Tribunal finds that the requested variances maintain the general intent and purpose of the OP. The proposal represents intensification that is consistent with the policies of the OP and implements appropriate urban design policies to create a compatible development that enhances the streetscape and area.</w:t>
      </w:r>
    </w:p>
    <w:p w14:paraId="03231F04" w14:textId="68917ED5" w:rsidR="00812DB1" w:rsidRPr="00812DB1" w:rsidRDefault="00411AA2" w:rsidP="00AE600B">
      <w:pPr>
        <w:pStyle w:val="ListParagraph"/>
        <w:rPr>
          <w:bCs/>
          <w:iCs/>
        </w:rPr>
      </w:pPr>
      <w:r w:rsidRPr="00581487">
        <w:t xml:space="preserve">The Tribunal finds that the </w:t>
      </w:r>
      <w:r w:rsidR="00665025">
        <w:t>variances</w:t>
      </w:r>
      <w:r w:rsidR="00665025" w:rsidRPr="00581487">
        <w:t xml:space="preserve"> </w:t>
      </w:r>
      <w:r w:rsidRPr="00581487">
        <w:t>maintain the general intent and purpose of the Z</w:t>
      </w:r>
      <w:r w:rsidR="00581487">
        <w:t xml:space="preserve">oning </w:t>
      </w:r>
      <w:r w:rsidRPr="00581487">
        <w:t>B</w:t>
      </w:r>
      <w:r w:rsidR="00581487">
        <w:t>y-</w:t>
      </w:r>
      <w:r w:rsidR="007E21AB">
        <w:t>l</w:t>
      </w:r>
      <w:r w:rsidR="00581487">
        <w:t>aw</w:t>
      </w:r>
      <w:r w:rsidRPr="00581487">
        <w:t xml:space="preserve">. The relief requested arises in large measure as a result of the infill lot sizes and configurations. It will be noted once again that lots created through consent and similar minor variances were approved to the west of the subject property including 47 and 51 Cielo Court which is immediately adjacent to the </w:t>
      </w:r>
      <w:r w:rsidR="00581487">
        <w:t>S</w:t>
      </w:r>
      <w:r w:rsidRPr="00581487">
        <w:t xml:space="preserve">ubject </w:t>
      </w:r>
      <w:r w:rsidR="00581487">
        <w:t>L</w:t>
      </w:r>
      <w:r w:rsidRPr="00581487">
        <w:t>and.  The Tribunal acknowledges the City is of the opinion that a Zoning By-</w:t>
      </w:r>
      <w:r w:rsidR="00581487">
        <w:t>l</w:t>
      </w:r>
      <w:r w:rsidRPr="00581487">
        <w:t xml:space="preserve">aw Amendment should be required. </w:t>
      </w:r>
      <w:r w:rsidR="00D53BED">
        <w:t xml:space="preserve">In the Tribunal’s view, </w:t>
      </w:r>
      <w:r w:rsidRPr="00581487">
        <w:t xml:space="preserve"> with previous applications for consent and minor variances being approved within the exacting vicinity, a Zoning By-</w:t>
      </w:r>
      <w:r w:rsidR="00581487">
        <w:t>l</w:t>
      </w:r>
      <w:r w:rsidRPr="00581487">
        <w:t>aw Amendment would be an onerous and unfair task on the property owners who may want to make future changes to their properties.</w:t>
      </w:r>
    </w:p>
    <w:p w14:paraId="4B655703" w14:textId="30BB9C74" w:rsidR="00B25D2C" w:rsidRPr="00B25D2C" w:rsidRDefault="00411AA2" w:rsidP="00AE600B">
      <w:pPr>
        <w:pStyle w:val="ListParagraph"/>
        <w:rPr>
          <w:bCs/>
          <w:iCs/>
        </w:rPr>
      </w:pPr>
      <w:r w:rsidRPr="00812DB1">
        <w:t xml:space="preserve">The Tribunal is of the </w:t>
      </w:r>
      <w:r w:rsidR="003E00EB">
        <w:t>view</w:t>
      </w:r>
      <w:r w:rsidR="003E00EB" w:rsidRPr="00812DB1">
        <w:t xml:space="preserve"> </w:t>
      </w:r>
      <w:r w:rsidRPr="00812DB1">
        <w:t xml:space="preserve">that the request is desirable for the appropriate development and use of the </w:t>
      </w:r>
      <w:r w:rsidR="00B25D2C">
        <w:t>S</w:t>
      </w:r>
      <w:r w:rsidRPr="00812DB1">
        <w:t xml:space="preserve">ubject </w:t>
      </w:r>
      <w:r w:rsidR="00B25D2C">
        <w:t>L</w:t>
      </w:r>
      <w:r w:rsidRPr="00812DB1">
        <w:t>ands. The introduction of single detached dwellings would enhance the existing underutilized land while preserving and completing the Cielo Court streetscape. The requested variances will result in progressive planning and design principles closely comparable the surrounding lots and existing homes.</w:t>
      </w:r>
    </w:p>
    <w:p w14:paraId="3904350E" w14:textId="25901CB8" w:rsidR="0033560A" w:rsidRPr="00992C33" w:rsidRDefault="00411AA2" w:rsidP="00AE600B">
      <w:pPr>
        <w:pStyle w:val="ListParagraph"/>
        <w:rPr>
          <w:bCs/>
          <w:iCs/>
          <w:lang w:val="en-CA"/>
        </w:rPr>
      </w:pPr>
      <w:r w:rsidRPr="00B25D2C">
        <w:t xml:space="preserve">The Tribunal is satisfied that the requested variances are minor in nature, </w:t>
      </w:r>
      <w:proofErr w:type="gramStart"/>
      <w:r w:rsidRPr="00B25D2C">
        <w:t>due to the fact that</w:t>
      </w:r>
      <w:proofErr w:type="gramEnd"/>
      <w:r w:rsidRPr="00B25D2C">
        <w:t xml:space="preserve"> they will enable a development of a streetscape that is harmonious with the surrounding area.  The variances enable the commitment to complete and maintain the development form built previously on Cielo Court.  As similar variances had previously </w:t>
      </w:r>
      <w:r w:rsidRPr="00B25D2C">
        <w:lastRenderedPageBreak/>
        <w:t xml:space="preserve">been approved by the COA, the request will not create any adverse impact on the adjoining properties and will complement the </w:t>
      </w:r>
      <w:r w:rsidRPr="00992C33">
        <w:rPr>
          <w:lang w:val="en-CA"/>
        </w:rPr>
        <w:t>neighbourhood.  </w:t>
      </w:r>
    </w:p>
    <w:p w14:paraId="7C601895" w14:textId="528B7900" w:rsidR="0033560A" w:rsidRPr="00B25D2C" w:rsidRDefault="0033560A" w:rsidP="00AE600B">
      <w:pPr>
        <w:pStyle w:val="ListParagraph"/>
        <w:rPr>
          <w:bCs/>
          <w:iCs/>
        </w:rPr>
      </w:pPr>
      <w:r>
        <w:t>In Attachment 1</w:t>
      </w:r>
      <w:r w:rsidR="00992C33">
        <w:t xml:space="preserve"> to this Decision</w:t>
      </w:r>
      <w:r>
        <w:t>, it has been demonstrated to the Tribunal the previous successful allowances of lot separations on Cielo C</w:t>
      </w:r>
      <w:r w:rsidR="00992C33">
        <w:t>ou</w:t>
      </w:r>
      <w:r>
        <w:t xml:space="preserve">rt.  The subject property being numbered “152” </w:t>
      </w:r>
      <w:r w:rsidR="00883B81">
        <w:t>is immediately adjacent to lot “146”.  Through similar consent and variance applications, two (2) new lots were created from the original parcel to form “47” and “51” Cielo C</w:t>
      </w:r>
      <w:r w:rsidR="00992C33">
        <w:t>ou</w:t>
      </w:r>
      <w:r w:rsidR="00883B81">
        <w:t xml:space="preserve">rt. </w:t>
      </w:r>
    </w:p>
    <w:p w14:paraId="1DED37E8" w14:textId="18E856B3" w:rsidR="00B25D2C" w:rsidRPr="00E85561" w:rsidRDefault="000A4747" w:rsidP="007A505B">
      <w:pPr>
        <w:rPr>
          <w:rFonts w:cs="Arial"/>
          <w:shd w:val="clear" w:color="auto" w:fill="FFFFFF"/>
        </w:rPr>
      </w:pPr>
      <w:r w:rsidRPr="007A505B">
        <w:rPr>
          <w:rFonts w:ascii="Arial" w:hAnsi="Arial" w:cs="Arial"/>
          <w:b/>
          <w:bCs/>
          <w:shd w:val="clear" w:color="auto" w:fill="FFFFFF"/>
        </w:rPr>
        <w:t>ORDER</w:t>
      </w:r>
    </w:p>
    <w:p w14:paraId="749503E0" w14:textId="7165C9AF" w:rsidR="00A1284A" w:rsidRPr="00B25D2C" w:rsidRDefault="00A1284A" w:rsidP="00AE600B">
      <w:pPr>
        <w:pStyle w:val="ListParagraph"/>
      </w:pPr>
      <w:r>
        <w:t>T</w:t>
      </w:r>
      <w:r w:rsidR="00353B7C">
        <w:t>he</w:t>
      </w:r>
      <w:r>
        <w:t xml:space="preserve"> </w:t>
      </w:r>
      <w:r w:rsidR="00274EDB">
        <w:t>T</w:t>
      </w:r>
      <w:r w:rsidR="00353B7C">
        <w:t>ribunal</w:t>
      </w:r>
      <w:r>
        <w:t xml:space="preserve"> O</w:t>
      </w:r>
      <w:r w:rsidR="00353B7C">
        <w:t>rders</w:t>
      </w:r>
      <w:r>
        <w:t xml:space="preserve"> that the appeal</w:t>
      </w:r>
      <w:r w:rsidR="00116FCD">
        <w:t>s</w:t>
      </w:r>
      <w:r>
        <w:t xml:space="preserve"> </w:t>
      </w:r>
      <w:r w:rsidR="00116FCD">
        <w:t>are</w:t>
      </w:r>
      <w:r>
        <w:t xml:space="preserve"> allowed</w:t>
      </w:r>
      <w:r w:rsidR="00116FCD">
        <w:t>.</w:t>
      </w:r>
      <w:r>
        <w:t xml:space="preserve"> </w:t>
      </w:r>
      <w:r w:rsidR="00116FCD">
        <w:t>T</w:t>
      </w:r>
      <w:r>
        <w:t>he provisional consent is to be given and the variances to By-Law 6593 are authorized.</w:t>
      </w:r>
      <w:r w:rsidRPr="00B25D2C">
        <w:t xml:space="preserve"> </w:t>
      </w:r>
    </w:p>
    <w:p w14:paraId="2015C938" w14:textId="659BF5A3" w:rsidR="0048609C" w:rsidRPr="00E555EE" w:rsidRDefault="0048609C" w:rsidP="006802A5">
      <w:pPr>
        <w:pStyle w:val="MemberSignature"/>
        <w:ind w:left="0"/>
        <w:jc w:val="left"/>
        <w:rPr>
          <w:i w:val="0"/>
        </w:rPr>
      </w:pPr>
    </w:p>
    <w:p w14:paraId="7ED52D3A" w14:textId="6D8408D1" w:rsidR="00935095" w:rsidRDefault="0048609C" w:rsidP="00AC548D">
      <w:pPr>
        <w:pStyle w:val="MemberSignature"/>
      </w:pPr>
      <w:r>
        <w:t>“</w:t>
      </w:r>
      <w:r w:rsidR="00B25D2C">
        <w:t>C. Tucci</w:t>
      </w:r>
      <w:r w:rsidR="00935095" w:rsidRPr="00AC548D">
        <w:t>”</w:t>
      </w:r>
    </w:p>
    <w:p w14:paraId="7D533002" w14:textId="77777777" w:rsidR="00353B7C" w:rsidRPr="00AC548D" w:rsidRDefault="00353B7C" w:rsidP="00AC548D">
      <w:pPr>
        <w:pStyle w:val="MemberSignature"/>
      </w:pPr>
    </w:p>
    <w:p w14:paraId="5334F9A3" w14:textId="77777777" w:rsidR="00935095" w:rsidRPr="004E31D7" w:rsidRDefault="00935095" w:rsidP="004E31D7">
      <w:pPr>
        <w:pStyle w:val="MemberSignature"/>
        <w:ind w:left="0"/>
        <w:jc w:val="both"/>
        <w:rPr>
          <w:i w:val="0"/>
        </w:rPr>
      </w:pPr>
    </w:p>
    <w:p w14:paraId="3A3C57FB" w14:textId="22DF7375" w:rsidR="00935095" w:rsidRPr="00AC548D" w:rsidRDefault="00B25D2C" w:rsidP="00AC548D">
      <w:pPr>
        <w:pStyle w:val="MemberSignatureNameandTitle"/>
      </w:pPr>
      <w:r>
        <w:t>C. TUCCI</w:t>
      </w:r>
    </w:p>
    <w:p w14:paraId="3807FBD8" w14:textId="77777777" w:rsidR="00935095" w:rsidRPr="00AC548D" w:rsidRDefault="00847C0D" w:rsidP="00AC548D">
      <w:pPr>
        <w:pStyle w:val="MemberSignatureNameandTitle"/>
      </w:pPr>
      <w:r>
        <w:t>MEMBER</w:t>
      </w:r>
    </w:p>
    <w:p w14:paraId="1E4F04CC" w14:textId="77777777" w:rsidR="00BA79F7" w:rsidRDefault="00BA79F7" w:rsidP="00AC548D">
      <w:pPr>
        <w:rPr>
          <w:rFonts w:ascii="Arial" w:hAnsi="Arial" w:cs="Arial"/>
        </w:rPr>
      </w:pPr>
    </w:p>
    <w:p w14:paraId="6431EDAD" w14:textId="7B65C71E" w:rsidR="009700C3" w:rsidRDefault="009700C3" w:rsidP="00585347">
      <w:pPr>
        <w:pStyle w:val="AttachmentTextaboveFooter"/>
      </w:pPr>
      <w:bookmarkStart w:id="4" w:name="_Hlk44600017"/>
    </w:p>
    <w:p w14:paraId="0A94B69F" w14:textId="062EBAD2" w:rsidR="00353B7C" w:rsidRDefault="00353B7C" w:rsidP="00585347">
      <w:pPr>
        <w:pStyle w:val="AttachmentTextaboveFooter"/>
      </w:pPr>
    </w:p>
    <w:p w14:paraId="49C1C196" w14:textId="63F70AC4" w:rsidR="00353B7C" w:rsidRDefault="00353B7C" w:rsidP="00585347">
      <w:pPr>
        <w:pStyle w:val="AttachmentTextaboveFooter"/>
      </w:pPr>
    </w:p>
    <w:p w14:paraId="1764FF89" w14:textId="18ABE7B0" w:rsidR="00353B7C" w:rsidRDefault="00353B7C" w:rsidP="00585347">
      <w:pPr>
        <w:pStyle w:val="AttachmentTextaboveFooter"/>
      </w:pPr>
    </w:p>
    <w:p w14:paraId="15E41844" w14:textId="6A83AD8F" w:rsidR="00353B7C" w:rsidRDefault="00353B7C" w:rsidP="00585347">
      <w:pPr>
        <w:pStyle w:val="AttachmentTextaboveFooter"/>
      </w:pPr>
    </w:p>
    <w:p w14:paraId="58A64461" w14:textId="7D9A199F" w:rsidR="00353B7C" w:rsidRDefault="00353B7C" w:rsidP="00585347">
      <w:pPr>
        <w:pStyle w:val="AttachmentTextaboveFooter"/>
      </w:pPr>
    </w:p>
    <w:p w14:paraId="1BD5E78B" w14:textId="78207FDB" w:rsidR="00353B7C" w:rsidRDefault="00353B7C" w:rsidP="00585347">
      <w:pPr>
        <w:pStyle w:val="AttachmentTextaboveFooter"/>
      </w:pPr>
    </w:p>
    <w:p w14:paraId="11D5F5E3" w14:textId="5846CCB8" w:rsidR="00353B7C" w:rsidRDefault="00353B7C" w:rsidP="00585347">
      <w:pPr>
        <w:pStyle w:val="AttachmentTextaboveFooter"/>
      </w:pPr>
    </w:p>
    <w:p w14:paraId="2F28A515" w14:textId="4551E23B" w:rsidR="00353B7C" w:rsidRDefault="00353B7C" w:rsidP="00585347">
      <w:pPr>
        <w:pStyle w:val="AttachmentTextaboveFooter"/>
      </w:pPr>
    </w:p>
    <w:p w14:paraId="7160D5D6" w14:textId="2AF85BDE" w:rsidR="00353B7C" w:rsidRDefault="00353B7C" w:rsidP="00585347">
      <w:pPr>
        <w:pStyle w:val="AttachmentTextaboveFooter"/>
      </w:pPr>
    </w:p>
    <w:p w14:paraId="14E9277F" w14:textId="4F9CF06D" w:rsidR="00353B7C" w:rsidRDefault="00353B7C" w:rsidP="00585347">
      <w:pPr>
        <w:pStyle w:val="AttachmentTextaboveFooter"/>
      </w:pPr>
    </w:p>
    <w:p w14:paraId="52C075C4" w14:textId="3C72B6D2" w:rsidR="00353B7C" w:rsidRDefault="00353B7C" w:rsidP="00585347">
      <w:pPr>
        <w:pStyle w:val="AttachmentTextaboveFooter"/>
      </w:pPr>
    </w:p>
    <w:p w14:paraId="021D2C95" w14:textId="34440567" w:rsidR="00353B7C" w:rsidRDefault="00353B7C" w:rsidP="00585347">
      <w:pPr>
        <w:pStyle w:val="AttachmentTextaboveFooter"/>
      </w:pPr>
    </w:p>
    <w:p w14:paraId="0DAD62CB" w14:textId="77777777" w:rsidR="00353B7C" w:rsidRDefault="00353B7C" w:rsidP="00585347">
      <w:pPr>
        <w:pStyle w:val="AttachmentTextaboveFooter"/>
      </w:pPr>
    </w:p>
    <w:p w14:paraId="3962634A" w14:textId="6A77F424" w:rsidR="00585347" w:rsidRDefault="00585347" w:rsidP="00585347">
      <w:pPr>
        <w:pStyle w:val="AttachmentTextaboveFooter"/>
      </w:pPr>
      <w:r>
        <w:t>If there is an attachment referred to in this document,</w:t>
      </w:r>
    </w:p>
    <w:p w14:paraId="0E87E182"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0DE2E09E" w14:textId="77777777" w:rsidR="00585347" w:rsidRDefault="00585347" w:rsidP="00585347">
      <w:pPr>
        <w:pStyle w:val="Footer"/>
        <w:jc w:val="left"/>
      </w:pPr>
    </w:p>
    <w:p w14:paraId="639A4962" w14:textId="77777777" w:rsidR="00585347" w:rsidRDefault="00585347" w:rsidP="00585347">
      <w:pPr>
        <w:pStyle w:val="Footer"/>
        <w:rPr>
          <w:b/>
        </w:rPr>
      </w:pPr>
      <w:r>
        <w:rPr>
          <w:b/>
        </w:rPr>
        <w:t>Local Planning Appeal Tribunal</w:t>
      </w:r>
    </w:p>
    <w:p w14:paraId="30FE181C" w14:textId="77777777" w:rsidR="00585347" w:rsidRDefault="00585347" w:rsidP="00585347">
      <w:pPr>
        <w:pStyle w:val="Footer"/>
      </w:pPr>
      <w:r>
        <w:t>A constituent tribunal of Ontario Land Tribunals</w:t>
      </w:r>
    </w:p>
    <w:p w14:paraId="1EEFA60B" w14:textId="77777777" w:rsidR="00585347" w:rsidRDefault="00585347" w:rsidP="00585347">
      <w:pPr>
        <w:pStyle w:val="Footer"/>
      </w:pPr>
      <w:r>
        <w:t xml:space="preserve">Website: </w:t>
      </w:r>
      <w:hyperlink r:id="rId12" w:history="1">
        <w:r>
          <w:rPr>
            <w:rStyle w:val="Hyperlink"/>
            <w:color w:val="auto"/>
          </w:rPr>
          <w:t>www.olt.gov.on.ca</w:t>
        </w:r>
      </w:hyperlink>
      <w:r>
        <w:t xml:space="preserve">   Telephone: 416-212-6349   Toll Free: 1-866-448-2248</w:t>
      </w:r>
      <w:bookmarkEnd w:id="4"/>
    </w:p>
    <w:sectPr w:rsidR="00585347" w:rsidSect="00627521">
      <w:headerReference w:type="even" r:id="rId13"/>
      <w:headerReference w:type="default" r:id="rId14"/>
      <w:footerReference w:type="even" r:id="rId15"/>
      <w:footerReference w:type="default" r:id="rId16"/>
      <w:headerReference w:type="first" r:id="rId17"/>
      <w:footerReference w:type="first" r:id="rId18"/>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E074D" w14:textId="77777777" w:rsidR="00554484" w:rsidRDefault="00554484">
      <w:r>
        <w:separator/>
      </w:r>
    </w:p>
  </w:endnote>
  <w:endnote w:type="continuationSeparator" w:id="0">
    <w:p w14:paraId="7F725838" w14:textId="77777777" w:rsidR="00554484" w:rsidRDefault="0055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145F" w14:textId="77777777" w:rsidR="00D635AE" w:rsidRDefault="00D63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82E3" w14:textId="77777777" w:rsidR="00D635AE" w:rsidRDefault="00D63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B472" w14:textId="77777777" w:rsidR="00D635AE" w:rsidRDefault="00D6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5A80" w14:textId="77777777" w:rsidR="00554484" w:rsidRDefault="00554484">
      <w:r>
        <w:separator/>
      </w:r>
    </w:p>
  </w:footnote>
  <w:footnote w:type="continuationSeparator" w:id="0">
    <w:p w14:paraId="06E7F605" w14:textId="77777777" w:rsidR="00554484" w:rsidRDefault="0055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DD66" w14:textId="77777777" w:rsidR="00D635AE" w:rsidRDefault="00D6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4556" w14:textId="6AC3E8D8" w:rsidR="00554484" w:rsidRDefault="00554484" w:rsidP="00353B7C">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Pr>
        <w:rFonts w:ascii="Arial" w:hAnsi="Arial" w:cs="Arial"/>
        <w:noProof/>
      </w:rPr>
      <w:t>2</w:t>
    </w:r>
    <w:r w:rsidRPr="005E51AF">
      <w:rPr>
        <w:rFonts w:ascii="Arial" w:hAnsi="Arial" w:cs="Arial"/>
        <w:noProof/>
      </w:rPr>
      <w:fldChar w:fldCharType="end"/>
    </w:r>
    <w:r>
      <w:rPr>
        <w:rFonts w:ascii="Arial" w:hAnsi="Arial" w:cs="Arial"/>
        <w:noProof/>
      </w:rPr>
      <w:tab/>
      <w:t>PL190551</w:t>
    </w:r>
  </w:p>
  <w:p w14:paraId="78C8925D" w14:textId="77777777" w:rsidR="00FA165D" w:rsidRDefault="00FA165D" w:rsidP="00353B7C">
    <w:pPr>
      <w:pStyle w:val="Header"/>
      <w:tabs>
        <w:tab w:val="clear" w:pos="8640"/>
        <w:tab w:val="center" w:pos="4680"/>
        <w:tab w:val="left" w:pos="6804"/>
        <w:tab w:val="right" w:pos="9360"/>
      </w:tabs>
      <w:jc w:val="right"/>
      <w:rPr>
        <w:rFonts w:ascii="Arial" w:hAnsi="Arial" w:cs="Arial"/>
        <w:noProof/>
      </w:rPr>
    </w:pPr>
  </w:p>
  <w:p w14:paraId="6E7865C5" w14:textId="542083B3" w:rsidR="00554484" w:rsidRPr="005E51AF" w:rsidRDefault="00554484" w:rsidP="009700C3">
    <w:pPr>
      <w:pStyle w:val="Header"/>
      <w:tabs>
        <w:tab w:val="clear" w:pos="8640"/>
        <w:tab w:val="center" w:pos="4680"/>
        <w:tab w:val="left" w:pos="6804"/>
        <w:tab w:val="right" w:pos="9360"/>
      </w:tabs>
      <w:jc w:val="right"/>
      <w:rPr>
        <w:rFonts w:ascii="Arial" w:hAnsi="Arial" w:cs="Arial"/>
        <w:noProof/>
      </w:rPr>
    </w:pPr>
    <w:r>
      <w:rPr>
        <w:rFonts w:ascii="Arial" w:hAnsi="Arial" w:cs="Arial"/>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957C" w14:textId="77777777" w:rsidR="00D635AE" w:rsidRDefault="00D63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AB6F5C"/>
    <w:multiLevelType w:val="hybridMultilevel"/>
    <w:tmpl w:val="B5FAD746"/>
    <w:lvl w:ilvl="0" w:tplc="7B26DF36">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 w15:restartNumberingAfterBreak="0">
    <w:nsid w:val="348D54CE"/>
    <w:multiLevelType w:val="hybridMultilevel"/>
    <w:tmpl w:val="A5809886"/>
    <w:lvl w:ilvl="0" w:tplc="4CA838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F310280"/>
    <w:multiLevelType w:val="hybridMultilevel"/>
    <w:tmpl w:val="3F5E5CF2"/>
    <w:lvl w:ilvl="0" w:tplc="10090001">
      <w:start w:val="1"/>
      <w:numFmt w:val="bullet"/>
      <w:lvlText w:val=""/>
      <w:lvlJc w:val="left"/>
      <w:pPr>
        <w:ind w:left="731" w:hanging="360"/>
      </w:pPr>
      <w:rPr>
        <w:rFonts w:ascii="Symbol" w:hAnsi="Symbol" w:hint="default"/>
      </w:rPr>
    </w:lvl>
    <w:lvl w:ilvl="1" w:tplc="10090003" w:tentative="1">
      <w:start w:val="1"/>
      <w:numFmt w:val="bullet"/>
      <w:lvlText w:val="o"/>
      <w:lvlJc w:val="left"/>
      <w:pPr>
        <w:ind w:left="1451" w:hanging="360"/>
      </w:pPr>
      <w:rPr>
        <w:rFonts w:ascii="Courier New" w:hAnsi="Courier New" w:cs="Courier New" w:hint="default"/>
      </w:rPr>
    </w:lvl>
    <w:lvl w:ilvl="2" w:tplc="10090005" w:tentative="1">
      <w:start w:val="1"/>
      <w:numFmt w:val="bullet"/>
      <w:lvlText w:val=""/>
      <w:lvlJc w:val="left"/>
      <w:pPr>
        <w:ind w:left="2171" w:hanging="360"/>
      </w:pPr>
      <w:rPr>
        <w:rFonts w:ascii="Wingdings" w:hAnsi="Wingdings" w:hint="default"/>
      </w:rPr>
    </w:lvl>
    <w:lvl w:ilvl="3" w:tplc="10090001" w:tentative="1">
      <w:start w:val="1"/>
      <w:numFmt w:val="bullet"/>
      <w:lvlText w:val=""/>
      <w:lvlJc w:val="left"/>
      <w:pPr>
        <w:ind w:left="2891" w:hanging="360"/>
      </w:pPr>
      <w:rPr>
        <w:rFonts w:ascii="Symbol" w:hAnsi="Symbol" w:hint="default"/>
      </w:rPr>
    </w:lvl>
    <w:lvl w:ilvl="4" w:tplc="10090003" w:tentative="1">
      <w:start w:val="1"/>
      <w:numFmt w:val="bullet"/>
      <w:lvlText w:val="o"/>
      <w:lvlJc w:val="left"/>
      <w:pPr>
        <w:ind w:left="3611" w:hanging="360"/>
      </w:pPr>
      <w:rPr>
        <w:rFonts w:ascii="Courier New" w:hAnsi="Courier New" w:cs="Courier New" w:hint="default"/>
      </w:rPr>
    </w:lvl>
    <w:lvl w:ilvl="5" w:tplc="10090005" w:tentative="1">
      <w:start w:val="1"/>
      <w:numFmt w:val="bullet"/>
      <w:lvlText w:val=""/>
      <w:lvlJc w:val="left"/>
      <w:pPr>
        <w:ind w:left="4331" w:hanging="360"/>
      </w:pPr>
      <w:rPr>
        <w:rFonts w:ascii="Wingdings" w:hAnsi="Wingdings" w:hint="default"/>
      </w:rPr>
    </w:lvl>
    <w:lvl w:ilvl="6" w:tplc="10090001" w:tentative="1">
      <w:start w:val="1"/>
      <w:numFmt w:val="bullet"/>
      <w:lvlText w:val=""/>
      <w:lvlJc w:val="left"/>
      <w:pPr>
        <w:ind w:left="5051" w:hanging="360"/>
      </w:pPr>
      <w:rPr>
        <w:rFonts w:ascii="Symbol" w:hAnsi="Symbol" w:hint="default"/>
      </w:rPr>
    </w:lvl>
    <w:lvl w:ilvl="7" w:tplc="10090003" w:tentative="1">
      <w:start w:val="1"/>
      <w:numFmt w:val="bullet"/>
      <w:lvlText w:val="o"/>
      <w:lvlJc w:val="left"/>
      <w:pPr>
        <w:ind w:left="5771" w:hanging="360"/>
      </w:pPr>
      <w:rPr>
        <w:rFonts w:ascii="Courier New" w:hAnsi="Courier New" w:cs="Courier New" w:hint="default"/>
      </w:rPr>
    </w:lvl>
    <w:lvl w:ilvl="8" w:tplc="10090005" w:tentative="1">
      <w:start w:val="1"/>
      <w:numFmt w:val="bullet"/>
      <w:lvlText w:val=""/>
      <w:lvlJc w:val="left"/>
      <w:pPr>
        <w:ind w:left="6491" w:hanging="360"/>
      </w:pPr>
      <w:rPr>
        <w:rFonts w:ascii="Wingdings" w:hAnsi="Wingdings" w:hint="default"/>
      </w:rPr>
    </w:lvl>
  </w:abstractNum>
  <w:abstractNum w:abstractNumId="4" w15:restartNumberingAfterBreak="0">
    <w:nsid w:val="3FCD4F07"/>
    <w:multiLevelType w:val="hybridMultilevel"/>
    <w:tmpl w:val="FF46BD2C"/>
    <w:lvl w:ilvl="0" w:tplc="046CFF0C">
      <w:start w:val="3"/>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3085629"/>
    <w:multiLevelType w:val="hybridMultilevel"/>
    <w:tmpl w:val="E3FE1ED2"/>
    <w:lvl w:ilvl="0" w:tplc="BF828B82">
      <w:start w:val="1"/>
      <w:numFmt w:val="upperLetter"/>
      <w:lvlText w:val="%1."/>
      <w:lvlJc w:val="left"/>
      <w:pPr>
        <w:ind w:left="720" w:hanging="360"/>
      </w:pPr>
      <w:rPr>
        <w:rFonts w:cs="Arial"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434B79"/>
    <w:multiLevelType w:val="hybridMultilevel"/>
    <w:tmpl w:val="94C0F81E"/>
    <w:lvl w:ilvl="0" w:tplc="3B98A65E">
      <w:start w:val="1"/>
      <w:numFmt w:val="decimal"/>
      <w:pStyle w:val="ListParagraph"/>
      <w:lvlText w:val="[%1]"/>
      <w:lvlJc w:val="left"/>
      <w:pPr>
        <w:ind w:left="1211" w:hanging="360"/>
      </w:pPr>
      <w:rPr>
        <w:rFonts w:ascii="Arial" w:eastAsia="Times New Roman" w:hAnsi="Arial" w:cs="Times New Roman" w:hint="default"/>
        <w:b w:val="0"/>
        <w:bCs/>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B21B4C"/>
    <w:multiLevelType w:val="hybridMultilevel"/>
    <w:tmpl w:val="ACFEF72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2431B52"/>
    <w:multiLevelType w:val="hybridMultilevel"/>
    <w:tmpl w:val="31D2CCB0"/>
    <w:lvl w:ilvl="0" w:tplc="4AE0CC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5CE0A42"/>
    <w:multiLevelType w:val="hybridMultilevel"/>
    <w:tmpl w:val="7E38BFEA"/>
    <w:lvl w:ilvl="0" w:tplc="FCD2AD0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93F13EC"/>
    <w:multiLevelType w:val="hybridMultilevel"/>
    <w:tmpl w:val="807A666E"/>
    <w:lvl w:ilvl="0" w:tplc="EDEC1FB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1"/>
  </w:num>
  <w:num w:numId="5">
    <w:abstractNumId w:val="9"/>
  </w:num>
  <w:num w:numId="6">
    <w:abstractNumId w:val="8"/>
  </w:num>
  <w:num w:numId="7">
    <w:abstractNumId w:val="7"/>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1489"/>
    <w:rsid w:val="00006772"/>
    <w:rsid w:val="00013402"/>
    <w:rsid w:val="0001398A"/>
    <w:rsid w:val="000170F3"/>
    <w:rsid w:val="00017DFC"/>
    <w:rsid w:val="00022EAD"/>
    <w:rsid w:val="00031C6E"/>
    <w:rsid w:val="000331A2"/>
    <w:rsid w:val="0003783B"/>
    <w:rsid w:val="000424A6"/>
    <w:rsid w:val="00043CEB"/>
    <w:rsid w:val="000471C0"/>
    <w:rsid w:val="00052084"/>
    <w:rsid w:val="0005328C"/>
    <w:rsid w:val="00054A9F"/>
    <w:rsid w:val="00056F73"/>
    <w:rsid w:val="00061770"/>
    <w:rsid w:val="0006526A"/>
    <w:rsid w:val="00075342"/>
    <w:rsid w:val="00076196"/>
    <w:rsid w:val="00077E74"/>
    <w:rsid w:val="0008105B"/>
    <w:rsid w:val="00081B93"/>
    <w:rsid w:val="00094E62"/>
    <w:rsid w:val="000A4747"/>
    <w:rsid w:val="000A5BAE"/>
    <w:rsid w:val="000B3B41"/>
    <w:rsid w:val="000B4BFB"/>
    <w:rsid w:val="000B5660"/>
    <w:rsid w:val="000C21BB"/>
    <w:rsid w:val="000C25F1"/>
    <w:rsid w:val="000C480C"/>
    <w:rsid w:val="000C6053"/>
    <w:rsid w:val="000C7608"/>
    <w:rsid w:val="000D09B3"/>
    <w:rsid w:val="000D5CA1"/>
    <w:rsid w:val="000D6F9D"/>
    <w:rsid w:val="000D7BBD"/>
    <w:rsid w:val="000F1CE9"/>
    <w:rsid w:val="000F6357"/>
    <w:rsid w:val="000F7957"/>
    <w:rsid w:val="00100AF6"/>
    <w:rsid w:val="0010191A"/>
    <w:rsid w:val="00104001"/>
    <w:rsid w:val="001065C7"/>
    <w:rsid w:val="0011647C"/>
    <w:rsid w:val="00116FCD"/>
    <w:rsid w:val="001220E4"/>
    <w:rsid w:val="0013161B"/>
    <w:rsid w:val="00136058"/>
    <w:rsid w:val="00137797"/>
    <w:rsid w:val="0014049A"/>
    <w:rsid w:val="0014273A"/>
    <w:rsid w:val="00146ED9"/>
    <w:rsid w:val="001551CC"/>
    <w:rsid w:val="001556D0"/>
    <w:rsid w:val="00155D0A"/>
    <w:rsid w:val="001562BE"/>
    <w:rsid w:val="001617E7"/>
    <w:rsid w:val="001634FB"/>
    <w:rsid w:val="001656BC"/>
    <w:rsid w:val="001702F3"/>
    <w:rsid w:val="00172CE7"/>
    <w:rsid w:val="00172D15"/>
    <w:rsid w:val="001765FB"/>
    <w:rsid w:val="001808B6"/>
    <w:rsid w:val="00180EEE"/>
    <w:rsid w:val="00182765"/>
    <w:rsid w:val="00182B0E"/>
    <w:rsid w:val="00183710"/>
    <w:rsid w:val="00185E46"/>
    <w:rsid w:val="00190DF3"/>
    <w:rsid w:val="00192BAF"/>
    <w:rsid w:val="001A3C06"/>
    <w:rsid w:val="001B5CE4"/>
    <w:rsid w:val="001D22B2"/>
    <w:rsid w:val="001D67CE"/>
    <w:rsid w:val="001D6F93"/>
    <w:rsid w:val="001E764F"/>
    <w:rsid w:val="001F179F"/>
    <w:rsid w:val="0020298E"/>
    <w:rsid w:val="00205167"/>
    <w:rsid w:val="002159B4"/>
    <w:rsid w:val="0021608D"/>
    <w:rsid w:val="00220639"/>
    <w:rsid w:val="0022133C"/>
    <w:rsid w:val="00225203"/>
    <w:rsid w:val="0022579A"/>
    <w:rsid w:val="00226115"/>
    <w:rsid w:val="0022692A"/>
    <w:rsid w:val="002315A3"/>
    <w:rsid w:val="002346B3"/>
    <w:rsid w:val="00235236"/>
    <w:rsid w:val="002419BB"/>
    <w:rsid w:val="00242C6C"/>
    <w:rsid w:val="002433A2"/>
    <w:rsid w:val="002446DE"/>
    <w:rsid w:val="00246A65"/>
    <w:rsid w:val="00250221"/>
    <w:rsid w:val="00257414"/>
    <w:rsid w:val="0026320F"/>
    <w:rsid w:val="002639F8"/>
    <w:rsid w:val="0026415E"/>
    <w:rsid w:val="002672BF"/>
    <w:rsid w:val="00270AAE"/>
    <w:rsid w:val="00274EDB"/>
    <w:rsid w:val="00277F40"/>
    <w:rsid w:val="00280925"/>
    <w:rsid w:val="00281139"/>
    <w:rsid w:val="00281FFC"/>
    <w:rsid w:val="00283370"/>
    <w:rsid w:val="00285AD7"/>
    <w:rsid w:val="00286739"/>
    <w:rsid w:val="00290807"/>
    <w:rsid w:val="00290FEC"/>
    <w:rsid w:val="00291B76"/>
    <w:rsid w:val="00293E85"/>
    <w:rsid w:val="00295144"/>
    <w:rsid w:val="002959D2"/>
    <w:rsid w:val="002A1355"/>
    <w:rsid w:val="002A393B"/>
    <w:rsid w:val="002B306E"/>
    <w:rsid w:val="002B47E9"/>
    <w:rsid w:val="002C00E1"/>
    <w:rsid w:val="002C0E1B"/>
    <w:rsid w:val="002C4934"/>
    <w:rsid w:val="002C7CBA"/>
    <w:rsid w:val="002D2254"/>
    <w:rsid w:val="002D23D0"/>
    <w:rsid w:val="002D38E7"/>
    <w:rsid w:val="002E7C9F"/>
    <w:rsid w:val="002F37EF"/>
    <w:rsid w:val="002F4E11"/>
    <w:rsid w:val="002F73E5"/>
    <w:rsid w:val="003051EA"/>
    <w:rsid w:val="00307DEE"/>
    <w:rsid w:val="00316394"/>
    <w:rsid w:val="00321BC5"/>
    <w:rsid w:val="00323369"/>
    <w:rsid w:val="00324440"/>
    <w:rsid w:val="0032493C"/>
    <w:rsid w:val="00324C2A"/>
    <w:rsid w:val="003274CD"/>
    <w:rsid w:val="0033560A"/>
    <w:rsid w:val="00340879"/>
    <w:rsid w:val="003437B3"/>
    <w:rsid w:val="00345480"/>
    <w:rsid w:val="003506EA"/>
    <w:rsid w:val="00350E1B"/>
    <w:rsid w:val="00353B7C"/>
    <w:rsid w:val="00354C2E"/>
    <w:rsid w:val="00355818"/>
    <w:rsid w:val="003620BF"/>
    <w:rsid w:val="00367695"/>
    <w:rsid w:val="00367CB0"/>
    <w:rsid w:val="00375F31"/>
    <w:rsid w:val="0038484F"/>
    <w:rsid w:val="003850C2"/>
    <w:rsid w:val="00385FC9"/>
    <w:rsid w:val="003862C1"/>
    <w:rsid w:val="00391DD7"/>
    <w:rsid w:val="003A2259"/>
    <w:rsid w:val="003B236D"/>
    <w:rsid w:val="003B298B"/>
    <w:rsid w:val="003B7CE2"/>
    <w:rsid w:val="003D1234"/>
    <w:rsid w:val="003D2E96"/>
    <w:rsid w:val="003E00EB"/>
    <w:rsid w:val="003E05F0"/>
    <w:rsid w:val="003E45CD"/>
    <w:rsid w:val="003F0690"/>
    <w:rsid w:val="003F266C"/>
    <w:rsid w:val="003F716A"/>
    <w:rsid w:val="00401F7B"/>
    <w:rsid w:val="00403715"/>
    <w:rsid w:val="004109FB"/>
    <w:rsid w:val="00411AA2"/>
    <w:rsid w:val="004171BB"/>
    <w:rsid w:val="00420FFD"/>
    <w:rsid w:val="004233D2"/>
    <w:rsid w:val="0043301E"/>
    <w:rsid w:val="00441A9B"/>
    <w:rsid w:val="004507E6"/>
    <w:rsid w:val="00452228"/>
    <w:rsid w:val="004539BB"/>
    <w:rsid w:val="004565E3"/>
    <w:rsid w:val="004568CC"/>
    <w:rsid w:val="00460B87"/>
    <w:rsid w:val="004662FE"/>
    <w:rsid w:val="00466E01"/>
    <w:rsid w:val="004850D0"/>
    <w:rsid w:val="0048609C"/>
    <w:rsid w:val="004A0E3F"/>
    <w:rsid w:val="004A4461"/>
    <w:rsid w:val="004A587D"/>
    <w:rsid w:val="004B3247"/>
    <w:rsid w:val="004B6547"/>
    <w:rsid w:val="004B7E92"/>
    <w:rsid w:val="004C06AB"/>
    <w:rsid w:val="004C3B19"/>
    <w:rsid w:val="004C5ADC"/>
    <w:rsid w:val="004D1712"/>
    <w:rsid w:val="004D6E02"/>
    <w:rsid w:val="004E03A4"/>
    <w:rsid w:val="004E127B"/>
    <w:rsid w:val="004E31D7"/>
    <w:rsid w:val="004E4C91"/>
    <w:rsid w:val="004E4CD6"/>
    <w:rsid w:val="004F13B0"/>
    <w:rsid w:val="004F1B46"/>
    <w:rsid w:val="004F53B2"/>
    <w:rsid w:val="00505DF1"/>
    <w:rsid w:val="005064E9"/>
    <w:rsid w:val="00513CCD"/>
    <w:rsid w:val="005176E6"/>
    <w:rsid w:val="00522C48"/>
    <w:rsid w:val="00523AD5"/>
    <w:rsid w:val="00530917"/>
    <w:rsid w:val="0053773B"/>
    <w:rsid w:val="0055024F"/>
    <w:rsid w:val="00550F48"/>
    <w:rsid w:val="00554484"/>
    <w:rsid w:val="005554F9"/>
    <w:rsid w:val="00561C40"/>
    <w:rsid w:val="00570E58"/>
    <w:rsid w:val="00575802"/>
    <w:rsid w:val="005772EE"/>
    <w:rsid w:val="00581487"/>
    <w:rsid w:val="00581834"/>
    <w:rsid w:val="00581FFB"/>
    <w:rsid w:val="005826C8"/>
    <w:rsid w:val="005832B8"/>
    <w:rsid w:val="00585347"/>
    <w:rsid w:val="00585632"/>
    <w:rsid w:val="0058684A"/>
    <w:rsid w:val="0059766C"/>
    <w:rsid w:val="005A2A55"/>
    <w:rsid w:val="005A6B29"/>
    <w:rsid w:val="005A767F"/>
    <w:rsid w:val="005B0EFC"/>
    <w:rsid w:val="005B2223"/>
    <w:rsid w:val="005C2D49"/>
    <w:rsid w:val="005C46AA"/>
    <w:rsid w:val="005C7251"/>
    <w:rsid w:val="005C7AA9"/>
    <w:rsid w:val="005D1ED7"/>
    <w:rsid w:val="005E1637"/>
    <w:rsid w:val="005E427E"/>
    <w:rsid w:val="005E50D6"/>
    <w:rsid w:val="005E51AF"/>
    <w:rsid w:val="005F182A"/>
    <w:rsid w:val="005F1F5D"/>
    <w:rsid w:val="005F7A16"/>
    <w:rsid w:val="006002DC"/>
    <w:rsid w:val="0060505C"/>
    <w:rsid w:val="00611B55"/>
    <w:rsid w:val="00614648"/>
    <w:rsid w:val="00616822"/>
    <w:rsid w:val="0062683F"/>
    <w:rsid w:val="00627521"/>
    <w:rsid w:val="00627D4A"/>
    <w:rsid w:val="006306A8"/>
    <w:rsid w:val="0063575A"/>
    <w:rsid w:val="00636529"/>
    <w:rsid w:val="00640174"/>
    <w:rsid w:val="006419E7"/>
    <w:rsid w:val="00641AD3"/>
    <w:rsid w:val="00646BFB"/>
    <w:rsid w:val="00646F39"/>
    <w:rsid w:val="00647B4B"/>
    <w:rsid w:val="00647ECC"/>
    <w:rsid w:val="00650519"/>
    <w:rsid w:val="00650EFB"/>
    <w:rsid w:val="006510E9"/>
    <w:rsid w:val="00651D3C"/>
    <w:rsid w:val="00653B50"/>
    <w:rsid w:val="00655F95"/>
    <w:rsid w:val="00656CC7"/>
    <w:rsid w:val="00657E0B"/>
    <w:rsid w:val="00657FF0"/>
    <w:rsid w:val="00663C56"/>
    <w:rsid w:val="00665025"/>
    <w:rsid w:val="00665DAE"/>
    <w:rsid w:val="006664C3"/>
    <w:rsid w:val="00677294"/>
    <w:rsid w:val="006802A5"/>
    <w:rsid w:val="00685B71"/>
    <w:rsid w:val="006A119C"/>
    <w:rsid w:val="006A1948"/>
    <w:rsid w:val="006A19B7"/>
    <w:rsid w:val="006A2B5B"/>
    <w:rsid w:val="006A72AC"/>
    <w:rsid w:val="006B3FF4"/>
    <w:rsid w:val="006C543E"/>
    <w:rsid w:val="006C6D4C"/>
    <w:rsid w:val="006D09B4"/>
    <w:rsid w:val="006D1DFD"/>
    <w:rsid w:val="006E1AE4"/>
    <w:rsid w:val="006E6454"/>
    <w:rsid w:val="006F214C"/>
    <w:rsid w:val="006F2DF2"/>
    <w:rsid w:val="006F3415"/>
    <w:rsid w:val="006F6F82"/>
    <w:rsid w:val="007000AC"/>
    <w:rsid w:val="007057F0"/>
    <w:rsid w:val="00706196"/>
    <w:rsid w:val="00707B3B"/>
    <w:rsid w:val="00715DD1"/>
    <w:rsid w:val="00716030"/>
    <w:rsid w:val="007342E5"/>
    <w:rsid w:val="007353C0"/>
    <w:rsid w:val="00735538"/>
    <w:rsid w:val="00742CCD"/>
    <w:rsid w:val="0076016E"/>
    <w:rsid w:val="0076119A"/>
    <w:rsid w:val="00765C2D"/>
    <w:rsid w:val="0076759C"/>
    <w:rsid w:val="00783908"/>
    <w:rsid w:val="0078665C"/>
    <w:rsid w:val="007A1709"/>
    <w:rsid w:val="007A2C3D"/>
    <w:rsid w:val="007A505B"/>
    <w:rsid w:val="007B102C"/>
    <w:rsid w:val="007B41D0"/>
    <w:rsid w:val="007C08BD"/>
    <w:rsid w:val="007C217E"/>
    <w:rsid w:val="007D21DC"/>
    <w:rsid w:val="007E0C30"/>
    <w:rsid w:val="007E21AB"/>
    <w:rsid w:val="007E62B9"/>
    <w:rsid w:val="007F5CEF"/>
    <w:rsid w:val="007F7583"/>
    <w:rsid w:val="008010F6"/>
    <w:rsid w:val="00802055"/>
    <w:rsid w:val="008046EB"/>
    <w:rsid w:val="0080724D"/>
    <w:rsid w:val="00812DB1"/>
    <w:rsid w:val="008152B8"/>
    <w:rsid w:val="008173CF"/>
    <w:rsid w:val="00823753"/>
    <w:rsid w:val="008316DB"/>
    <w:rsid w:val="0083211C"/>
    <w:rsid w:val="00835A80"/>
    <w:rsid w:val="00837AE6"/>
    <w:rsid w:val="00847C0D"/>
    <w:rsid w:val="0085553C"/>
    <w:rsid w:val="00865727"/>
    <w:rsid w:val="00866681"/>
    <w:rsid w:val="008811E3"/>
    <w:rsid w:val="00883B81"/>
    <w:rsid w:val="00890E5D"/>
    <w:rsid w:val="0089782A"/>
    <w:rsid w:val="008A1A0C"/>
    <w:rsid w:val="008A3586"/>
    <w:rsid w:val="008B3EB4"/>
    <w:rsid w:val="008B667D"/>
    <w:rsid w:val="008B6A2C"/>
    <w:rsid w:val="008B7CA8"/>
    <w:rsid w:val="008C09C4"/>
    <w:rsid w:val="008C7470"/>
    <w:rsid w:val="008D1A8F"/>
    <w:rsid w:val="008D3B01"/>
    <w:rsid w:val="008E10BC"/>
    <w:rsid w:val="008E147D"/>
    <w:rsid w:val="008E5B11"/>
    <w:rsid w:val="008F1BA0"/>
    <w:rsid w:val="00900AF5"/>
    <w:rsid w:val="00900C5B"/>
    <w:rsid w:val="00902134"/>
    <w:rsid w:val="009073BB"/>
    <w:rsid w:val="00907DA4"/>
    <w:rsid w:val="00913436"/>
    <w:rsid w:val="009148E3"/>
    <w:rsid w:val="0092760B"/>
    <w:rsid w:val="00930FD3"/>
    <w:rsid w:val="009333AA"/>
    <w:rsid w:val="00933B21"/>
    <w:rsid w:val="00935095"/>
    <w:rsid w:val="00935ABA"/>
    <w:rsid w:val="009360FC"/>
    <w:rsid w:val="00946DC3"/>
    <w:rsid w:val="00951EE2"/>
    <w:rsid w:val="00954D73"/>
    <w:rsid w:val="0095571C"/>
    <w:rsid w:val="0096422B"/>
    <w:rsid w:val="009650D8"/>
    <w:rsid w:val="009700C3"/>
    <w:rsid w:val="00970B36"/>
    <w:rsid w:val="009748FB"/>
    <w:rsid w:val="00976AA8"/>
    <w:rsid w:val="009773EC"/>
    <w:rsid w:val="00981E7A"/>
    <w:rsid w:val="00990F55"/>
    <w:rsid w:val="00992C33"/>
    <w:rsid w:val="009A1884"/>
    <w:rsid w:val="009A31C9"/>
    <w:rsid w:val="009A34A1"/>
    <w:rsid w:val="009A6D63"/>
    <w:rsid w:val="009A73F6"/>
    <w:rsid w:val="009B55BC"/>
    <w:rsid w:val="009B7F65"/>
    <w:rsid w:val="009C20B2"/>
    <w:rsid w:val="009C4D62"/>
    <w:rsid w:val="009C65D8"/>
    <w:rsid w:val="009D0B82"/>
    <w:rsid w:val="009D5078"/>
    <w:rsid w:val="009E0558"/>
    <w:rsid w:val="009E0DF7"/>
    <w:rsid w:val="009E1C08"/>
    <w:rsid w:val="009E202F"/>
    <w:rsid w:val="009E40F3"/>
    <w:rsid w:val="009E6983"/>
    <w:rsid w:val="009F040C"/>
    <w:rsid w:val="009F3047"/>
    <w:rsid w:val="009F4B60"/>
    <w:rsid w:val="009F798A"/>
    <w:rsid w:val="00A05E9A"/>
    <w:rsid w:val="00A07D8A"/>
    <w:rsid w:val="00A11CE2"/>
    <w:rsid w:val="00A1284A"/>
    <w:rsid w:val="00A20E8C"/>
    <w:rsid w:val="00A23724"/>
    <w:rsid w:val="00A30FE9"/>
    <w:rsid w:val="00A45D63"/>
    <w:rsid w:val="00A47406"/>
    <w:rsid w:val="00A550FC"/>
    <w:rsid w:val="00A7018C"/>
    <w:rsid w:val="00A70B89"/>
    <w:rsid w:val="00A70E2F"/>
    <w:rsid w:val="00A74FEA"/>
    <w:rsid w:val="00A76E5B"/>
    <w:rsid w:val="00A81716"/>
    <w:rsid w:val="00A81DB3"/>
    <w:rsid w:val="00A83DA0"/>
    <w:rsid w:val="00A84EF0"/>
    <w:rsid w:val="00A86E97"/>
    <w:rsid w:val="00A93141"/>
    <w:rsid w:val="00A955CF"/>
    <w:rsid w:val="00A95FF1"/>
    <w:rsid w:val="00AA1090"/>
    <w:rsid w:val="00AA1241"/>
    <w:rsid w:val="00AA432A"/>
    <w:rsid w:val="00AA607D"/>
    <w:rsid w:val="00AA6E2C"/>
    <w:rsid w:val="00AB07FC"/>
    <w:rsid w:val="00AB191B"/>
    <w:rsid w:val="00AB519E"/>
    <w:rsid w:val="00AB649A"/>
    <w:rsid w:val="00AB7E2E"/>
    <w:rsid w:val="00AC3AFC"/>
    <w:rsid w:val="00AC517A"/>
    <w:rsid w:val="00AC548D"/>
    <w:rsid w:val="00AC630B"/>
    <w:rsid w:val="00AD29BF"/>
    <w:rsid w:val="00AD34AF"/>
    <w:rsid w:val="00AE075F"/>
    <w:rsid w:val="00AE1098"/>
    <w:rsid w:val="00AE1446"/>
    <w:rsid w:val="00AE600B"/>
    <w:rsid w:val="00AE6DE0"/>
    <w:rsid w:val="00AF60EF"/>
    <w:rsid w:val="00B12A97"/>
    <w:rsid w:val="00B13C3D"/>
    <w:rsid w:val="00B157E1"/>
    <w:rsid w:val="00B16A05"/>
    <w:rsid w:val="00B17BED"/>
    <w:rsid w:val="00B225A1"/>
    <w:rsid w:val="00B25ACB"/>
    <w:rsid w:val="00B25D2C"/>
    <w:rsid w:val="00B25ECF"/>
    <w:rsid w:val="00B268A7"/>
    <w:rsid w:val="00B35686"/>
    <w:rsid w:val="00B364DA"/>
    <w:rsid w:val="00B37891"/>
    <w:rsid w:val="00B37CDD"/>
    <w:rsid w:val="00B51EB2"/>
    <w:rsid w:val="00B51EBA"/>
    <w:rsid w:val="00B5261C"/>
    <w:rsid w:val="00B5585B"/>
    <w:rsid w:val="00B5628D"/>
    <w:rsid w:val="00B62606"/>
    <w:rsid w:val="00B6431E"/>
    <w:rsid w:val="00B67AB9"/>
    <w:rsid w:val="00B70285"/>
    <w:rsid w:val="00B702CE"/>
    <w:rsid w:val="00B712BC"/>
    <w:rsid w:val="00B721A7"/>
    <w:rsid w:val="00B72669"/>
    <w:rsid w:val="00B73739"/>
    <w:rsid w:val="00B769AE"/>
    <w:rsid w:val="00B77B07"/>
    <w:rsid w:val="00B818DE"/>
    <w:rsid w:val="00B847B8"/>
    <w:rsid w:val="00B90E39"/>
    <w:rsid w:val="00B92BA3"/>
    <w:rsid w:val="00BA28A5"/>
    <w:rsid w:val="00BA5F87"/>
    <w:rsid w:val="00BA79F7"/>
    <w:rsid w:val="00BB1683"/>
    <w:rsid w:val="00BB6613"/>
    <w:rsid w:val="00BB66A5"/>
    <w:rsid w:val="00BC66D9"/>
    <w:rsid w:val="00BD2CE3"/>
    <w:rsid w:val="00BD6974"/>
    <w:rsid w:val="00BE0FA0"/>
    <w:rsid w:val="00BF23CB"/>
    <w:rsid w:val="00BF3612"/>
    <w:rsid w:val="00BF497A"/>
    <w:rsid w:val="00BF7426"/>
    <w:rsid w:val="00C00495"/>
    <w:rsid w:val="00C02B28"/>
    <w:rsid w:val="00C1171C"/>
    <w:rsid w:val="00C300F2"/>
    <w:rsid w:val="00C321C9"/>
    <w:rsid w:val="00C33F31"/>
    <w:rsid w:val="00C409F2"/>
    <w:rsid w:val="00C47AC1"/>
    <w:rsid w:val="00C5671C"/>
    <w:rsid w:val="00C56B9E"/>
    <w:rsid w:val="00C71E94"/>
    <w:rsid w:val="00C801A0"/>
    <w:rsid w:val="00C838B9"/>
    <w:rsid w:val="00C92977"/>
    <w:rsid w:val="00C940BC"/>
    <w:rsid w:val="00CC269B"/>
    <w:rsid w:val="00CC29F3"/>
    <w:rsid w:val="00CC5C59"/>
    <w:rsid w:val="00CC6F62"/>
    <w:rsid w:val="00CD235D"/>
    <w:rsid w:val="00CD3836"/>
    <w:rsid w:val="00CD5591"/>
    <w:rsid w:val="00CE10CC"/>
    <w:rsid w:val="00CE3A3F"/>
    <w:rsid w:val="00CF2AB8"/>
    <w:rsid w:val="00CF3F96"/>
    <w:rsid w:val="00CF4C37"/>
    <w:rsid w:val="00CF55CF"/>
    <w:rsid w:val="00D008AB"/>
    <w:rsid w:val="00D01696"/>
    <w:rsid w:val="00D029EE"/>
    <w:rsid w:val="00D265BD"/>
    <w:rsid w:val="00D30F49"/>
    <w:rsid w:val="00D32294"/>
    <w:rsid w:val="00D35322"/>
    <w:rsid w:val="00D35B18"/>
    <w:rsid w:val="00D36525"/>
    <w:rsid w:val="00D42D9F"/>
    <w:rsid w:val="00D50C1C"/>
    <w:rsid w:val="00D53BDA"/>
    <w:rsid w:val="00D53BED"/>
    <w:rsid w:val="00D57CED"/>
    <w:rsid w:val="00D635AE"/>
    <w:rsid w:val="00D66856"/>
    <w:rsid w:val="00D66D13"/>
    <w:rsid w:val="00D76186"/>
    <w:rsid w:val="00D76968"/>
    <w:rsid w:val="00D83C03"/>
    <w:rsid w:val="00D84899"/>
    <w:rsid w:val="00D8571F"/>
    <w:rsid w:val="00D858B9"/>
    <w:rsid w:val="00D91064"/>
    <w:rsid w:val="00D91150"/>
    <w:rsid w:val="00D93524"/>
    <w:rsid w:val="00D9357D"/>
    <w:rsid w:val="00DA3393"/>
    <w:rsid w:val="00DA3C4E"/>
    <w:rsid w:val="00DA67F1"/>
    <w:rsid w:val="00DB023D"/>
    <w:rsid w:val="00DB16DE"/>
    <w:rsid w:val="00DB29FB"/>
    <w:rsid w:val="00DB45DF"/>
    <w:rsid w:val="00DB49FE"/>
    <w:rsid w:val="00DD35F5"/>
    <w:rsid w:val="00DD6665"/>
    <w:rsid w:val="00DD7B54"/>
    <w:rsid w:val="00DE4364"/>
    <w:rsid w:val="00DE62BC"/>
    <w:rsid w:val="00DF14EB"/>
    <w:rsid w:val="00DF75FB"/>
    <w:rsid w:val="00DF7E5F"/>
    <w:rsid w:val="00E11D71"/>
    <w:rsid w:val="00E1253E"/>
    <w:rsid w:val="00E12DE7"/>
    <w:rsid w:val="00E15446"/>
    <w:rsid w:val="00E32E9D"/>
    <w:rsid w:val="00E3420C"/>
    <w:rsid w:val="00E40778"/>
    <w:rsid w:val="00E4342D"/>
    <w:rsid w:val="00E45C87"/>
    <w:rsid w:val="00E45E2C"/>
    <w:rsid w:val="00E478DB"/>
    <w:rsid w:val="00E5336E"/>
    <w:rsid w:val="00E54213"/>
    <w:rsid w:val="00E555EE"/>
    <w:rsid w:val="00E60317"/>
    <w:rsid w:val="00E65759"/>
    <w:rsid w:val="00E73226"/>
    <w:rsid w:val="00E743D2"/>
    <w:rsid w:val="00E77E48"/>
    <w:rsid w:val="00E77E50"/>
    <w:rsid w:val="00E80F02"/>
    <w:rsid w:val="00E85561"/>
    <w:rsid w:val="00E8779D"/>
    <w:rsid w:val="00E87A9B"/>
    <w:rsid w:val="00E94DFA"/>
    <w:rsid w:val="00E97D24"/>
    <w:rsid w:val="00E97F04"/>
    <w:rsid w:val="00EA73B7"/>
    <w:rsid w:val="00EB3E73"/>
    <w:rsid w:val="00EC181A"/>
    <w:rsid w:val="00EC2949"/>
    <w:rsid w:val="00ED28B0"/>
    <w:rsid w:val="00EE4399"/>
    <w:rsid w:val="00EE4BA3"/>
    <w:rsid w:val="00EE62E6"/>
    <w:rsid w:val="00EF4FA7"/>
    <w:rsid w:val="00EF6354"/>
    <w:rsid w:val="00EF7E45"/>
    <w:rsid w:val="00F008E5"/>
    <w:rsid w:val="00F06E6B"/>
    <w:rsid w:val="00F13970"/>
    <w:rsid w:val="00F206C1"/>
    <w:rsid w:val="00F20B8D"/>
    <w:rsid w:val="00F376E5"/>
    <w:rsid w:val="00F404B1"/>
    <w:rsid w:val="00F408C2"/>
    <w:rsid w:val="00F46275"/>
    <w:rsid w:val="00F5463A"/>
    <w:rsid w:val="00F548C9"/>
    <w:rsid w:val="00F62C56"/>
    <w:rsid w:val="00F71AB8"/>
    <w:rsid w:val="00F766A1"/>
    <w:rsid w:val="00F76E36"/>
    <w:rsid w:val="00F801FB"/>
    <w:rsid w:val="00F82F6D"/>
    <w:rsid w:val="00F86BFB"/>
    <w:rsid w:val="00F90029"/>
    <w:rsid w:val="00F9597B"/>
    <w:rsid w:val="00FA016B"/>
    <w:rsid w:val="00FA165D"/>
    <w:rsid w:val="00FA4C9D"/>
    <w:rsid w:val="00FA6295"/>
    <w:rsid w:val="00FB42B6"/>
    <w:rsid w:val="00FC54E5"/>
    <w:rsid w:val="00FC590A"/>
    <w:rsid w:val="00FD03B2"/>
    <w:rsid w:val="00FD10D9"/>
    <w:rsid w:val="00FD395A"/>
    <w:rsid w:val="00FD4182"/>
    <w:rsid w:val="00FE1AB5"/>
    <w:rsid w:val="00FE3524"/>
    <w:rsid w:val="00FE478E"/>
    <w:rsid w:val="00FE4D6A"/>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C4772C"/>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link w:val="Heading1Char"/>
    <w:uiPriority w:val="9"/>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uiPriority w:val="9"/>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11AA2"/>
    <w:pPr>
      <w:spacing w:before="200"/>
      <w:outlineLvl w:val="3"/>
    </w:pPr>
    <w:rPr>
      <w:rFonts w:asciiTheme="majorHAnsi" w:eastAsiaTheme="majorEastAsia" w:hAnsiTheme="majorHAnsi" w:cstheme="majorBidi"/>
      <w:b/>
      <w:bCs/>
      <w:iCs/>
      <w:sz w:val="26"/>
      <w:lang w:val="en-CA"/>
    </w:rPr>
  </w:style>
  <w:style w:type="paragraph" w:styleId="Heading5">
    <w:name w:val="heading 5"/>
    <w:basedOn w:val="Normal"/>
    <w:next w:val="Normal"/>
    <w:link w:val="Heading5Char"/>
    <w:uiPriority w:val="9"/>
    <w:unhideWhenUsed/>
    <w:qFormat/>
    <w:rsid w:val="00411AA2"/>
    <w:pPr>
      <w:spacing w:before="200"/>
      <w:outlineLvl w:val="4"/>
    </w:pPr>
    <w:rPr>
      <w:rFonts w:asciiTheme="majorHAnsi" w:eastAsiaTheme="majorEastAsia" w:hAnsiTheme="majorHAnsi" w:cstheme="majorBidi"/>
      <w:b/>
      <w:bCs/>
      <w:lang w:val="en-CA"/>
    </w:rPr>
  </w:style>
  <w:style w:type="paragraph" w:styleId="Heading6">
    <w:name w:val="heading 6"/>
    <w:basedOn w:val="Normal"/>
    <w:next w:val="Normal"/>
    <w:link w:val="Heading6Char"/>
    <w:uiPriority w:val="9"/>
    <w:semiHidden/>
    <w:unhideWhenUsed/>
    <w:rsid w:val="00411AA2"/>
    <w:pPr>
      <w:spacing w:line="271" w:lineRule="auto"/>
      <w:outlineLvl w:val="5"/>
    </w:pPr>
    <w:rPr>
      <w:rFonts w:asciiTheme="majorHAnsi" w:eastAsiaTheme="majorEastAsia" w:hAnsiTheme="majorHAnsi" w:cstheme="majorBidi"/>
      <w:b/>
      <w:bCs/>
      <w:i/>
      <w:iCs/>
      <w:color w:val="7F7F7F" w:themeColor="text1" w:themeTint="80"/>
      <w:lang w:val="en-CA"/>
    </w:rPr>
  </w:style>
  <w:style w:type="paragraph" w:styleId="Heading7">
    <w:name w:val="heading 7"/>
    <w:basedOn w:val="Normal"/>
    <w:next w:val="Normal"/>
    <w:link w:val="Heading7Char"/>
    <w:uiPriority w:val="9"/>
    <w:semiHidden/>
    <w:unhideWhenUsed/>
    <w:qFormat/>
    <w:rsid w:val="00411AA2"/>
    <w:pPr>
      <w:outlineLvl w:val="6"/>
    </w:pPr>
    <w:rPr>
      <w:rFonts w:asciiTheme="majorHAnsi" w:eastAsiaTheme="majorEastAsia" w:hAnsiTheme="majorHAnsi" w:cstheme="majorBidi"/>
      <w:i/>
      <w:iCs/>
      <w:sz w:val="22"/>
      <w:lang w:val="en-CA"/>
    </w:rPr>
  </w:style>
  <w:style w:type="paragraph" w:styleId="Heading8">
    <w:name w:val="heading 8"/>
    <w:basedOn w:val="Normal"/>
    <w:next w:val="Normal"/>
    <w:link w:val="Heading8Char"/>
    <w:uiPriority w:val="9"/>
    <w:semiHidden/>
    <w:unhideWhenUsed/>
    <w:qFormat/>
    <w:rsid w:val="00411AA2"/>
    <w:pPr>
      <w:outlineLvl w:val="7"/>
    </w:pPr>
    <w:rPr>
      <w:rFonts w:asciiTheme="majorHAnsi" w:eastAsiaTheme="majorEastAsia" w:hAnsiTheme="majorHAnsi" w:cstheme="majorBidi"/>
      <w:sz w:val="20"/>
      <w:szCs w:val="20"/>
      <w:lang w:val="en-CA"/>
    </w:rPr>
  </w:style>
  <w:style w:type="paragraph" w:styleId="Heading9">
    <w:name w:val="heading 9"/>
    <w:basedOn w:val="Normal"/>
    <w:next w:val="Normal"/>
    <w:link w:val="Heading9Char"/>
    <w:uiPriority w:val="9"/>
    <w:semiHidden/>
    <w:unhideWhenUsed/>
    <w:qFormat/>
    <w:rsid w:val="00411AA2"/>
    <w:pPr>
      <w:outlineLvl w:val="8"/>
    </w:pPr>
    <w:rPr>
      <w:rFonts w:asciiTheme="majorHAnsi" w:eastAsiaTheme="majorEastAsia" w:hAnsiTheme="majorHAnsi" w:cstheme="majorBidi"/>
      <w:i/>
      <w:iCs/>
      <w:spacing w:val="5"/>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link w:val="BalloonTextChar"/>
    <w:uiPriority w:val="99"/>
    <w:semiHidden/>
    <w:rsid w:val="002959D2"/>
    <w:rPr>
      <w:rFonts w:ascii="Tahoma" w:hAnsi="Tahoma" w:cs="Tahoma"/>
      <w:sz w:val="16"/>
      <w:szCs w:val="16"/>
    </w:rPr>
  </w:style>
  <w:style w:type="paragraph" w:styleId="Header">
    <w:name w:val="header"/>
    <w:basedOn w:val="Normal"/>
    <w:link w:val="HeaderChar"/>
    <w:rsid w:val="00A550FC"/>
    <w:pPr>
      <w:tabs>
        <w:tab w:val="center" w:pos="4320"/>
        <w:tab w:val="right" w:pos="8640"/>
      </w:tabs>
    </w:pPr>
  </w:style>
  <w:style w:type="paragraph" w:styleId="Footer">
    <w:name w:val="footer"/>
    <w:basedOn w:val="Normal"/>
    <w:link w:val="FooterChar"/>
    <w:rsid w:val="004850D0"/>
    <w:pPr>
      <w:tabs>
        <w:tab w:val="center" w:pos="4320"/>
        <w:tab w:val="right" w:pos="8640"/>
      </w:tabs>
      <w:jc w:val="center"/>
    </w:pPr>
    <w:rPr>
      <w:rFonts w:ascii="Arial" w:hAnsi="Arial"/>
    </w:rPr>
  </w:style>
  <w:style w:type="character" w:customStyle="1" w:styleId="Heading2Char">
    <w:name w:val="Heading 2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1"/>
    <w:qFormat/>
    <w:rsid w:val="00AE600B"/>
    <w:pPr>
      <w:widowControl w:val="0"/>
      <w:numPr>
        <w:numId w:val="2"/>
      </w:numPr>
      <w:autoSpaceDE w:val="0"/>
      <w:autoSpaceDN w:val="0"/>
      <w:spacing w:beforeLines="150" w:before="360" w:afterLines="150" w:after="360" w:line="360" w:lineRule="auto"/>
      <w:ind w:left="0" w:right="4" w:firstLine="0"/>
      <w:contextualSpacing w:val="0"/>
    </w:pPr>
    <w:rPr>
      <w:rFonts w:ascii="Arial" w:hAnsi="Arial" w:cs="Arial"/>
      <w:shd w:val="clear" w:color="auto" w:fill="FFFFFF"/>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1"/>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uiPriority w:val="1"/>
    <w:qFormat/>
    <w:rsid w:val="000F1CE9"/>
    <w:pPr>
      <w:spacing w:after="240"/>
      <w:jc w:val="both"/>
    </w:pPr>
    <w:rPr>
      <w:rFonts w:ascii="Arial" w:eastAsia="Arial" w:hAnsi="Arial"/>
      <w:sz w:val="22"/>
      <w:szCs w:val="22"/>
      <w:lang w:val="en-CA"/>
    </w:rPr>
  </w:style>
  <w:style w:type="character" w:customStyle="1" w:styleId="BodyTextChar">
    <w:name w:val="Body Text Char"/>
    <w:link w:val="BodyText"/>
    <w:uiPriority w:val="1"/>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 w:type="character" w:customStyle="1" w:styleId="Heading4Char">
    <w:name w:val="Heading 4 Char"/>
    <w:basedOn w:val="DefaultParagraphFont"/>
    <w:link w:val="Heading4"/>
    <w:uiPriority w:val="9"/>
    <w:rsid w:val="00411AA2"/>
    <w:rPr>
      <w:rFonts w:asciiTheme="majorHAnsi" w:eastAsiaTheme="majorEastAsia" w:hAnsiTheme="majorHAnsi" w:cstheme="majorBidi"/>
      <w:b/>
      <w:bCs/>
      <w:iCs/>
      <w:sz w:val="26"/>
      <w:szCs w:val="24"/>
      <w:lang w:eastAsia="en-US"/>
    </w:rPr>
  </w:style>
  <w:style w:type="character" w:customStyle="1" w:styleId="Heading5Char">
    <w:name w:val="Heading 5 Char"/>
    <w:basedOn w:val="DefaultParagraphFont"/>
    <w:link w:val="Heading5"/>
    <w:uiPriority w:val="9"/>
    <w:rsid w:val="00411AA2"/>
    <w:rPr>
      <w:rFonts w:asciiTheme="majorHAnsi" w:eastAsiaTheme="majorEastAsia" w:hAnsiTheme="majorHAnsi" w:cstheme="majorBidi"/>
      <w:b/>
      <w:bCs/>
      <w:sz w:val="24"/>
      <w:szCs w:val="24"/>
      <w:lang w:eastAsia="en-US"/>
    </w:rPr>
  </w:style>
  <w:style w:type="character" w:customStyle="1" w:styleId="Heading6Char">
    <w:name w:val="Heading 6 Char"/>
    <w:basedOn w:val="DefaultParagraphFont"/>
    <w:link w:val="Heading6"/>
    <w:uiPriority w:val="9"/>
    <w:semiHidden/>
    <w:rsid w:val="00411AA2"/>
    <w:rPr>
      <w:rFonts w:asciiTheme="majorHAnsi" w:eastAsiaTheme="majorEastAsia" w:hAnsiTheme="majorHAnsi" w:cstheme="majorBidi"/>
      <w:b/>
      <w:bCs/>
      <w:i/>
      <w:iCs/>
      <w:color w:val="7F7F7F" w:themeColor="text1" w:themeTint="80"/>
      <w:sz w:val="24"/>
      <w:szCs w:val="24"/>
      <w:lang w:eastAsia="en-US"/>
    </w:rPr>
  </w:style>
  <w:style w:type="character" w:customStyle="1" w:styleId="Heading7Char">
    <w:name w:val="Heading 7 Char"/>
    <w:basedOn w:val="DefaultParagraphFont"/>
    <w:link w:val="Heading7"/>
    <w:uiPriority w:val="9"/>
    <w:semiHidden/>
    <w:rsid w:val="00411AA2"/>
    <w:rPr>
      <w:rFonts w:asciiTheme="majorHAnsi" w:eastAsiaTheme="majorEastAsia" w:hAnsiTheme="majorHAnsi" w:cstheme="majorBidi"/>
      <w:i/>
      <w:iCs/>
      <w:sz w:val="22"/>
      <w:szCs w:val="24"/>
      <w:lang w:eastAsia="en-US"/>
    </w:rPr>
  </w:style>
  <w:style w:type="character" w:customStyle="1" w:styleId="Heading8Char">
    <w:name w:val="Heading 8 Char"/>
    <w:basedOn w:val="DefaultParagraphFont"/>
    <w:link w:val="Heading8"/>
    <w:uiPriority w:val="9"/>
    <w:semiHidden/>
    <w:rsid w:val="00411AA2"/>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411AA2"/>
    <w:rPr>
      <w:rFonts w:asciiTheme="majorHAnsi" w:eastAsiaTheme="majorEastAsia" w:hAnsiTheme="majorHAnsi" w:cstheme="majorBidi"/>
      <w:i/>
      <w:iCs/>
      <w:spacing w:val="5"/>
      <w:lang w:eastAsia="en-US"/>
    </w:rPr>
  </w:style>
  <w:style w:type="character" w:customStyle="1" w:styleId="Heading1Char">
    <w:name w:val="Heading 1 Char"/>
    <w:basedOn w:val="DefaultParagraphFont"/>
    <w:link w:val="Heading1"/>
    <w:uiPriority w:val="9"/>
    <w:rsid w:val="00411AA2"/>
    <w:rPr>
      <w:rFonts w:ascii="Arial" w:hAnsi="Arial"/>
      <w:b/>
      <w:bCs/>
      <w:caps/>
      <w:sz w:val="24"/>
      <w:szCs w:val="24"/>
      <w:lang w:eastAsia="en-US"/>
    </w:rPr>
  </w:style>
  <w:style w:type="paragraph" w:styleId="Title">
    <w:name w:val="Title"/>
    <w:basedOn w:val="Normal"/>
    <w:next w:val="Normal"/>
    <w:link w:val="TitleChar"/>
    <w:uiPriority w:val="10"/>
    <w:qFormat/>
    <w:rsid w:val="00411AA2"/>
    <w:pPr>
      <w:pBdr>
        <w:bottom w:val="single" w:sz="4" w:space="1" w:color="auto"/>
      </w:pBdr>
      <w:spacing w:line="360" w:lineRule="auto"/>
      <w:contextualSpacing/>
    </w:pPr>
    <w:rPr>
      <w:rFonts w:asciiTheme="majorHAnsi" w:eastAsiaTheme="majorEastAsia" w:hAnsiTheme="majorHAnsi" w:cstheme="majorBidi"/>
      <w:b/>
      <w:spacing w:val="5"/>
      <w:sz w:val="36"/>
      <w:szCs w:val="52"/>
      <w:lang w:val="en-CA"/>
    </w:rPr>
  </w:style>
  <w:style w:type="character" w:customStyle="1" w:styleId="TitleChar">
    <w:name w:val="Title Char"/>
    <w:basedOn w:val="DefaultParagraphFont"/>
    <w:link w:val="Title"/>
    <w:uiPriority w:val="10"/>
    <w:rsid w:val="00411AA2"/>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411AA2"/>
    <w:pPr>
      <w:spacing w:after="600"/>
    </w:pPr>
    <w:rPr>
      <w:rFonts w:asciiTheme="majorHAnsi" w:eastAsiaTheme="majorEastAsia" w:hAnsiTheme="majorHAnsi" w:cstheme="majorBidi"/>
      <w:b/>
      <w:i/>
      <w:iCs/>
      <w:spacing w:val="13"/>
      <w:sz w:val="32"/>
      <w:lang w:val="en-CA"/>
    </w:rPr>
  </w:style>
  <w:style w:type="character" w:customStyle="1" w:styleId="SubtitleChar">
    <w:name w:val="Subtitle Char"/>
    <w:basedOn w:val="DefaultParagraphFont"/>
    <w:link w:val="Subtitle"/>
    <w:uiPriority w:val="11"/>
    <w:rsid w:val="00411AA2"/>
    <w:rPr>
      <w:rFonts w:asciiTheme="majorHAnsi" w:eastAsiaTheme="majorEastAsia" w:hAnsiTheme="majorHAnsi" w:cstheme="majorBidi"/>
      <w:b/>
      <w:i/>
      <w:iCs/>
      <w:spacing w:val="13"/>
      <w:sz w:val="32"/>
      <w:szCs w:val="24"/>
      <w:lang w:eastAsia="en-US"/>
    </w:rPr>
  </w:style>
  <w:style w:type="character" w:styleId="Strong">
    <w:name w:val="Strong"/>
    <w:uiPriority w:val="22"/>
    <w:rsid w:val="00411AA2"/>
    <w:rPr>
      <w:b/>
      <w:bCs/>
    </w:rPr>
  </w:style>
  <w:style w:type="character" w:styleId="Emphasis">
    <w:name w:val="Emphasis"/>
    <w:uiPriority w:val="20"/>
    <w:rsid w:val="00411AA2"/>
    <w:rPr>
      <w:b/>
      <w:bCs/>
      <w:i/>
      <w:iCs/>
      <w:spacing w:val="10"/>
      <w:bdr w:val="none" w:sz="0" w:space="0" w:color="auto"/>
      <w:shd w:val="clear" w:color="auto" w:fill="auto"/>
    </w:rPr>
  </w:style>
  <w:style w:type="paragraph" w:styleId="NoSpacing">
    <w:name w:val="No Spacing"/>
    <w:uiPriority w:val="1"/>
    <w:rsid w:val="00411AA2"/>
    <w:rPr>
      <w:rFonts w:asciiTheme="minorHAnsi" w:eastAsiaTheme="minorHAnsi" w:hAnsiTheme="minorHAnsi" w:cstheme="minorBidi"/>
      <w:sz w:val="24"/>
      <w:szCs w:val="22"/>
      <w:lang w:eastAsia="en-US"/>
    </w:rPr>
  </w:style>
  <w:style w:type="paragraph" w:styleId="Quote">
    <w:name w:val="Quote"/>
    <w:basedOn w:val="Normal"/>
    <w:next w:val="Normal"/>
    <w:link w:val="QuoteChar"/>
    <w:uiPriority w:val="29"/>
    <w:rsid w:val="00411AA2"/>
    <w:pPr>
      <w:spacing w:before="200"/>
      <w:ind w:left="360" w:right="360"/>
    </w:pPr>
    <w:rPr>
      <w:i/>
      <w:iCs/>
      <w:lang w:val="en-CA"/>
    </w:rPr>
  </w:style>
  <w:style w:type="character" w:customStyle="1" w:styleId="QuoteChar">
    <w:name w:val="Quote Char"/>
    <w:basedOn w:val="DefaultParagraphFont"/>
    <w:link w:val="Quote"/>
    <w:uiPriority w:val="29"/>
    <w:rsid w:val="00411AA2"/>
    <w:rPr>
      <w:i/>
      <w:iCs/>
      <w:sz w:val="24"/>
      <w:szCs w:val="24"/>
      <w:lang w:eastAsia="en-US"/>
    </w:rPr>
  </w:style>
  <w:style w:type="paragraph" w:styleId="IntenseQuote">
    <w:name w:val="Intense Quote"/>
    <w:basedOn w:val="Normal"/>
    <w:next w:val="Normal"/>
    <w:link w:val="IntenseQuoteChar"/>
    <w:uiPriority w:val="30"/>
    <w:rsid w:val="00411AA2"/>
    <w:pPr>
      <w:pBdr>
        <w:bottom w:val="single" w:sz="4" w:space="1" w:color="auto"/>
      </w:pBdr>
      <w:spacing w:before="200" w:after="280"/>
      <w:ind w:left="1008" w:right="1152"/>
      <w:jc w:val="both"/>
    </w:pPr>
    <w:rPr>
      <w:b/>
      <w:bCs/>
      <w:i/>
      <w:iCs/>
      <w:lang w:val="en-CA"/>
    </w:rPr>
  </w:style>
  <w:style w:type="character" w:customStyle="1" w:styleId="IntenseQuoteChar">
    <w:name w:val="Intense Quote Char"/>
    <w:basedOn w:val="DefaultParagraphFont"/>
    <w:link w:val="IntenseQuote"/>
    <w:uiPriority w:val="30"/>
    <w:rsid w:val="00411AA2"/>
    <w:rPr>
      <w:b/>
      <w:bCs/>
      <w:i/>
      <w:iCs/>
      <w:sz w:val="24"/>
      <w:szCs w:val="24"/>
      <w:lang w:eastAsia="en-US"/>
    </w:rPr>
  </w:style>
  <w:style w:type="character" w:styleId="SubtleEmphasis">
    <w:name w:val="Subtle Emphasis"/>
    <w:uiPriority w:val="19"/>
    <w:rsid w:val="00411AA2"/>
    <w:rPr>
      <w:i/>
      <w:iCs/>
    </w:rPr>
  </w:style>
  <w:style w:type="character" w:styleId="IntenseEmphasis">
    <w:name w:val="Intense Emphasis"/>
    <w:uiPriority w:val="21"/>
    <w:rsid w:val="00411AA2"/>
    <w:rPr>
      <w:b/>
      <w:bCs/>
    </w:rPr>
  </w:style>
  <w:style w:type="character" w:styleId="SubtleReference">
    <w:name w:val="Subtle Reference"/>
    <w:uiPriority w:val="31"/>
    <w:rsid w:val="00411AA2"/>
    <w:rPr>
      <w:smallCaps/>
    </w:rPr>
  </w:style>
  <w:style w:type="character" w:styleId="IntenseReference">
    <w:name w:val="Intense Reference"/>
    <w:uiPriority w:val="32"/>
    <w:rsid w:val="00411AA2"/>
    <w:rPr>
      <w:smallCaps/>
      <w:spacing w:val="5"/>
      <w:u w:val="single"/>
    </w:rPr>
  </w:style>
  <w:style w:type="character" w:styleId="BookTitle">
    <w:name w:val="Book Title"/>
    <w:uiPriority w:val="33"/>
    <w:rsid w:val="00411AA2"/>
    <w:rPr>
      <w:i/>
      <w:iCs/>
      <w:smallCaps/>
      <w:spacing w:val="5"/>
    </w:rPr>
  </w:style>
  <w:style w:type="paragraph" w:styleId="TOCHeading">
    <w:name w:val="TOC Heading"/>
    <w:basedOn w:val="Heading1"/>
    <w:next w:val="Normal"/>
    <w:uiPriority w:val="39"/>
    <w:semiHidden/>
    <w:unhideWhenUsed/>
    <w:qFormat/>
    <w:rsid w:val="00411AA2"/>
    <w:pPr>
      <w:keepNext w:val="0"/>
      <w:spacing w:before="480" w:line="240" w:lineRule="auto"/>
      <w:contextualSpacing/>
      <w:outlineLvl w:val="9"/>
    </w:pPr>
    <w:rPr>
      <w:rFonts w:asciiTheme="majorHAnsi" w:eastAsiaTheme="majorEastAsia" w:hAnsiTheme="majorHAnsi" w:cstheme="majorBidi"/>
      <w:caps w:val="0"/>
      <w:sz w:val="36"/>
      <w:szCs w:val="28"/>
      <w:lang w:bidi="en-US"/>
    </w:rPr>
  </w:style>
  <w:style w:type="character" w:customStyle="1" w:styleId="BalloonTextChar">
    <w:name w:val="Balloon Text Char"/>
    <w:basedOn w:val="DefaultParagraphFont"/>
    <w:link w:val="BalloonText"/>
    <w:uiPriority w:val="99"/>
    <w:semiHidden/>
    <w:rsid w:val="00411AA2"/>
    <w:rPr>
      <w:rFonts w:ascii="Tahoma" w:hAnsi="Tahoma" w:cs="Tahoma"/>
      <w:sz w:val="16"/>
      <w:szCs w:val="16"/>
      <w:lang w:val="en-US" w:eastAsia="en-US"/>
    </w:rPr>
  </w:style>
  <w:style w:type="paragraph" w:customStyle="1" w:styleId="style">
    <w:name w:val="style"/>
    <w:basedOn w:val="Normal"/>
    <w:rsid w:val="00411AA2"/>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385494233">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472984176">
      <w:bodyDiv w:val="1"/>
      <w:marLeft w:val="0"/>
      <w:marRight w:val="0"/>
      <w:marTop w:val="0"/>
      <w:marBottom w:val="0"/>
      <w:divBdr>
        <w:top w:val="none" w:sz="0" w:space="0" w:color="auto"/>
        <w:left w:val="none" w:sz="0" w:space="0" w:color="auto"/>
        <w:bottom w:val="none" w:sz="0" w:space="0" w:color="auto"/>
        <w:right w:val="none" w:sz="0" w:space="0" w:color="auto"/>
      </w:divBdr>
    </w:div>
    <w:div w:id="487286275">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622999485">
      <w:bodyDiv w:val="1"/>
      <w:marLeft w:val="0"/>
      <w:marRight w:val="0"/>
      <w:marTop w:val="0"/>
      <w:marBottom w:val="0"/>
      <w:divBdr>
        <w:top w:val="none" w:sz="0" w:space="0" w:color="auto"/>
        <w:left w:val="none" w:sz="0" w:space="0" w:color="auto"/>
        <w:bottom w:val="none" w:sz="0" w:space="0" w:color="auto"/>
        <w:right w:val="none" w:sz="0" w:space="0" w:color="auto"/>
      </w:divBdr>
    </w:div>
    <w:div w:id="777991352">
      <w:bodyDiv w:val="1"/>
      <w:marLeft w:val="0"/>
      <w:marRight w:val="0"/>
      <w:marTop w:val="0"/>
      <w:marBottom w:val="0"/>
      <w:divBdr>
        <w:top w:val="none" w:sz="0" w:space="0" w:color="auto"/>
        <w:left w:val="none" w:sz="0" w:space="0" w:color="auto"/>
        <w:bottom w:val="none" w:sz="0" w:space="0" w:color="auto"/>
        <w:right w:val="none" w:sz="0" w:space="0" w:color="auto"/>
      </w:divBdr>
    </w:div>
    <w:div w:id="794719969">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857424931">
      <w:bodyDiv w:val="1"/>
      <w:marLeft w:val="0"/>
      <w:marRight w:val="0"/>
      <w:marTop w:val="0"/>
      <w:marBottom w:val="0"/>
      <w:divBdr>
        <w:top w:val="none" w:sz="0" w:space="0" w:color="auto"/>
        <w:left w:val="none" w:sz="0" w:space="0" w:color="auto"/>
        <w:bottom w:val="none" w:sz="0" w:space="0" w:color="auto"/>
        <w:right w:val="none" w:sz="0" w:space="0" w:color="auto"/>
      </w:divBdr>
    </w:div>
    <w:div w:id="910504857">
      <w:bodyDiv w:val="1"/>
      <w:marLeft w:val="0"/>
      <w:marRight w:val="0"/>
      <w:marTop w:val="0"/>
      <w:marBottom w:val="0"/>
      <w:divBdr>
        <w:top w:val="none" w:sz="0" w:space="0" w:color="auto"/>
        <w:left w:val="none" w:sz="0" w:space="0" w:color="auto"/>
        <w:bottom w:val="none" w:sz="0" w:space="0" w:color="auto"/>
        <w:right w:val="none" w:sz="0" w:space="0" w:color="auto"/>
      </w:divBdr>
    </w:div>
    <w:div w:id="937104040">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132359575">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346008902">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8822551">
      <w:bodyDiv w:val="1"/>
      <w:marLeft w:val="0"/>
      <w:marRight w:val="0"/>
      <w:marTop w:val="0"/>
      <w:marBottom w:val="0"/>
      <w:divBdr>
        <w:top w:val="none" w:sz="0" w:space="0" w:color="auto"/>
        <w:left w:val="none" w:sz="0" w:space="0" w:color="auto"/>
        <w:bottom w:val="none" w:sz="0" w:space="0" w:color="auto"/>
        <w:right w:val="none" w:sz="0" w:space="0" w:color="auto"/>
      </w:divBdr>
    </w:div>
    <w:div w:id="1673986885">
      <w:bodyDiv w:val="1"/>
      <w:marLeft w:val="0"/>
      <w:marRight w:val="0"/>
      <w:marTop w:val="0"/>
      <w:marBottom w:val="0"/>
      <w:divBdr>
        <w:top w:val="none" w:sz="0" w:space="0" w:color="auto"/>
        <w:left w:val="none" w:sz="0" w:space="0" w:color="auto"/>
        <w:bottom w:val="none" w:sz="0" w:space="0" w:color="auto"/>
        <w:right w:val="none" w:sz="0" w:space="0" w:color="auto"/>
      </w:divBdr>
    </w:div>
    <w:div w:id="1712025522">
      <w:bodyDiv w:val="1"/>
      <w:marLeft w:val="0"/>
      <w:marRight w:val="0"/>
      <w:marTop w:val="0"/>
      <w:marBottom w:val="0"/>
      <w:divBdr>
        <w:top w:val="none" w:sz="0" w:space="0" w:color="auto"/>
        <w:left w:val="none" w:sz="0" w:space="0" w:color="auto"/>
        <w:bottom w:val="none" w:sz="0" w:space="0" w:color="auto"/>
        <w:right w:val="none" w:sz="0" w:space="0" w:color="auto"/>
      </w:divBdr>
    </w:div>
    <w:div w:id="1717195819">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1957104561">
      <w:bodyDiv w:val="1"/>
      <w:marLeft w:val="0"/>
      <w:marRight w:val="0"/>
      <w:marTop w:val="0"/>
      <w:marBottom w:val="0"/>
      <w:divBdr>
        <w:top w:val="none" w:sz="0" w:space="0" w:color="auto"/>
        <w:left w:val="none" w:sz="0" w:space="0" w:color="auto"/>
        <w:bottom w:val="none" w:sz="0" w:space="0" w:color="auto"/>
        <w:right w:val="none" w:sz="0" w:space="0" w:color="auto"/>
      </w:divBdr>
    </w:div>
    <w:div w:id="1959020463">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73E08492A2D944AC108D2D7C7FFA93" ma:contentTypeVersion="13" ma:contentTypeDescription="Create a new document." ma:contentTypeScope="" ma:versionID="f68d30004aa39ccac18d5ff41d643398">
  <xsd:schema xmlns:xsd="http://www.w3.org/2001/XMLSchema" xmlns:xs="http://www.w3.org/2001/XMLSchema" xmlns:p="http://schemas.microsoft.com/office/2006/metadata/properties" xmlns:ns3="4240001e-fc6b-4041-829b-e39d3e9f68aa" xmlns:ns4="43a6bb30-2e5f-4472-b5bc-092a53295f6f" targetNamespace="http://schemas.microsoft.com/office/2006/metadata/properties" ma:root="true" ma:fieldsID="8cc9ebb67dce3c571be7f1f28819c5f0" ns3:_="" ns4:_="">
    <xsd:import namespace="4240001e-fc6b-4041-829b-e39d3e9f68aa"/>
    <xsd:import namespace="43a6bb30-2e5f-4472-b5bc-092a53295f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0001e-fc6b-4041-829b-e39d3e9f6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6bb30-2e5f-4472-b5bc-092a53295f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7DAE-2181-442D-B53F-12A38EBD6E16}">
  <ds:schemaRefs>
    <ds:schemaRef ds:uri="http://schemas.microsoft.com/office/infopath/2007/PartnerControls"/>
    <ds:schemaRef ds:uri="http://purl.org/dc/elements/1.1/"/>
    <ds:schemaRef ds:uri="http://schemas.microsoft.com/office/2006/metadata/properties"/>
    <ds:schemaRef ds:uri="4240001e-fc6b-4041-829b-e39d3e9f68aa"/>
    <ds:schemaRef ds:uri="http://purl.org/dc/terms/"/>
    <ds:schemaRef ds:uri="43a6bb30-2e5f-4472-b5bc-092a53295f6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0791A3-20CC-4543-9CAB-EDDAFA2447CC}">
  <ds:schemaRefs>
    <ds:schemaRef ds:uri="http://schemas.microsoft.com/sharepoint/v3/contenttype/forms"/>
  </ds:schemaRefs>
</ds:datastoreItem>
</file>

<file path=customXml/itemProps3.xml><?xml version="1.0" encoding="utf-8"?>
<ds:datastoreItem xmlns:ds="http://schemas.openxmlformats.org/officeDocument/2006/customXml" ds:itemID="{3981267C-C38D-40C1-B89C-7EFDFE49D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0001e-fc6b-4041-829b-e39d3e9f68aa"/>
    <ds:schemaRef ds:uri="43a6bb30-2e5f-4472-b5bc-092a53295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45EC6-7D82-4076-BDCE-60345967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6076</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2021-03-17T17:32:00Z</cp:lastPrinted>
  <dcterms:created xsi:type="dcterms:W3CDTF">2021-03-17T17:29:00Z</dcterms:created>
  <dcterms:modified xsi:type="dcterms:W3CDTF">2021-03-17T17:40:00Z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0x0101008173E08492A2D944AC108D2D7C7FFA93</vt:lpwstr>
  </property>
</Properties>
</file>