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98597A" w14:paraId="14EF4B45" w14:textId="77777777" w:rsidTr="005F047A">
        <w:trPr>
          <w:trHeight w:val="281"/>
        </w:trPr>
        <w:tc>
          <w:tcPr>
            <w:tcW w:w="5778" w:type="dxa"/>
          </w:tcPr>
          <w:p w14:paraId="51C16E8D" w14:textId="77777777" w:rsidR="006D09B4" w:rsidRPr="0098597A" w:rsidRDefault="006D09B4" w:rsidP="00753561">
            <w:pPr>
              <w:spacing w:line="240" w:lineRule="auto"/>
              <w:rPr>
                <w:rFonts w:cs="Arial"/>
                <w:b/>
                <w:sz w:val="16"/>
                <w:szCs w:val="16"/>
                <w:lang w:val="en-CA"/>
              </w:rPr>
            </w:pPr>
          </w:p>
        </w:tc>
        <w:tc>
          <w:tcPr>
            <w:tcW w:w="3828" w:type="dxa"/>
            <w:vMerge w:val="restart"/>
          </w:tcPr>
          <w:p w14:paraId="04BAFFAD" w14:textId="3FE8D28D" w:rsidR="006D09B4" w:rsidRPr="0098597A" w:rsidRDefault="00AF36F7" w:rsidP="00753561">
            <w:pPr>
              <w:spacing w:line="240" w:lineRule="auto"/>
              <w:rPr>
                <w:rFonts w:cs="Arial"/>
                <w:b/>
                <w:noProof/>
                <w:sz w:val="32"/>
                <w:szCs w:val="32"/>
                <w:lang w:val="en-CA" w:eastAsia="en-CA"/>
              </w:rPr>
            </w:pPr>
            <w:r w:rsidRPr="0098597A">
              <w:rPr>
                <w:rFonts w:cs="Arial"/>
                <w:noProof/>
                <w:lang w:val="en-CA"/>
              </w:rPr>
              <w:drawing>
                <wp:anchor distT="0" distB="0" distL="114300" distR="114300" simplePos="0" relativeHeight="251657728" behindDoc="0" locked="0" layoutInCell="1" allowOverlap="1" wp14:anchorId="77F65AB0" wp14:editId="404F5E7E">
                  <wp:simplePos x="0" y="0"/>
                  <wp:positionH relativeFrom="column">
                    <wp:posOffset>1092200</wp:posOffset>
                  </wp:positionH>
                  <wp:positionV relativeFrom="paragraph">
                    <wp:posOffset>90170</wp:posOffset>
                  </wp:positionV>
                  <wp:extent cx="1188720" cy="11887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98597A" w14:paraId="6A7499B6" w14:textId="77777777" w:rsidTr="005F047A">
        <w:tc>
          <w:tcPr>
            <w:tcW w:w="5778" w:type="dxa"/>
          </w:tcPr>
          <w:p w14:paraId="3B274B1E" w14:textId="77777777" w:rsidR="006D09B4" w:rsidRPr="0098597A" w:rsidRDefault="009B3F63" w:rsidP="00753561">
            <w:pPr>
              <w:spacing w:line="240" w:lineRule="auto"/>
              <w:rPr>
                <w:rFonts w:cs="Arial"/>
                <w:b/>
                <w:sz w:val="32"/>
                <w:szCs w:val="32"/>
                <w:lang w:val="en-CA"/>
              </w:rPr>
            </w:pPr>
            <w:r w:rsidRPr="0098597A">
              <w:rPr>
                <w:rFonts w:cs="Arial"/>
                <w:b/>
                <w:sz w:val="32"/>
                <w:szCs w:val="32"/>
                <w:lang w:val="en-CA"/>
              </w:rPr>
              <w:t>Ontario Land Tribunal</w:t>
            </w:r>
          </w:p>
        </w:tc>
        <w:tc>
          <w:tcPr>
            <w:tcW w:w="3828" w:type="dxa"/>
            <w:vMerge/>
          </w:tcPr>
          <w:p w14:paraId="6D798873" w14:textId="77777777" w:rsidR="006D09B4" w:rsidRPr="0098597A" w:rsidRDefault="006D09B4" w:rsidP="00753561">
            <w:pPr>
              <w:spacing w:line="240" w:lineRule="auto"/>
              <w:rPr>
                <w:rFonts w:cs="Arial"/>
                <w:b/>
                <w:sz w:val="32"/>
                <w:szCs w:val="32"/>
                <w:lang w:val="en-CA"/>
              </w:rPr>
            </w:pPr>
          </w:p>
        </w:tc>
      </w:tr>
      <w:tr w:rsidR="006D09B4" w:rsidRPr="0098597A" w14:paraId="3E8BAC7C" w14:textId="77777777" w:rsidTr="005F047A">
        <w:tc>
          <w:tcPr>
            <w:tcW w:w="5778" w:type="dxa"/>
          </w:tcPr>
          <w:p w14:paraId="1639D7BA" w14:textId="77777777" w:rsidR="009B3F63" w:rsidRPr="0098597A" w:rsidRDefault="009B3F63" w:rsidP="009B3F63">
            <w:pPr>
              <w:spacing w:line="240" w:lineRule="auto"/>
              <w:rPr>
                <w:rFonts w:cs="Arial"/>
                <w:sz w:val="32"/>
                <w:szCs w:val="32"/>
                <w:lang w:val="en-CA"/>
              </w:rPr>
            </w:pPr>
            <w:r w:rsidRPr="0098597A">
              <w:rPr>
                <w:rFonts w:cs="Arial"/>
                <w:sz w:val="32"/>
                <w:szCs w:val="32"/>
                <w:lang w:val="en-CA"/>
              </w:rPr>
              <w:t xml:space="preserve">Tribunal </w:t>
            </w:r>
            <w:proofErr w:type="spellStart"/>
            <w:r w:rsidRPr="0098597A">
              <w:rPr>
                <w:rFonts w:cs="Arial"/>
                <w:sz w:val="32"/>
                <w:szCs w:val="32"/>
                <w:lang w:val="en-CA"/>
              </w:rPr>
              <w:t>ontarien</w:t>
            </w:r>
            <w:proofErr w:type="spellEnd"/>
            <w:r w:rsidRPr="0098597A">
              <w:rPr>
                <w:rFonts w:cs="Arial"/>
                <w:sz w:val="32"/>
                <w:szCs w:val="32"/>
                <w:lang w:val="en-CA"/>
              </w:rPr>
              <w:t xml:space="preserve"> de </w:t>
            </w:r>
            <w:proofErr w:type="spellStart"/>
            <w:r w:rsidRPr="0098597A">
              <w:rPr>
                <w:rFonts w:cs="Arial"/>
                <w:sz w:val="32"/>
                <w:szCs w:val="32"/>
                <w:lang w:val="en-CA"/>
              </w:rPr>
              <w:t>l’aménagement</w:t>
            </w:r>
            <w:proofErr w:type="spellEnd"/>
            <w:r w:rsidRPr="0098597A">
              <w:rPr>
                <w:rFonts w:cs="Arial"/>
                <w:sz w:val="32"/>
                <w:szCs w:val="32"/>
                <w:lang w:val="en-CA"/>
              </w:rPr>
              <w:t xml:space="preserve"> </w:t>
            </w:r>
          </w:p>
          <w:p w14:paraId="4415B0AB" w14:textId="77777777" w:rsidR="006D09B4" w:rsidRPr="0098597A" w:rsidRDefault="009B3F63" w:rsidP="009B3F63">
            <w:pPr>
              <w:spacing w:line="240" w:lineRule="auto"/>
              <w:rPr>
                <w:rFonts w:cs="Arial"/>
                <w:sz w:val="32"/>
                <w:szCs w:val="32"/>
                <w:lang w:val="en-CA"/>
              </w:rPr>
            </w:pPr>
            <w:r w:rsidRPr="0098597A">
              <w:rPr>
                <w:rFonts w:cs="Arial"/>
                <w:sz w:val="32"/>
                <w:szCs w:val="32"/>
                <w:lang w:val="en-CA"/>
              </w:rPr>
              <w:t xml:space="preserve">du </w:t>
            </w:r>
            <w:proofErr w:type="spellStart"/>
            <w:r w:rsidRPr="0098597A">
              <w:rPr>
                <w:rFonts w:cs="Arial"/>
                <w:sz w:val="32"/>
                <w:szCs w:val="32"/>
                <w:lang w:val="en-CA"/>
              </w:rPr>
              <w:t>territoire</w:t>
            </w:r>
            <w:proofErr w:type="spellEnd"/>
          </w:p>
          <w:p w14:paraId="0F276F82" w14:textId="77777777" w:rsidR="006D09B4" w:rsidRPr="0098597A" w:rsidRDefault="006D09B4" w:rsidP="00753561">
            <w:pPr>
              <w:spacing w:line="240" w:lineRule="auto"/>
              <w:rPr>
                <w:rFonts w:cs="Arial"/>
                <w:sz w:val="32"/>
                <w:szCs w:val="32"/>
                <w:lang w:val="en-CA"/>
              </w:rPr>
            </w:pPr>
          </w:p>
          <w:p w14:paraId="76ED8A77" w14:textId="77777777" w:rsidR="006D09B4" w:rsidRPr="0098597A" w:rsidRDefault="006D09B4" w:rsidP="00753561">
            <w:pPr>
              <w:spacing w:line="240" w:lineRule="auto"/>
              <w:rPr>
                <w:rFonts w:cs="Arial"/>
                <w:sz w:val="32"/>
                <w:szCs w:val="32"/>
                <w:lang w:val="en-CA"/>
              </w:rPr>
            </w:pPr>
          </w:p>
        </w:tc>
        <w:tc>
          <w:tcPr>
            <w:tcW w:w="3828" w:type="dxa"/>
            <w:vMerge/>
          </w:tcPr>
          <w:p w14:paraId="11E5F8EF" w14:textId="77777777" w:rsidR="006D09B4" w:rsidRPr="0098597A" w:rsidRDefault="006D09B4" w:rsidP="00753561">
            <w:pPr>
              <w:spacing w:line="240" w:lineRule="auto"/>
              <w:rPr>
                <w:rFonts w:cs="Arial"/>
                <w:sz w:val="32"/>
                <w:szCs w:val="32"/>
                <w:lang w:val="en-CA"/>
              </w:rPr>
            </w:pPr>
          </w:p>
        </w:tc>
      </w:tr>
    </w:tbl>
    <w:p w14:paraId="0F64EBB7" w14:textId="77777777" w:rsidR="008B7742" w:rsidRPr="0098597A" w:rsidRDefault="008B7742" w:rsidP="00753561">
      <w:pPr>
        <w:spacing w:line="240" w:lineRule="auto"/>
        <w:rPr>
          <w:rFonts w:cs="Arial"/>
          <w:lang w:val="en-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2127"/>
        <w:gridCol w:w="1701"/>
      </w:tblGrid>
      <w:tr w:rsidR="00EA73B7" w:rsidRPr="0098597A" w14:paraId="1FF6FD21" w14:textId="77777777" w:rsidTr="005F047A">
        <w:tc>
          <w:tcPr>
            <w:tcW w:w="1818" w:type="dxa"/>
            <w:shd w:val="clear" w:color="auto" w:fill="auto"/>
            <w:vAlign w:val="center"/>
          </w:tcPr>
          <w:p w14:paraId="2DB376B7" w14:textId="77777777" w:rsidR="00EA73B7" w:rsidRPr="0098597A" w:rsidRDefault="00EA73B7" w:rsidP="00753561">
            <w:pPr>
              <w:spacing w:line="240" w:lineRule="auto"/>
              <w:rPr>
                <w:rFonts w:cs="Arial"/>
                <w:b/>
                <w:lang w:val="en-CA"/>
              </w:rPr>
            </w:pPr>
            <w:r w:rsidRPr="0098597A">
              <w:rPr>
                <w:rFonts w:cs="Arial"/>
                <w:b/>
                <w:lang w:val="en-CA"/>
              </w:rPr>
              <w:t>ISSUE DATE:</w:t>
            </w:r>
          </w:p>
        </w:tc>
        <w:tc>
          <w:tcPr>
            <w:tcW w:w="3960" w:type="dxa"/>
            <w:shd w:val="clear" w:color="auto" w:fill="auto"/>
            <w:vAlign w:val="center"/>
          </w:tcPr>
          <w:p w14:paraId="58DE1CE7" w14:textId="0203A670" w:rsidR="00EA73B7" w:rsidRPr="0098597A" w:rsidRDefault="00FE3AD4" w:rsidP="00610353">
            <w:pPr>
              <w:spacing w:line="240" w:lineRule="auto"/>
              <w:rPr>
                <w:rFonts w:cs="Arial"/>
                <w:lang w:val="en-CA"/>
              </w:rPr>
            </w:pPr>
            <w:r>
              <w:rPr>
                <w:rFonts w:cs="Arial"/>
                <w:lang w:val="en-CA"/>
              </w:rPr>
              <w:t xml:space="preserve">November </w:t>
            </w:r>
            <w:r w:rsidR="00E717D5">
              <w:rPr>
                <w:rFonts w:cs="Arial"/>
                <w:lang w:val="en-CA"/>
              </w:rPr>
              <w:t>0</w:t>
            </w:r>
            <w:r>
              <w:rPr>
                <w:rFonts w:cs="Arial"/>
                <w:lang w:val="en-CA"/>
              </w:rPr>
              <w:t>8, 2021</w:t>
            </w:r>
          </w:p>
        </w:tc>
        <w:tc>
          <w:tcPr>
            <w:tcW w:w="2127" w:type="dxa"/>
            <w:shd w:val="clear" w:color="auto" w:fill="auto"/>
            <w:vAlign w:val="center"/>
          </w:tcPr>
          <w:p w14:paraId="5C079C43" w14:textId="37096EF1" w:rsidR="00EA73B7" w:rsidRPr="0098597A" w:rsidRDefault="00EA73B7" w:rsidP="00753561">
            <w:pPr>
              <w:spacing w:line="240" w:lineRule="auto"/>
              <w:rPr>
                <w:rFonts w:cs="Arial"/>
                <w:b/>
                <w:lang w:val="en-CA"/>
              </w:rPr>
            </w:pPr>
            <w:r w:rsidRPr="0098597A">
              <w:rPr>
                <w:rFonts w:cs="Arial"/>
                <w:b/>
                <w:lang w:val="en-CA"/>
              </w:rPr>
              <w:fldChar w:fldCharType="begin"/>
            </w:r>
            <w:r w:rsidRPr="0098597A">
              <w:rPr>
                <w:rFonts w:cs="Arial"/>
                <w:b/>
                <w:lang w:val="en-CA"/>
              </w:rPr>
              <w:instrText xml:space="preserve"> SEQ CHAPTER \h \r 1</w:instrText>
            </w:r>
            <w:r w:rsidRPr="0098597A">
              <w:rPr>
                <w:rFonts w:cs="Arial"/>
                <w:b/>
                <w:lang w:val="en-CA"/>
              </w:rPr>
              <w:fldChar w:fldCharType="end"/>
            </w:r>
            <w:r w:rsidRPr="0098597A">
              <w:rPr>
                <w:rFonts w:cs="Arial"/>
                <w:b/>
                <w:lang w:val="en-CA"/>
              </w:rPr>
              <w:t>CASE NO(S).:</w:t>
            </w:r>
          </w:p>
        </w:tc>
        <w:tc>
          <w:tcPr>
            <w:tcW w:w="1701" w:type="dxa"/>
            <w:shd w:val="clear" w:color="auto" w:fill="auto"/>
            <w:vAlign w:val="center"/>
          </w:tcPr>
          <w:p w14:paraId="2B02A815" w14:textId="0113CF8F" w:rsidR="00EA73B7" w:rsidRPr="0098597A" w:rsidRDefault="00D2653B" w:rsidP="008B255D">
            <w:pPr>
              <w:spacing w:line="240" w:lineRule="auto"/>
              <w:jc w:val="right"/>
              <w:rPr>
                <w:rFonts w:cs="Arial"/>
                <w:lang w:val="en-CA"/>
              </w:rPr>
            </w:pPr>
            <w:r w:rsidRPr="0098597A">
              <w:rPr>
                <w:rFonts w:cs="Arial"/>
                <w:lang w:val="en-CA"/>
              </w:rPr>
              <w:t>PL</w:t>
            </w:r>
            <w:r w:rsidR="0036795A" w:rsidRPr="0098597A">
              <w:rPr>
                <w:rFonts w:cs="Arial"/>
                <w:lang w:val="en-CA"/>
              </w:rPr>
              <w:t>2</w:t>
            </w:r>
            <w:r w:rsidR="00304DCC" w:rsidRPr="0098597A">
              <w:rPr>
                <w:rFonts w:cs="Arial"/>
                <w:lang w:val="en-CA"/>
              </w:rPr>
              <w:t>0</w:t>
            </w:r>
            <w:r w:rsidR="00955BBD" w:rsidRPr="0098597A">
              <w:rPr>
                <w:rFonts w:cs="Arial"/>
                <w:lang w:val="en-CA"/>
              </w:rPr>
              <w:t>02</w:t>
            </w:r>
            <w:r w:rsidR="009E3216" w:rsidRPr="0098597A">
              <w:rPr>
                <w:rFonts w:cs="Arial"/>
                <w:lang w:val="en-CA"/>
              </w:rPr>
              <w:t>7</w:t>
            </w:r>
            <w:r w:rsidR="00955BBD" w:rsidRPr="0098597A">
              <w:rPr>
                <w:rFonts w:cs="Arial"/>
                <w:lang w:val="en-CA"/>
              </w:rPr>
              <w:t>4</w:t>
            </w:r>
          </w:p>
        </w:tc>
      </w:tr>
    </w:tbl>
    <w:p w14:paraId="6159AA1C" w14:textId="77777777" w:rsidR="00A842EC" w:rsidRPr="0098597A" w:rsidRDefault="00A842EC" w:rsidP="00753561">
      <w:pPr>
        <w:spacing w:line="240" w:lineRule="auto"/>
        <w:rPr>
          <w:rFonts w:cs="Arial"/>
          <w:lang w:val="en-CA"/>
        </w:rPr>
      </w:pPr>
    </w:p>
    <w:p w14:paraId="47DFED2E" w14:textId="77777777" w:rsidR="00061E90" w:rsidRPr="0098597A" w:rsidRDefault="00061E90" w:rsidP="00753561">
      <w:pPr>
        <w:spacing w:line="240" w:lineRule="auto"/>
        <w:rPr>
          <w:rFonts w:cs="Arial"/>
          <w:lang w:val="en-CA"/>
        </w:rPr>
      </w:pPr>
    </w:p>
    <w:tbl>
      <w:tblPr>
        <w:tblW w:w="9606" w:type="dxa"/>
        <w:tblLook w:val="04A0" w:firstRow="1" w:lastRow="0" w:firstColumn="1" w:lastColumn="0" w:noHBand="0" w:noVBand="1"/>
      </w:tblPr>
      <w:tblGrid>
        <w:gridCol w:w="4428"/>
        <w:gridCol w:w="5178"/>
      </w:tblGrid>
      <w:tr w:rsidR="003F6EE1" w:rsidRPr="0098597A" w14:paraId="754E96BE" w14:textId="77777777" w:rsidTr="00AC2EF1">
        <w:trPr>
          <w:trHeight w:val="734"/>
        </w:trPr>
        <w:tc>
          <w:tcPr>
            <w:tcW w:w="9606" w:type="dxa"/>
            <w:gridSpan w:val="2"/>
          </w:tcPr>
          <w:p w14:paraId="749AE4F6" w14:textId="68386939" w:rsidR="003F6EE1" w:rsidRPr="0098597A" w:rsidRDefault="00B53F8E" w:rsidP="00AC2EF1">
            <w:pPr>
              <w:spacing w:line="240" w:lineRule="auto"/>
              <w:rPr>
                <w:rFonts w:cs="Arial"/>
                <w:lang w:val="en-CA"/>
              </w:rPr>
            </w:pPr>
            <w:bookmarkStart w:id="1" w:name="_Hlk85555995"/>
            <w:r w:rsidRPr="0098597A">
              <w:rPr>
                <w:rFonts w:cs="Arial"/>
                <w:b/>
                <w:lang w:val="en-CA"/>
              </w:rPr>
              <w:t xml:space="preserve">PROCEEDING COMMENCED UNDER </w:t>
            </w:r>
            <w:r w:rsidRPr="0098597A">
              <w:rPr>
                <w:rFonts w:cs="Arial"/>
                <w:lang w:val="en-CA"/>
              </w:rPr>
              <w:t xml:space="preserve">subsection 22(7) of the </w:t>
            </w:r>
            <w:r w:rsidRPr="0098597A">
              <w:rPr>
                <w:rFonts w:cs="Arial"/>
                <w:i/>
                <w:lang w:val="en-CA"/>
              </w:rPr>
              <w:t>Planning Act</w:t>
            </w:r>
            <w:r w:rsidRPr="0098597A">
              <w:rPr>
                <w:rFonts w:cs="Arial"/>
                <w:lang w:val="en-CA"/>
              </w:rPr>
              <w:t>, R.S.O. 1990, c. P.13, as amended</w:t>
            </w:r>
          </w:p>
        </w:tc>
      </w:tr>
      <w:tr w:rsidR="00C04319" w:rsidRPr="0098597A" w14:paraId="2057E4A0" w14:textId="77777777" w:rsidTr="005D4716">
        <w:trPr>
          <w:trHeight w:val="230"/>
        </w:trPr>
        <w:tc>
          <w:tcPr>
            <w:tcW w:w="4428" w:type="dxa"/>
          </w:tcPr>
          <w:p w14:paraId="62F9EE15" w14:textId="3DE40D63" w:rsidR="00C04319" w:rsidRPr="0098597A" w:rsidRDefault="00B53F8E" w:rsidP="00814155">
            <w:pPr>
              <w:spacing w:line="240" w:lineRule="auto"/>
              <w:rPr>
                <w:rFonts w:cs="Arial"/>
                <w:lang w:val="en-CA"/>
              </w:rPr>
            </w:pPr>
            <w:r w:rsidRPr="0098597A">
              <w:rPr>
                <w:rFonts w:cs="Arial"/>
                <w:lang w:val="en-CA"/>
              </w:rPr>
              <w:t xml:space="preserve">Applicant and </w:t>
            </w:r>
            <w:r w:rsidR="00FB25C6" w:rsidRPr="0098597A">
              <w:rPr>
                <w:rFonts w:cs="Arial"/>
                <w:lang w:val="en-CA"/>
              </w:rPr>
              <w:t>A</w:t>
            </w:r>
            <w:r w:rsidR="00361E1F" w:rsidRPr="0098597A">
              <w:rPr>
                <w:rFonts w:cs="Arial"/>
                <w:lang w:val="en-CA"/>
              </w:rPr>
              <w:t>ppellant:</w:t>
            </w:r>
          </w:p>
        </w:tc>
        <w:tc>
          <w:tcPr>
            <w:tcW w:w="5178" w:type="dxa"/>
          </w:tcPr>
          <w:p w14:paraId="292F8D99" w14:textId="6ABA7020" w:rsidR="00C04319" w:rsidRPr="0098597A" w:rsidRDefault="009E3216" w:rsidP="00814155">
            <w:pPr>
              <w:spacing w:line="240" w:lineRule="auto"/>
              <w:rPr>
                <w:rFonts w:cs="Arial"/>
                <w:lang w:val="en-CA"/>
              </w:rPr>
            </w:pPr>
            <w:r w:rsidRPr="0098597A">
              <w:rPr>
                <w:rFonts w:cs="Arial"/>
                <w:lang w:val="en-CA"/>
              </w:rPr>
              <w:t>LIV Developments Ltd.</w:t>
            </w:r>
          </w:p>
        </w:tc>
      </w:tr>
      <w:tr w:rsidR="00945922" w:rsidRPr="0098597A" w14:paraId="449B565B" w14:textId="77777777" w:rsidTr="005D4716">
        <w:trPr>
          <w:trHeight w:val="230"/>
        </w:trPr>
        <w:tc>
          <w:tcPr>
            <w:tcW w:w="4428" w:type="dxa"/>
          </w:tcPr>
          <w:p w14:paraId="1822A6E1" w14:textId="02AA6769" w:rsidR="00945922" w:rsidRPr="0098597A" w:rsidRDefault="00B53F8E" w:rsidP="00814155">
            <w:pPr>
              <w:spacing w:line="240" w:lineRule="auto"/>
              <w:rPr>
                <w:rFonts w:cs="Arial"/>
                <w:lang w:val="en-CA"/>
              </w:rPr>
            </w:pPr>
            <w:r w:rsidRPr="0098597A">
              <w:rPr>
                <w:rFonts w:cs="Arial"/>
                <w:lang w:val="en-CA"/>
              </w:rPr>
              <w:t>Subject:</w:t>
            </w:r>
          </w:p>
        </w:tc>
        <w:tc>
          <w:tcPr>
            <w:tcW w:w="5178" w:type="dxa"/>
          </w:tcPr>
          <w:p w14:paraId="0468D40B" w14:textId="4DB3A148" w:rsidR="00945922" w:rsidRPr="0098597A" w:rsidRDefault="009E3216" w:rsidP="00814155">
            <w:pPr>
              <w:spacing w:line="240" w:lineRule="auto"/>
              <w:rPr>
                <w:rFonts w:cs="Arial"/>
                <w:lang w:val="en-CA"/>
              </w:rPr>
            </w:pPr>
            <w:r w:rsidRPr="0098597A">
              <w:rPr>
                <w:rFonts w:cs="Arial"/>
                <w:lang w:val="en-CA"/>
              </w:rPr>
              <w:t>Request to amend the Official Plan - Failure of the City of Hamilton to adopt the requested amendment</w:t>
            </w:r>
          </w:p>
        </w:tc>
      </w:tr>
      <w:tr w:rsidR="00FB25C6" w:rsidRPr="0098597A" w14:paraId="2E7D790C" w14:textId="77777777" w:rsidTr="005D4716">
        <w:trPr>
          <w:trHeight w:val="230"/>
        </w:trPr>
        <w:tc>
          <w:tcPr>
            <w:tcW w:w="4428" w:type="dxa"/>
          </w:tcPr>
          <w:p w14:paraId="2D0859DB" w14:textId="748F97BB" w:rsidR="00FB25C6" w:rsidRPr="0098597A" w:rsidRDefault="00B53F8E" w:rsidP="00FB25C6">
            <w:pPr>
              <w:spacing w:line="240" w:lineRule="auto"/>
              <w:rPr>
                <w:rFonts w:cs="Arial"/>
                <w:lang w:val="en-CA"/>
              </w:rPr>
            </w:pPr>
            <w:r w:rsidRPr="0098597A">
              <w:rPr>
                <w:rFonts w:cs="Arial"/>
                <w:lang w:val="en-CA"/>
              </w:rPr>
              <w:t>Existing Designation:</w:t>
            </w:r>
          </w:p>
        </w:tc>
        <w:tc>
          <w:tcPr>
            <w:tcW w:w="5178" w:type="dxa"/>
          </w:tcPr>
          <w:p w14:paraId="346C015F" w14:textId="1E1B0756" w:rsidR="00FB25C6" w:rsidRPr="0098597A" w:rsidRDefault="009E3216" w:rsidP="00FB25C6">
            <w:pPr>
              <w:spacing w:line="240" w:lineRule="auto"/>
              <w:rPr>
                <w:rFonts w:cs="Arial"/>
                <w:lang w:val="en-CA"/>
              </w:rPr>
            </w:pPr>
            <w:r w:rsidRPr="0098597A">
              <w:rPr>
                <w:rFonts w:cs="Arial"/>
                <w:lang w:val="en-CA"/>
              </w:rPr>
              <w:t>Neighbourhoods</w:t>
            </w:r>
          </w:p>
        </w:tc>
      </w:tr>
      <w:tr w:rsidR="00B53F8E" w:rsidRPr="0098597A" w14:paraId="6AA4BD10" w14:textId="77777777" w:rsidTr="005D4716">
        <w:trPr>
          <w:trHeight w:val="230"/>
        </w:trPr>
        <w:tc>
          <w:tcPr>
            <w:tcW w:w="4428" w:type="dxa"/>
          </w:tcPr>
          <w:p w14:paraId="37C01646" w14:textId="71C72281" w:rsidR="00B53F8E" w:rsidRPr="0098597A" w:rsidRDefault="00B53F8E" w:rsidP="00FB25C6">
            <w:pPr>
              <w:spacing w:line="240" w:lineRule="auto"/>
              <w:rPr>
                <w:rFonts w:cs="Arial"/>
                <w:lang w:val="en-CA"/>
              </w:rPr>
            </w:pPr>
            <w:r w:rsidRPr="0098597A">
              <w:rPr>
                <w:rFonts w:cs="Arial"/>
                <w:lang w:val="en-CA"/>
              </w:rPr>
              <w:t>Proposed Designa</w:t>
            </w:r>
            <w:r w:rsidR="006F4EF7" w:rsidRPr="0098597A">
              <w:rPr>
                <w:rFonts w:cs="Arial"/>
                <w:lang w:val="en-CA"/>
              </w:rPr>
              <w:t>t</w:t>
            </w:r>
            <w:r w:rsidR="009E3216" w:rsidRPr="0098597A">
              <w:rPr>
                <w:rFonts w:cs="Arial"/>
                <w:lang w:val="en-CA"/>
              </w:rPr>
              <w:t>ed</w:t>
            </w:r>
            <w:r w:rsidRPr="0098597A">
              <w:rPr>
                <w:rFonts w:cs="Arial"/>
                <w:lang w:val="en-CA"/>
              </w:rPr>
              <w:t>:</w:t>
            </w:r>
          </w:p>
        </w:tc>
        <w:tc>
          <w:tcPr>
            <w:tcW w:w="5178" w:type="dxa"/>
          </w:tcPr>
          <w:p w14:paraId="5F235C9C" w14:textId="20172DAB" w:rsidR="00B53F8E" w:rsidRPr="0098597A" w:rsidRDefault="009E3216" w:rsidP="00FB25C6">
            <w:pPr>
              <w:spacing w:line="240" w:lineRule="auto"/>
              <w:rPr>
                <w:rFonts w:cs="Arial"/>
                <w:lang w:val="en-CA"/>
              </w:rPr>
            </w:pPr>
            <w:r w:rsidRPr="0098597A">
              <w:rPr>
                <w:rFonts w:cs="Arial"/>
                <w:lang w:val="en-CA"/>
              </w:rPr>
              <w:t>Site-specific – To be determined</w:t>
            </w:r>
          </w:p>
        </w:tc>
      </w:tr>
      <w:tr w:rsidR="00B53F8E" w:rsidRPr="0098597A" w14:paraId="17E16F60" w14:textId="77777777" w:rsidTr="005D4716">
        <w:trPr>
          <w:trHeight w:val="230"/>
        </w:trPr>
        <w:tc>
          <w:tcPr>
            <w:tcW w:w="4428" w:type="dxa"/>
          </w:tcPr>
          <w:p w14:paraId="492CB922" w14:textId="131417DF" w:rsidR="00B53F8E" w:rsidRPr="0098597A" w:rsidRDefault="00B53F8E" w:rsidP="00FB25C6">
            <w:pPr>
              <w:spacing w:line="240" w:lineRule="auto"/>
              <w:rPr>
                <w:rFonts w:cs="Arial"/>
                <w:lang w:val="en-CA"/>
              </w:rPr>
            </w:pPr>
            <w:r w:rsidRPr="0098597A">
              <w:rPr>
                <w:rFonts w:cs="Arial"/>
                <w:lang w:val="en-CA"/>
              </w:rPr>
              <w:t>Purpose:</w:t>
            </w:r>
          </w:p>
        </w:tc>
        <w:tc>
          <w:tcPr>
            <w:tcW w:w="5178" w:type="dxa"/>
          </w:tcPr>
          <w:p w14:paraId="53C7179B" w14:textId="6CB5B222" w:rsidR="00B53F8E" w:rsidRPr="0098597A" w:rsidRDefault="009E3216" w:rsidP="00FB25C6">
            <w:pPr>
              <w:spacing w:line="240" w:lineRule="auto"/>
              <w:rPr>
                <w:rFonts w:cs="Arial"/>
                <w:lang w:val="en-CA"/>
              </w:rPr>
            </w:pPr>
            <w:r w:rsidRPr="0098597A">
              <w:rPr>
                <w:rFonts w:cs="Arial"/>
                <w:lang w:val="en-CA"/>
              </w:rPr>
              <w:t>To permit the development of 123 stacked Townhouses with a reduction in minimum density requirements</w:t>
            </w:r>
          </w:p>
        </w:tc>
      </w:tr>
      <w:tr w:rsidR="00304DCC" w:rsidRPr="0098597A" w14:paraId="4C95B238" w14:textId="77777777" w:rsidTr="005D4716">
        <w:trPr>
          <w:trHeight w:val="230"/>
        </w:trPr>
        <w:tc>
          <w:tcPr>
            <w:tcW w:w="4428" w:type="dxa"/>
          </w:tcPr>
          <w:p w14:paraId="3A98938C" w14:textId="7EF77132" w:rsidR="00304DCC" w:rsidRPr="0098597A" w:rsidRDefault="00304DCC" w:rsidP="00304DCC">
            <w:pPr>
              <w:spacing w:line="240" w:lineRule="auto"/>
              <w:rPr>
                <w:rFonts w:cs="Arial"/>
                <w:lang w:val="en-CA"/>
              </w:rPr>
            </w:pPr>
            <w:r w:rsidRPr="0098597A">
              <w:rPr>
                <w:rFonts w:cs="Arial"/>
                <w:lang w:val="en-CA"/>
              </w:rPr>
              <w:t>Property Address/Description:</w:t>
            </w:r>
          </w:p>
        </w:tc>
        <w:tc>
          <w:tcPr>
            <w:tcW w:w="5178" w:type="dxa"/>
          </w:tcPr>
          <w:p w14:paraId="0A612A05" w14:textId="1C98A866" w:rsidR="00304DCC" w:rsidRPr="0098597A" w:rsidRDefault="009E3216" w:rsidP="00304DCC">
            <w:pPr>
              <w:spacing w:line="240" w:lineRule="auto"/>
              <w:rPr>
                <w:rFonts w:cs="Arial"/>
                <w:lang w:val="en-CA"/>
              </w:rPr>
            </w:pPr>
            <w:r w:rsidRPr="0098597A">
              <w:rPr>
                <w:rFonts w:cs="Arial"/>
                <w:lang w:val="en-CA"/>
              </w:rPr>
              <w:t>157 Parkside Drive</w:t>
            </w:r>
          </w:p>
        </w:tc>
      </w:tr>
      <w:tr w:rsidR="00304DCC" w:rsidRPr="0098597A" w14:paraId="766DB7BD" w14:textId="77777777" w:rsidTr="005D4716">
        <w:trPr>
          <w:trHeight w:val="230"/>
        </w:trPr>
        <w:tc>
          <w:tcPr>
            <w:tcW w:w="4428" w:type="dxa"/>
          </w:tcPr>
          <w:p w14:paraId="1CF516CA" w14:textId="7CE9522A" w:rsidR="00304DCC" w:rsidRPr="0098597A" w:rsidRDefault="00304DCC" w:rsidP="00304DCC">
            <w:pPr>
              <w:spacing w:line="240" w:lineRule="auto"/>
              <w:rPr>
                <w:rFonts w:cs="Arial"/>
                <w:lang w:val="en-CA"/>
              </w:rPr>
            </w:pPr>
            <w:r w:rsidRPr="0098597A">
              <w:rPr>
                <w:rFonts w:cs="Arial"/>
                <w:lang w:val="en-CA"/>
              </w:rPr>
              <w:t>Municipality:</w:t>
            </w:r>
          </w:p>
        </w:tc>
        <w:tc>
          <w:tcPr>
            <w:tcW w:w="5178" w:type="dxa"/>
          </w:tcPr>
          <w:p w14:paraId="01781296" w14:textId="796F943A" w:rsidR="00304DCC" w:rsidRPr="0098597A" w:rsidRDefault="009E3216" w:rsidP="00304DCC">
            <w:pPr>
              <w:spacing w:line="240" w:lineRule="auto"/>
              <w:rPr>
                <w:rFonts w:cs="Arial"/>
                <w:lang w:val="en-CA"/>
              </w:rPr>
            </w:pPr>
            <w:r w:rsidRPr="0098597A">
              <w:rPr>
                <w:rFonts w:cs="Arial"/>
                <w:lang w:val="en-CA"/>
              </w:rPr>
              <w:t>City of Hamilton</w:t>
            </w:r>
          </w:p>
        </w:tc>
      </w:tr>
      <w:tr w:rsidR="00304DCC" w:rsidRPr="0098597A" w14:paraId="1056A80F" w14:textId="77777777" w:rsidTr="005D4716">
        <w:trPr>
          <w:trHeight w:val="230"/>
        </w:trPr>
        <w:tc>
          <w:tcPr>
            <w:tcW w:w="4428" w:type="dxa"/>
          </w:tcPr>
          <w:p w14:paraId="56387371" w14:textId="5CDADB98" w:rsidR="00304DCC" w:rsidRPr="0098597A" w:rsidRDefault="00B53F8E" w:rsidP="00304DCC">
            <w:pPr>
              <w:spacing w:line="240" w:lineRule="auto"/>
              <w:rPr>
                <w:rFonts w:cs="Arial"/>
                <w:lang w:val="en-CA"/>
              </w:rPr>
            </w:pPr>
            <w:r w:rsidRPr="0098597A">
              <w:rPr>
                <w:rFonts w:cs="Arial"/>
                <w:lang w:val="en-CA"/>
              </w:rPr>
              <w:t>Approval Authority</w:t>
            </w:r>
            <w:r w:rsidR="00304DCC" w:rsidRPr="0098597A">
              <w:rPr>
                <w:rFonts w:cs="Arial"/>
                <w:lang w:val="en-CA"/>
              </w:rPr>
              <w:t xml:space="preserve"> File No.:</w:t>
            </w:r>
          </w:p>
        </w:tc>
        <w:tc>
          <w:tcPr>
            <w:tcW w:w="5178" w:type="dxa"/>
          </w:tcPr>
          <w:p w14:paraId="4EB1A6BE" w14:textId="1F989EE1" w:rsidR="00304DCC" w:rsidRPr="0098597A" w:rsidRDefault="009E3216" w:rsidP="00304DCC">
            <w:pPr>
              <w:spacing w:line="240" w:lineRule="auto"/>
              <w:rPr>
                <w:rFonts w:cs="Arial"/>
                <w:lang w:val="en-CA"/>
              </w:rPr>
            </w:pPr>
            <w:r w:rsidRPr="0098597A">
              <w:rPr>
                <w:rFonts w:cs="Arial"/>
                <w:lang w:val="en-CA"/>
              </w:rPr>
              <w:t>UHOPA-17-006</w:t>
            </w:r>
          </w:p>
        </w:tc>
      </w:tr>
      <w:tr w:rsidR="00304DCC" w:rsidRPr="0098597A" w14:paraId="06CE933A" w14:textId="77777777" w:rsidTr="005D4716">
        <w:trPr>
          <w:trHeight w:val="230"/>
        </w:trPr>
        <w:tc>
          <w:tcPr>
            <w:tcW w:w="4428" w:type="dxa"/>
          </w:tcPr>
          <w:p w14:paraId="4DD7FDEE" w14:textId="64A0B3CA" w:rsidR="00304DCC" w:rsidRPr="0098597A" w:rsidRDefault="00304DCC" w:rsidP="00304DCC">
            <w:pPr>
              <w:spacing w:line="240" w:lineRule="auto"/>
              <w:rPr>
                <w:rFonts w:cs="Arial"/>
                <w:lang w:val="en-CA"/>
              </w:rPr>
            </w:pPr>
            <w:r w:rsidRPr="0098597A">
              <w:rPr>
                <w:rFonts w:cs="Arial"/>
                <w:lang w:val="en-CA"/>
              </w:rPr>
              <w:t>OLT Case No.:</w:t>
            </w:r>
          </w:p>
        </w:tc>
        <w:tc>
          <w:tcPr>
            <w:tcW w:w="5178" w:type="dxa"/>
          </w:tcPr>
          <w:p w14:paraId="72356E1F" w14:textId="000D776C" w:rsidR="00304DCC" w:rsidRPr="0098597A" w:rsidRDefault="009E3216" w:rsidP="00304DCC">
            <w:pPr>
              <w:spacing w:line="240" w:lineRule="auto"/>
              <w:rPr>
                <w:rFonts w:cs="Arial"/>
                <w:lang w:val="en-CA"/>
              </w:rPr>
            </w:pPr>
            <w:r w:rsidRPr="0098597A">
              <w:rPr>
                <w:rFonts w:cs="Arial"/>
                <w:lang w:val="en-CA"/>
              </w:rPr>
              <w:t>PL200274</w:t>
            </w:r>
          </w:p>
        </w:tc>
      </w:tr>
      <w:tr w:rsidR="00304DCC" w:rsidRPr="0098597A" w14:paraId="1C3C3083" w14:textId="77777777" w:rsidTr="005D4716">
        <w:trPr>
          <w:trHeight w:val="230"/>
        </w:trPr>
        <w:tc>
          <w:tcPr>
            <w:tcW w:w="4428" w:type="dxa"/>
          </w:tcPr>
          <w:p w14:paraId="3DF2C434" w14:textId="245A6372" w:rsidR="00304DCC" w:rsidRPr="0098597A" w:rsidRDefault="00304DCC" w:rsidP="00304DCC">
            <w:pPr>
              <w:spacing w:line="240" w:lineRule="auto"/>
              <w:rPr>
                <w:rFonts w:cs="Arial"/>
                <w:lang w:val="en-CA"/>
              </w:rPr>
            </w:pPr>
            <w:r w:rsidRPr="0098597A">
              <w:rPr>
                <w:rFonts w:cs="Arial"/>
                <w:lang w:val="en-CA"/>
              </w:rPr>
              <w:t>OLT File No.:</w:t>
            </w:r>
          </w:p>
        </w:tc>
        <w:tc>
          <w:tcPr>
            <w:tcW w:w="5178" w:type="dxa"/>
          </w:tcPr>
          <w:p w14:paraId="255DD835" w14:textId="1171430C" w:rsidR="00304DCC" w:rsidRPr="0098597A" w:rsidRDefault="009E3216" w:rsidP="00304DCC">
            <w:pPr>
              <w:spacing w:line="240" w:lineRule="auto"/>
              <w:rPr>
                <w:rFonts w:cs="Arial"/>
                <w:lang w:val="en-CA"/>
              </w:rPr>
            </w:pPr>
            <w:r w:rsidRPr="0098597A">
              <w:rPr>
                <w:rFonts w:cs="Arial"/>
                <w:lang w:val="en-CA"/>
              </w:rPr>
              <w:t>PL200274</w:t>
            </w:r>
          </w:p>
        </w:tc>
      </w:tr>
      <w:tr w:rsidR="00304DCC" w:rsidRPr="0098597A" w14:paraId="329F98C9" w14:textId="77777777" w:rsidTr="005D4716">
        <w:trPr>
          <w:trHeight w:val="230"/>
        </w:trPr>
        <w:tc>
          <w:tcPr>
            <w:tcW w:w="4428" w:type="dxa"/>
          </w:tcPr>
          <w:p w14:paraId="4C1DE177" w14:textId="06A327EB" w:rsidR="00304DCC" w:rsidRPr="0098597A" w:rsidRDefault="00304DCC" w:rsidP="00304DCC">
            <w:pPr>
              <w:spacing w:line="240" w:lineRule="auto"/>
              <w:rPr>
                <w:rFonts w:cs="Arial"/>
                <w:lang w:val="en-CA"/>
              </w:rPr>
            </w:pPr>
            <w:r w:rsidRPr="0098597A">
              <w:rPr>
                <w:rFonts w:cs="Arial"/>
                <w:lang w:val="en-CA"/>
              </w:rPr>
              <w:t>OLT Case Name:</w:t>
            </w:r>
          </w:p>
        </w:tc>
        <w:tc>
          <w:tcPr>
            <w:tcW w:w="5178" w:type="dxa"/>
          </w:tcPr>
          <w:p w14:paraId="315F5DD6" w14:textId="5975084F" w:rsidR="00304DCC" w:rsidRPr="0098597A" w:rsidRDefault="009E3216" w:rsidP="00304DCC">
            <w:pPr>
              <w:spacing w:line="240" w:lineRule="auto"/>
              <w:rPr>
                <w:rFonts w:cs="Arial"/>
                <w:lang w:val="en-CA"/>
              </w:rPr>
            </w:pPr>
            <w:r w:rsidRPr="0098597A">
              <w:rPr>
                <w:rFonts w:cs="Arial"/>
                <w:lang w:val="en-CA"/>
              </w:rPr>
              <w:t>LIV Developments Ltd. V. Hamilton (City)</w:t>
            </w:r>
          </w:p>
        </w:tc>
      </w:tr>
      <w:tr w:rsidR="00304DCC" w:rsidRPr="0098597A" w14:paraId="1742C6EF" w14:textId="77777777" w:rsidTr="005D4716">
        <w:trPr>
          <w:trHeight w:val="230"/>
        </w:trPr>
        <w:tc>
          <w:tcPr>
            <w:tcW w:w="4428" w:type="dxa"/>
          </w:tcPr>
          <w:p w14:paraId="1D344165" w14:textId="77777777" w:rsidR="00304DCC" w:rsidRPr="0098597A" w:rsidRDefault="00304DCC" w:rsidP="00304DCC">
            <w:pPr>
              <w:spacing w:line="240" w:lineRule="auto"/>
              <w:rPr>
                <w:rFonts w:cs="Arial"/>
                <w:lang w:val="en-CA"/>
              </w:rPr>
            </w:pPr>
          </w:p>
        </w:tc>
        <w:tc>
          <w:tcPr>
            <w:tcW w:w="5178" w:type="dxa"/>
          </w:tcPr>
          <w:p w14:paraId="78BD751D" w14:textId="77777777" w:rsidR="00304DCC" w:rsidRPr="0098597A" w:rsidRDefault="00304DCC" w:rsidP="00304DCC">
            <w:pPr>
              <w:spacing w:line="240" w:lineRule="auto"/>
              <w:rPr>
                <w:rFonts w:cs="Arial"/>
                <w:lang w:val="en-CA"/>
              </w:rPr>
            </w:pPr>
          </w:p>
        </w:tc>
      </w:tr>
      <w:tr w:rsidR="00304DCC" w:rsidRPr="0098597A" w14:paraId="0EC41428" w14:textId="77777777" w:rsidTr="005D4716">
        <w:trPr>
          <w:trHeight w:val="230"/>
        </w:trPr>
        <w:tc>
          <w:tcPr>
            <w:tcW w:w="4428" w:type="dxa"/>
          </w:tcPr>
          <w:p w14:paraId="356918D5" w14:textId="77777777" w:rsidR="00304DCC" w:rsidRPr="0098597A" w:rsidRDefault="00304DCC" w:rsidP="00304DCC">
            <w:pPr>
              <w:spacing w:line="240" w:lineRule="auto"/>
              <w:rPr>
                <w:rFonts w:cs="Arial"/>
                <w:lang w:val="en-CA"/>
              </w:rPr>
            </w:pPr>
          </w:p>
        </w:tc>
        <w:tc>
          <w:tcPr>
            <w:tcW w:w="5178" w:type="dxa"/>
          </w:tcPr>
          <w:p w14:paraId="1BEA8384" w14:textId="77777777" w:rsidR="00304DCC" w:rsidRPr="0098597A" w:rsidRDefault="00304DCC" w:rsidP="00304DCC">
            <w:pPr>
              <w:spacing w:line="240" w:lineRule="auto"/>
              <w:rPr>
                <w:rFonts w:cs="Arial"/>
                <w:lang w:val="en-CA"/>
              </w:rPr>
            </w:pPr>
          </w:p>
        </w:tc>
      </w:tr>
      <w:tr w:rsidR="009E3216" w:rsidRPr="0098597A" w14:paraId="30387529" w14:textId="77777777" w:rsidTr="005B1ECF">
        <w:trPr>
          <w:trHeight w:val="734"/>
        </w:trPr>
        <w:tc>
          <w:tcPr>
            <w:tcW w:w="9606" w:type="dxa"/>
            <w:gridSpan w:val="2"/>
          </w:tcPr>
          <w:p w14:paraId="5522B9A3" w14:textId="18E9F98D" w:rsidR="009E3216" w:rsidRPr="0098597A" w:rsidRDefault="009E3216" w:rsidP="005B1ECF">
            <w:pPr>
              <w:spacing w:line="240" w:lineRule="auto"/>
              <w:rPr>
                <w:rFonts w:cs="Arial"/>
                <w:lang w:val="en-CA"/>
              </w:rPr>
            </w:pPr>
            <w:r w:rsidRPr="0098597A">
              <w:rPr>
                <w:rFonts w:cs="Arial"/>
                <w:b/>
                <w:bCs/>
                <w:lang w:val="en-CA"/>
              </w:rPr>
              <w:t xml:space="preserve">PROCEEDING COMMENCED UNDER </w:t>
            </w:r>
            <w:r w:rsidRPr="0098597A">
              <w:rPr>
                <w:rFonts w:cs="Arial"/>
                <w:lang w:val="en-CA"/>
              </w:rPr>
              <w:t xml:space="preserve">subsection 41(12) of the </w:t>
            </w:r>
            <w:r w:rsidRPr="0098597A">
              <w:rPr>
                <w:rFonts w:cs="Arial"/>
                <w:i/>
                <w:iCs/>
                <w:lang w:val="en-CA"/>
              </w:rPr>
              <w:t>Planning Act</w:t>
            </w:r>
            <w:r w:rsidRPr="0098597A">
              <w:rPr>
                <w:rFonts w:cs="Arial"/>
                <w:lang w:val="en-CA"/>
              </w:rPr>
              <w:t>, R.S.O. 1990, c. P.13, as amended</w:t>
            </w:r>
          </w:p>
        </w:tc>
      </w:tr>
      <w:tr w:rsidR="009E3216" w:rsidRPr="0098597A" w14:paraId="204FC539" w14:textId="77777777" w:rsidTr="005B1ECF">
        <w:trPr>
          <w:trHeight w:val="230"/>
        </w:trPr>
        <w:tc>
          <w:tcPr>
            <w:tcW w:w="4428" w:type="dxa"/>
          </w:tcPr>
          <w:p w14:paraId="00F382A9" w14:textId="12BAC9C4" w:rsidR="009E3216" w:rsidRPr="0098597A" w:rsidRDefault="009E3216" w:rsidP="005B1ECF">
            <w:pPr>
              <w:spacing w:line="240" w:lineRule="auto"/>
              <w:rPr>
                <w:rFonts w:cs="Arial"/>
                <w:lang w:val="en-CA"/>
              </w:rPr>
            </w:pPr>
            <w:r w:rsidRPr="0098597A">
              <w:rPr>
                <w:rFonts w:cs="Arial"/>
                <w:lang w:val="en-CA"/>
              </w:rPr>
              <w:t>Referred by:</w:t>
            </w:r>
          </w:p>
        </w:tc>
        <w:tc>
          <w:tcPr>
            <w:tcW w:w="5178" w:type="dxa"/>
          </w:tcPr>
          <w:p w14:paraId="18E83BED" w14:textId="71EB9FA2" w:rsidR="009E3216" w:rsidRPr="0098597A" w:rsidRDefault="009E3216" w:rsidP="005B1ECF">
            <w:pPr>
              <w:spacing w:line="240" w:lineRule="auto"/>
              <w:rPr>
                <w:rFonts w:cs="Arial"/>
                <w:lang w:val="en-CA"/>
              </w:rPr>
            </w:pPr>
            <w:r w:rsidRPr="0098597A">
              <w:rPr>
                <w:rFonts w:cs="Arial"/>
                <w:lang w:val="en-CA"/>
              </w:rPr>
              <w:t>LIV Developments Ltd.</w:t>
            </w:r>
          </w:p>
        </w:tc>
      </w:tr>
      <w:tr w:rsidR="009E3216" w:rsidRPr="0098597A" w14:paraId="452BF59F" w14:textId="77777777" w:rsidTr="005B1ECF">
        <w:trPr>
          <w:trHeight w:val="230"/>
        </w:trPr>
        <w:tc>
          <w:tcPr>
            <w:tcW w:w="4428" w:type="dxa"/>
          </w:tcPr>
          <w:p w14:paraId="2F4DDDAF" w14:textId="77777777" w:rsidR="009E3216" w:rsidRPr="0098597A" w:rsidRDefault="009E3216" w:rsidP="005B1ECF">
            <w:pPr>
              <w:spacing w:line="240" w:lineRule="auto"/>
              <w:rPr>
                <w:rFonts w:cs="Arial"/>
                <w:lang w:val="en-CA"/>
              </w:rPr>
            </w:pPr>
            <w:r w:rsidRPr="0098597A">
              <w:rPr>
                <w:rFonts w:cs="Arial"/>
                <w:lang w:val="en-CA"/>
              </w:rPr>
              <w:t>Subject:</w:t>
            </w:r>
          </w:p>
        </w:tc>
        <w:tc>
          <w:tcPr>
            <w:tcW w:w="5178" w:type="dxa"/>
          </w:tcPr>
          <w:p w14:paraId="593E46B8" w14:textId="3E023ADD" w:rsidR="009E3216" w:rsidRPr="0098597A" w:rsidRDefault="009E3216" w:rsidP="005B1ECF">
            <w:pPr>
              <w:spacing w:line="240" w:lineRule="auto"/>
              <w:rPr>
                <w:rFonts w:cs="Arial"/>
                <w:lang w:val="en-CA"/>
              </w:rPr>
            </w:pPr>
            <w:r w:rsidRPr="0098597A">
              <w:rPr>
                <w:rFonts w:cs="Arial"/>
                <w:lang w:val="en-CA"/>
              </w:rPr>
              <w:t>Site Plan</w:t>
            </w:r>
          </w:p>
        </w:tc>
      </w:tr>
      <w:tr w:rsidR="009E3216" w:rsidRPr="0098597A" w14:paraId="7DEC0EDB" w14:textId="77777777" w:rsidTr="005B1ECF">
        <w:trPr>
          <w:trHeight w:val="230"/>
        </w:trPr>
        <w:tc>
          <w:tcPr>
            <w:tcW w:w="4428" w:type="dxa"/>
          </w:tcPr>
          <w:p w14:paraId="427A9ECB" w14:textId="5A3CD35C" w:rsidR="009E3216" w:rsidRPr="0098597A" w:rsidRDefault="009E3216" w:rsidP="005B1ECF">
            <w:pPr>
              <w:spacing w:line="240" w:lineRule="auto"/>
              <w:rPr>
                <w:rFonts w:cs="Arial"/>
                <w:lang w:val="en-CA"/>
              </w:rPr>
            </w:pPr>
            <w:r w:rsidRPr="0098597A">
              <w:rPr>
                <w:rFonts w:cs="Arial"/>
                <w:lang w:val="en-CA"/>
              </w:rPr>
              <w:t>Property Address/Description:</w:t>
            </w:r>
          </w:p>
        </w:tc>
        <w:tc>
          <w:tcPr>
            <w:tcW w:w="5178" w:type="dxa"/>
          </w:tcPr>
          <w:p w14:paraId="752A96E7" w14:textId="4482D104" w:rsidR="009E3216" w:rsidRPr="0098597A" w:rsidRDefault="009E3216" w:rsidP="005B1ECF">
            <w:pPr>
              <w:spacing w:line="240" w:lineRule="auto"/>
              <w:rPr>
                <w:rFonts w:cs="Arial"/>
                <w:lang w:val="en-CA"/>
              </w:rPr>
            </w:pPr>
            <w:r w:rsidRPr="0098597A">
              <w:rPr>
                <w:rFonts w:cs="Arial"/>
                <w:lang w:val="en-CA"/>
              </w:rPr>
              <w:t>157 Parkside Drive</w:t>
            </w:r>
          </w:p>
        </w:tc>
      </w:tr>
      <w:tr w:rsidR="009E3216" w:rsidRPr="0098597A" w14:paraId="781B3FF7" w14:textId="77777777" w:rsidTr="005B1ECF">
        <w:trPr>
          <w:trHeight w:val="230"/>
        </w:trPr>
        <w:tc>
          <w:tcPr>
            <w:tcW w:w="4428" w:type="dxa"/>
          </w:tcPr>
          <w:p w14:paraId="6402D9F9" w14:textId="0D6C86D8" w:rsidR="009E3216" w:rsidRPr="0098597A" w:rsidRDefault="009E3216" w:rsidP="005B1ECF">
            <w:pPr>
              <w:spacing w:line="240" w:lineRule="auto"/>
              <w:rPr>
                <w:rFonts w:cs="Arial"/>
                <w:lang w:val="en-CA"/>
              </w:rPr>
            </w:pPr>
            <w:r w:rsidRPr="0098597A">
              <w:rPr>
                <w:rFonts w:cs="Arial"/>
                <w:lang w:val="en-CA"/>
              </w:rPr>
              <w:t>Municipality:</w:t>
            </w:r>
          </w:p>
        </w:tc>
        <w:tc>
          <w:tcPr>
            <w:tcW w:w="5178" w:type="dxa"/>
          </w:tcPr>
          <w:p w14:paraId="5C710D62" w14:textId="4688020E" w:rsidR="009E3216" w:rsidRPr="0098597A" w:rsidRDefault="009E3216" w:rsidP="005B1ECF">
            <w:pPr>
              <w:spacing w:line="240" w:lineRule="auto"/>
              <w:rPr>
                <w:rFonts w:cs="Arial"/>
                <w:lang w:val="en-CA"/>
              </w:rPr>
            </w:pPr>
            <w:r w:rsidRPr="0098597A">
              <w:rPr>
                <w:rFonts w:cs="Arial"/>
                <w:lang w:val="en-CA"/>
              </w:rPr>
              <w:t>City of Hamilton</w:t>
            </w:r>
          </w:p>
        </w:tc>
      </w:tr>
      <w:tr w:rsidR="009E3216" w:rsidRPr="0098597A" w14:paraId="1CED58FD" w14:textId="77777777" w:rsidTr="005B1ECF">
        <w:trPr>
          <w:trHeight w:val="230"/>
        </w:trPr>
        <w:tc>
          <w:tcPr>
            <w:tcW w:w="4428" w:type="dxa"/>
          </w:tcPr>
          <w:p w14:paraId="4871DEFD" w14:textId="4BBA83C2" w:rsidR="009E3216" w:rsidRPr="0098597A" w:rsidRDefault="009E3216" w:rsidP="009E3216">
            <w:pPr>
              <w:spacing w:line="240" w:lineRule="auto"/>
              <w:rPr>
                <w:rFonts w:cs="Arial"/>
                <w:lang w:val="en-CA"/>
              </w:rPr>
            </w:pPr>
            <w:r w:rsidRPr="0098597A">
              <w:rPr>
                <w:rFonts w:cs="Arial"/>
                <w:lang w:val="en-CA"/>
              </w:rPr>
              <w:t>OLT Case No.:</w:t>
            </w:r>
          </w:p>
        </w:tc>
        <w:tc>
          <w:tcPr>
            <w:tcW w:w="5178" w:type="dxa"/>
          </w:tcPr>
          <w:p w14:paraId="53847E47" w14:textId="7FEC874E" w:rsidR="009E3216" w:rsidRPr="0098597A" w:rsidRDefault="009E3216" w:rsidP="009E3216">
            <w:pPr>
              <w:spacing w:line="240" w:lineRule="auto"/>
              <w:rPr>
                <w:rFonts w:cs="Arial"/>
                <w:lang w:val="en-CA"/>
              </w:rPr>
            </w:pPr>
            <w:r w:rsidRPr="0098597A">
              <w:rPr>
                <w:rFonts w:cs="Arial"/>
                <w:lang w:val="en-CA"/>
              </w:rPr>
              <w:t>PL200274</w:t>
            </w:r>
          </w:p>
        </w:tc>
      </w:tr>
      <w:tr w:rsidR="009E3216" w:rsidRPr="0098597A" w14:paraId="2C35E58B" w14:textId="77777777" w:rsidTr="005D4716">
        <w:trPr>
          <w:trHeight w:val="230"/>
        </w:trPr>
        <w:tc>
          <w:tcPr>
            <w:tcW w:w="4428" w:type="dxa"/>
          </w:tcPr>
          <w:p w14:paraId="3DD726A0" w14:textId="4D5D8B8F" w:rsidR="009E3216" w:rsidRPr="0098597A" w:rsidRDefault="009E3216" w:rsidP="009E3216">
            <w:pPr>
              <w:spacing w:line="240" w:lineRule="auto"/>
              <w:rPr>
                <w:rFonts w:cs="Arial"/>
                <w:lang w:val="en-CA"/>
              </w:rPr>
            </w:pPr>
            <w:r w:rsidRPr="0098597A">
              <w:rPr>
                <w:rFonts w:cs="Arial"/>
                <w:lang w:val="en-CA"/>
              </w:rPr>
              <w:t>OLT File No.:</w:t>
            </w:r>
          </w:p>
        </w:tc>
        <w:tc>
          <w:tcPr>
            <w:tcW w:w="5178" w:type="dxa"/>
          </w:tcPr>
          <w:p w14:paraId="01F196E1" w14:textId="53F1D0BB" w:rsidR="009E3216" w:rsidRPr="0098597A" w:rsidRDefault="009E3216" w:rsidP="009E3216">
            <w:pPr>
              <w:spacing w:line="240" w:lineRule="auto"/>
              <w:rPr>
                <w:rFonts w:cs="Arial"/>
                <w:lang w:val="en-CA"/>
              </w:rPr>
            </w:pPr>
            <w:r w:rsidRPr="0098597A">
              <w:rPr>
                <w:rFonts w:cs="Arial"/>
                <w:lang w:val="en-CA"/>
              </w:rPr>
              <w:t>PL210079</w:t>
            </w:r>
          </w:p>
        </w:tc>
      </w:tr>
      <w:tr w:rsidR="009E3216" w:rsidRPr="0098597A" w14:paraId="3D18F101" w14:textId="77777777" w:rsidTr="005D4716">
        <w:trPr>
          <w:trHeight w:val="230"/>
        </w:trPr>
        <w:tc>
          <w:tcPr>
            <w:tcW w:w="4428" w:type="dxa"/>
          </w:tcPr>
          <w:p w14:paraId="23B3EBE8" w14:textId="77777777" w:rsidR="009E3216" w:rsidRPr="0098597A" w:rsidRDefault="009E3216" w:rsidP="009E3216">
            <w:pPr>
              <w:spacing w:line="240" w:lineRule="auto"/>
              <w:rPr>
                <w:rFonts w:cs="Arial"/>
                <w:lang w:val="en-CA"/>
              </w:rPr>
            </w:pPr>
          </w:p>
        </w:tc>
        <w:tc>
          <w:tcPr>
            <w:tcW w:w="5178" w:type="dxa"/>
          </w:tcPr>
          <w:p w14:paraId="486DF33B" w14:textId="77777777" w:rsidR="009E3216" w:rsidRPr="0098597A" w:rsidRDefault="009E3216" w:rsidP="009E3216">
            <w:pPr>
              <w:spacing w:line="240" w:lineRule="auto"/>
              <w:rPr>
                <w:rFonts w:cs="Arial"/>
                <w:lang w:val="en-CA"/>
              </w:rPr>
            </w:pPr>
          </w:p>
        </w:tc>
      </w:tr>
      <w:tr w:rsidR="009E3216" w:rsidRPr="0098597A" w14:paraId="5C5B1808" w14:textId="77777777" w:rsidTr="005D4716">
        <w:trPr>
          <w:trHeight w:val="230"/>
        </w:trPr>
        <w:tc>
          <w:tcPr>
            <w:tcW w:w="4428" w:type="dxa"/>
          </w:tcPr>
          <w:p w14:paraId="3368614D" w14:textId="77777777" w:rsidR="009E3216" w:rsidRPr="0098597A" w:rsidRDefault="009E3216" w:rsidP="009E3216">
            <w:pPr>
              <w:spacing w:line="240" w:lineRule="auto"/>
              <w:rPr>
                <w:rFonts w:cs="Arial"/>
                <w:lang w:val="en-CA"/>
              </w:rPr>
            </w:pPr>
          </w:p>
        </w:tc>
        <w:tc>
          <w:tcPr>
            <w:tcW w:w="5178" w:type="dxa"/>
          </w:tcPr>
          <w:p w14:paraId="46699A8E" w14:textId="77777777" w:rsidR="009E3216" w:rsidRPr="0098597A" w:rsidRDefault="009E3216" w:rsidP="009E3216">
            <w:pPr>
              <w:spacing w:line="240" w:lineRule="auto"/>
              <w:rPr>
                <w:rFonts w:cs="Arial"/>
                <w:lang w:val="en-CA"/>
              </w:rPr>
            </w:pPr>
          </w:p>
        </w:tc>
      </w:tr>
      <w:tr w:rsidR="009E3216" w:rsidRPr="0098597A" w14:paraId="6F4F8C4F" w14:textId="77777777" w:rsidTr="005B1ECF">
        <w:trPr>
          <w:trHeight w:val="734"/>
        </w:trPr>
        <w:tc>
          <w:tcPr>
            <w:tcW w:w="9606" w:type="dxa"/>
            <w:gridSpan w:val="2"/>
          </w:tcPr>
          <w:p w14:paraId="4C5B8D7B" w14:textId="06550A3E" w:rsidR="009E3216" w:rsidRPr="0098597A" w:rsidRDefault="009E3216" w:rsidP="009E3216">
            <w:pPr>
              <w:spacing w:line="240" w:lineRule="auto"/>
              <w:rPr>
                <w:rFonts w:cs="Arial"/>
                <w:lang w:val="en-CA"/>
              </w:rPr>
            </w:pPr>
            <w:r w:rsidRPr="0098597A">
              <w:rPr>
                <w:rFonts w:cs="Arial"/>
                <w:b/>
                <w:lang w:val="en-CA"/>
              </w:rPr>
              <w:t xml:space="preserve">PROCEEDING COMMENCED UNDER </w:t>
            </w:r>
            <w:r w:rsidRPr="0098597A">
              <w:rPr>
                <w:rFonts w:cs="Arial"/>
                <w:lang w:val="en-CA"/>
              </w:rPr>
              <w:t xml:space="preserve">subsection 34(11) of the </w:t>
            </w:r>
            <w:r w:rsidRPr="0098597A">
              <w:rPr>
                <w:rFonts w:cs="Arial"/>
                <w:i/>
                <w:lang w:val="en-CA"/>
              </w:rPr>
              <w:t>Planning Act</w:t>
            </w:r>
            <w:r w:rsidRPr="0098597A">
              <w:rPr>
                <w:rFonts w:cs="Arial"/>
                <w:lang w:val="en-CA"/>
              </w:rPr>
              <w:t>, R.S.O. 1990, c. P.13, as amended</w:t>
            </w:r>
          </w:p>
        </w:tc>
      </w:tr>
      <w:tr w:rsidR="009E3216" w:rsidRPr="0098597A" w14:paraId="04505029" w14:textId="77777777" w:rsidTr="005B1ECF">
        <w:trPr>
          <w:trHeight w:val="230"/>
        </w:trPr>
        <w:tc>
          <w:tcPr>
            <w:tcW w:w="4428" w:type="dxa"/>
          </w:tcPr>
          <w:p w14:paraId="59C6B0BA" w14:textId="77777777" w:rsidR="009E3216" w:rsidRPr="0098597A" w:rsidRDefault="009E3216" w:rsidP="009E3216">
            <w:pPr>
              <w:spacing w:line="240" w:lineRule="auto"/>
              <w:rPr>
                <w:rFonts w:cs="Arial"/>
                <w:lang w:val="en-CA"/>
              </w:rPr>
            </w:pPr>
            <w:r w:rsidRPr="0098597A">
              <w:rPr>
                <w:rFonts w:cs="Arial"/>
                <w:lang w:val="en-CA"/>
              </w:rPr>
              <w:t>Applicant and Appellant:</w:t>
            </w:r>
          </w:p>
        </w:tc>
        <w:tc>
          <w:tcPr>
            <w:tcW w:w="5178" w:type="dxa"/>
          </w:tcPr>
          <w:p w14:paraId="3676BD7E" w14:textId="0AF261A0" w:rsidR="009E3216" w:rsidRPr="0098597A" w:rsidRDefault="009E3216" w:rsidP="009E3216">
            <w:pPr>
              <w:spacing w:line="240" w:lineRule="auto"/>
              <w:rPr>
                <w:rFonts w:cs="Arial"/>
                <w:lang w:val="en-CA"/>
              </w:rPr>
            </w:pPr>
            <w:r w:rsidRPr="0098597A">
              <w:rPr>
                <w:rFonts w:cs="Arial"/>
                <w:lang w:val="en-CA"/>
              </w:rPr>
              <w:t>LIV Developments Ltd.</w:t>
            </w:r>
          </w:p>
        </w:tc>
      </w:tr>
      <w:tr w:rsidR="009E3216" w:rsidRPr="0098597A" w14:paraId="7F5F534F" w14:textId="77777777" w:rsidTr="005B1ECF">
        <w:trPr>
          <w:trHeight w:val="230"/>
        </w:trPr>
        <w:tc>
          <w:tcPr>
            <w:tcW w:w="4428" w:type="dxa"/>
          </w:tcPr>
          <w:p w14:paraId="181FF004" w14:textId="77777777" w:rsidR="009E3216" w:rsidRPr="0098597A" w:rsidRDefault="009E3216" w:rsidP="009E3216">
            <w:pPr>
              <w:spacing w:line="240" w:lineRule="auto"/>
              <w:rPr>
                <w:rFonts w:cs="Arial"/>
                <w:lang w:val="en-CA"/>
              </w:rPr>
            </w:pPr>
            <w:r w:rsidRPr="0098597A">
              <w:rPr>
                <w:rFonts w:cs="Arial"/>
                <w:lang w:val="en-CA"/>
              </w:rPr>
              <w:lastRenderedPageBreak/>
              <w:t>Subject:</w:t>
            </w:r>
          </w:p>
        </w:tc>
        <w:tc>
          <w:tcPr>
            <w:tcW w:w="5178" w:type="dxa"/>
          </w:tcPr>
          <w:p w14:paraId="1C4788FF" w14:textId="13937314" w:rsidR="009E3216" w:rsidRPr="0098597A" w:rsidRDefault="00271714" w:rsidP="009E3216">
            <w:pPr>
              <w:spacing w:line="240" w:lineRule="auto"/>
              <w:rPr>
                <w:rFonts w:cs="Arial"/>
                <w:lang w:val="en-CA"/>
              </w:rPr>
            </w:pPr>
            <w:r w:rsidRPr="0098597A">
              <w:rPr>
                <w:rFonts w:cs="Arial"/>
                <w:lang w:val="en-CA"/>
              </w:rPr>
              <w:t>Application to amend Zoning By-law No.</w:t>
            </w:r>
            <w:r w:rsidRPr="0098597A">
              <w:rPr>
                <w:rFonts w:cs="Arial"/>
                <w:lang w:val="en-CA" w:eastAsia="en-CA"/>
              </w:rPr>
              <w:t xml:space="preserve"> 0</w:t>
            </w:r>
            <w:r w:rsidRPr="0098597A">
              <w:rPr>
                <w:rFonts w:cs="Arial"/>
                <w:lang w:val="en-CA"/>
              </w:rPr>
              <w:t xml:space="preserve">5-200 and 90-145-Z - Neglect of City of Hamilton to </w:t>
            </w:r>
            <w:proofErr w:type="gramStart"/>
            <w:r w:rsidRPr="0098597A">
              <w:rPr>
                <w:rFonts w:cs="Arial"/>
                <w:lang w:val="en-CA"/>
              </w:rPr>
              <w:t>make a decision</w:t>
            </w:r>
            <w:proofErr w:type="gramEnd"/>
          </w:p>
        </w:tc>
      </w:tr>
      <w:tr w:rsidR="009E3216" w:rsidRPr="0098597A" w14:paraId="09E24128" w14:textId="77777777" w:rsidTr="005B1ECF">
        <w:trPr>
          <w:trHeight w:val="230"/>
        </w:trPr>
        <w:tc>
          <w:tcPr>
            <w:tcW w:w="4428" w:type="dxa"/>
          </w:tcPr>
          <w:p w14:paraId="070BF224" w14:textId="583F0119" w:rsidR="009E3216" w:rsidRPr="0098597A" w:rsidRDefault="009E3216" w:rsidP="009E3216">
            <w:pPr>
              <w:spacing w:line="240" w:lineRule="auto"/>
              <w:rPr>
                <w:rFonts w:cs="Arial"/>
                <w:lang w:val="en-CA"/>
              </w:rPr>
            </w:pPr>
            <w:r w:rsidRPr="0098597A">
              <w:rPr>
                <w:rFonts w:cs="Arial"/>
                <w:lang w:val="en-CA"/>
              </w:rPr>
              <w:t>Existing Zoning:</w:t>
            </w:r>
          </w:p>
        </w:tc>
        <w:tc>
          <w:tcPr>
            <w:tcW w:w="5178" w:type="dxa"/>
          </w:tcPr>
          <w:p w14:paraId="70550D0B" w14:textId="14AA4CCE" w:rsidR="009E3216" w:rsidRPr="0098597A" w:rsidRDefault="00271714" w:rsidP="009E3216">
            <w:pPr>
              <w:spacing w:line="240" w:lineRule="auto"/>
              <w:rPr>
                <w:rFonts w:cs="Arial"/>
                <w:lang w:val="en-CA"/>
              </w:rPr>
            </w:pPr>
            <w:r w:rsidRPr="0098597A">
              <w:rPr>
                <w:rFonts w:cs="Arial"/>
                <w:lang w:val="en-CA"/>
              </w:rPr>
              <w:t>Agriculture (A)</w:t>
            </w:r>
          </w:p>
        </w:tc>
      </w:tr>
      <w:tr w:rsidR="009E3216" w:rsidRPr="0098597A" w14:paraId="6F052211" w14:textId="77777777" w:rsidTr="005B1ECF">
        <w:trPr>
          <w:trHeight w:val="230"/>
        </w:trPr>
        <w:tc>
          <w:tcPr>
            <w:tcW w:w="4428" w:type="dxa"/>
          </w:tcPr>
          <w:p w14:paraId="47EA4D35" w14:textId="481C0BA3" w:rsidR="009E3216" w:rsidRPr="0098597A" w:rsidRDefault="009E3216" w:rsidP="009E3216">
            <w:pPr>
              <w:spacing w:line="240" w:lineRule="auto"/>
              <w:rPr>
                <w:rFonts w:cs="Arial"/>
                <w:lang w:val="en-CA"/>
              </w:rPr>
            </w:pPr>
            <w:r w:rsidRPr="0098597A">
              <w:rPr>
                <w:rFonts w:cs="Arial"/>
                <w:lang w:val="en-CA"/>
              </w:rPr>
              <w:t>Proposed Zoning:</w:t>
            </w:r>
          </w:p>
        </w:tc>
        <w:tc>
          <w:tcPr>
            <w:tcW w:w="5178" w:type="dxa"/>
          </w:tcPr>
          <w:p w14:paraId="02A0D482" w14:textId="17743C61" w:rsidR="009E3216" w:rsidRPr="0098597A" w:rsidRDefault="00271714" w:rsidP="009E3216">
            <w:pPr>
              <w:spacing w:line="240" w:lineRule="auto"/>
              <w:rPr>
                <w:rFonts w:cs="Arial"/>
                <w:lang w:val="en-CA"/>
              </w:rPr>
            </w:pPr>
            <w:r w:rsidRPr="0098597A">
              <w:rPr>
                <w:rFonts w:cs="Arial"/>
                <w:lang w:val="en-CA" w:eastAsia="en-CA"/>
              </w:rPr>
              <w:t>Medium Density Residential (R6), Modified and Conservation / Hazard Land (P5) Zone</w:t>
            </w:r>
          </w:p>
        </w:tc>
      </w:tr>
      <w:tr w:rsidR="009E3216" w:rsidRPr="0098597A" w14:paraId="7287A444" w14:textId="77777777" w:rsidTr="005B1ECF">
        <w:trPr>
          <w:trHeight w:val="230"/>
        </w:trPr>
        <w:tc>
          <w:tcPr>
            <w:tcW w:w="4428" w:type="dxa"/>
          </w:tcPr>
          <w:p w14:paraId="32F8D1C7" w14:textId="77777777" w:rsidR="009E3216" w:rsidRPr="0098597A" w:rsidRDefault="009E3216" w:rsidP="009E3216">
            <w:pPr>
              <w:spacing w:line="240" w:lineRule="auto"/>
              <w:rPr>
                <w:rFonts w:cs="Arial"/>
                <w:lang w:val="en-CA"/>
              </w:rPr>
            </w:pPr>
            <w:r w:rsidRPr="0098597A">
              <w:rPr>
                <w:rFonts w:cs="Arial"/>
                <w:lang w:val="en-CA"/>
              </w:rPr>
              <w:t>Purpose:</w:t>
            </w:r>
          </w:p>
        </w:tc>
        <w:tc>
          <w:tcPr>
            <w:tcW w:w="5178" w:type="dxa"/>
          </w:tcPr>
          <w:p w14:paraId="0E94838E" w14:textId="1DD573DA" w:rsidR="009E3216" w:rsidRPr="0098597A" w:rsidRDefault="00271714" w:rsidP="009E3216">
            <w:pPr>
              <w:spacing w:line="240" w:lineRule="auto"/>
              <w:rPr>
                <w:rFonts w:cs="Arial"/>
                <w:lang w:val="en-CA"/>
              </w:rPr>
            </w:pPr>
            <w:r w:rsidRPr="0098597A">
              <w:rPr>
                <w:rFonts w:cs="Arial"/>
                <w:lang w:val="en-CA"/>
              </w:rPr>
              <w:t>To permit the development of 123 stacked Townhouses with a reduction in minimum density requirements</w:t>
            </w:r>
          </w:p>
        </w:tc>
      </w:tr>
      <w:tr w:rsidR="009E3216" w:rsidRPr="0098597A" w14:paraId="4192970E" w14:textId="77777777" w:rsidTr="005B1ECF">
        <w:trPr>
          <w:trHeight w:val="230"/>
        </w:trPr>
        <w:tc>
          <w:tcPr>
            <w:tcW w:w="4428" w:type="dxa"/>
          </w:tcPr>
          <w:p w14:paraId="58B5C20F" w14:textId="77777777" w:rsidR="009E3216" w:rsidRPr="0098597A" w:rsidRDefault="009E3216" w:rsidP="009E3216">
            <w:pPr>
              <w:spacing w:line="240" w:lineRule="auto"/>
              <w:rPr>
                <w:rFonts w:cs="Arial"/>
                <w:lang w:val="en-CA"/>
              </w:rPr>
            </w:pPr>
            <w:r w:rsidRPr="0098597A">
              <w:rPr>
                <w:rFonts w:cs="Arial"/>
                <w:lang w:val="en-CA"/>
              </w:rPr>
              <w:t>Property Address/Description:</w:t>
            </w:r>
          </w:p>
        </w:tc>
        <w:tc>
          <w:tcPr>
            <w:tcW w:w="5178" w:type="dxa"/>
          </w:tcPr>
          <w:p w14:paraId="4FE28EF1" w14:textId="72BB6E9D" w:rsidR="009E3216" w:rsidRPr="0098597A" w:rsidRDefault="009E3216" w:rsidP="009E3216">
            <w:pPr>
              <w:spacing w:line="240" w:lineRule="auto"/>
              <w:rPr>
                <w:rFonts w:cs="Arial"/>
                <w:lang w:val="en-CA"/>
              </w:rPr>
            </w:pPr>
            <w:r w:rsidRPr="0098597A">
              <w:rPr>
                <w:rFonts w:cs="Arial"/>
                <w:lang w:val="en-CA"/>
              </w:rPr>
              <w:t>157 Parkside Drive</w:t>
            </w:r>
          </w:p>
        </w:tc>
      </w:tr>
      <w:tr w:rsidR="009E3216" w:rsidRPr="0098597A" w14:paraId="7F6088B5" w14:textId="77777777" w:rsidTr="005B1ECF">
        <w:trPr>
          <w:trHeight w:val="230"/>
        </w:trPr>
        <w:tc>
          <w:tcPr>
            <w:tcW w:w="4428" w:type="dxa"/>
          </w:tcPr>
          <w:p w14:paraId="2FB9D651" w14:textId="77777777" w:rsidR="009E3216" w:rsidRPr="0098597A" w:rsidRDefault="009E3216" w:rsidP="009E3216">
            <w:pPr>
              <w:spacing w:line="240" w:lineRule="auto"/>
              <w:rPr>
                <w:rFonts w:cs="Arial"/>
                <w:lang w:val="en-CA"/>
              </w:rPr>
            </w:pPr>
            <w:r w:rsidRPr="0098597A">
              <w:rPr>
                <w:rFonts w:cs="Arial"/>
                <w:lang w:val="en-CA"/>
              </w:rPr>
              <w:t>Municipality:</w:t>
            </w:r>
          </w:p>
        </w:tc>
        <w:tc>
          <w:tcPr>
            <w:tcW w:w="5178" w:type="dxa"/>
          </w:tcPr>
          <w:p w14:paraId="075FC04A" w14:textId="2BC3479B" w:rsidR="009E3216" w:rsidRPr="0098597A" w:rsidRDefault="009E3216" w:rsidP="009E3216">
            <w:pPr>
              <w:spacing w:line="240" w:lineRule="auto"/>
              <w:rPr>
                <w:rFonts w:cs="Arial"/>
                <w:lang w:val="en-CA"/>
              </w:rPr>
            </w:pPr>
            <w:r w:rsidRPr="0098597A">
              <w:rPr>
                <w:rFonts w:cs="Arial"/>
                <w:lang w:val="en-CA"/>
              </w:rPr>
              <w:t>City of Hamilton</w:t>
            </w:r>
          </w:p>
        </w:tc>
      </w:tr>
      <w:tr w:rsidR="009E3216" w:rsidRPr="0098597A" w14:paraId="506CEAEF" w14:textId="77777777" w:rsidTr="005B1ECF">
        <w:trPr>
          <w:trHeight w:val="230"/>
        </w:trPr>
        <w:tc>
          <w:tcPr>
            <w:tcW w:w="4428" w:type="dxa"/>
          </w:tcPr>
          <w:p w14:paraId="35697FF1" w14:textId="407DC062" w:rsidR="009E3216" w:rsidRPr="0098597A" w:rsidRDefault="009E3216" w:rsidP="009E3216">
            <w:pPr>
              <w:spacing w:line="240" w:lineRule="auto"/>
              <w:rPr>
                <w:rFonts w:cs="Arial"/>
                <w:lang w:val="en-CA"/>
              </w:rPr>
            </w:pPr>
            <w:r w:rsidRPr="0098597A">
              <w:rPr>
                <w:rFonts w:cs="Arial"/>
                <w:lang w:val="en-CA"/>
              </w:rPr>
              <w:t>Municipality File No.:</w:t>
            </w:r>
          </w:p>
        </w:tc>
        <w:tc>
          <w:tcPr>
            <w:tcW w:w="5178" w:type="dxa"/>
          </w:tcPr>
          <w:p w14:paraId="2B5E0184" w14:textId="3FA4908C" w:rsidR="009E3216" w:rsidRPr="0098597A" w:rsidRDefault="00271714" w:rsidP="009E3216">
            <w:pPr>
              <w:spacing w:line="240" w:lineRule="auto"/>
              <w:rPr>
                <w:rFonts w:cs="Arial"/>
                <w:lang w:val="en-CA"/>
              </w:rPr>
            </w:pPr>
            <w:r w:rsidRPr="0098597A">
              <w:rPr>
                <w:rFonts w:cs="Arial"/>
                <w:lang w:val="en-CA"/>
              </w:rPr>
              <w:t>ZAC-17-016</w:t>
            </w:r>
          </w:p>
        </w:tc>
      </w:tr>
      <w:tr w:rsidR="009E3216" w:rsidRPr="0098597A" w14:paraId="2AAEC7D5" w14:textId="77777777" w:rsidTr="005B1ECF">
        <w:trPr>
          <w:trHeight w:val="230"/>
        </w:trPr>
        <w:tc>
          <w:tcPr>
            <w:tcW w:w="4428" w:type="dxa"/>
          </w:tcPr>
          <w:p w14:paraId="7D7DC5B0" w14:textId="77777777" w:rsidR="009E3216" w:rsidRPr="0098597A" w:rsidRDefault="009E3216" w:rsidP="009E3216">
            <w:pPr>
              <w:spacing w:line="240" w:lineRule="auto"/>
              <w:rPr>
                <w:rFonts w:cs="Arial"/>
                <w:lang w:val="en-CA"/>
              </w:rPr>
            </w:pPr>
            <w:r w:rsidRPr="0098597A">
              <w:rPr>
                <w:rFonts w:cs="Arial"/>
                <w:lang w:val="en-CA"/>
              </w:rPr>
              <w:t>OLT Case No.:</w:t>
            </w:r>
          </w:p>
        </w:tc>
        <w:tc>
          <w:tcPr>
            <w:tcW w:w="5178" w:type="dxa"/>
          </w:tcPr>
          <w:p w14:paraId="5D15DC3C" w14:textId="42A6387B" w:rsidR="009E3216" w:rsidRPr="0098597A" w:rsidRDefault="009E3216" w:rsidP="009E3216">
            <w:pPr>
              <w:spacing w:line="240" w:lineRule="auto"/>
              <w:rPr>
                <w:rFonts w:cs="Arial"/>
                <w:lang w:val="en-CA"/>
              </w:rPr>
            </w:pPr>
            <w:r w:rsidRPr="0098597A">
              <w:rPr>
                <w:rFonts w:cs="Arial"/>
                <w:lang w:val="en-CA"/>
              </w:rPr>
              <w:t>PL200274</w:t>
            </w:r>
          </w:p>
        </w:tc>
      </w:tr>
      <w:tr w:rsidR="009E3216" w:rsidRPr="0098597A" w14:paraId="5078F123" w14:textId="77777777" w:rsidTr="005B1ECF">
        <w:trPr>
          <w:trHeight w:val="230"/>
        </w:trPr>
        <w:tc>
          <w:tcPr>
            <w:tcW w:w="4428" w:type="dxa"/>
          </w:tcPr>
          <w:p w14:paraId="0E350EA6" w14:textId="77777777" w:rsidR="009E3216" w:rsidRPr="0098597A" w:rsidRDefault="009E3216" w:rsidP="009E3216">
            <w:pPr>
              <w:spacing w:line="240" w:lineRule="auto"/>
              <w:rPr>
                <w:rFonts w:cs="Arial"/>
                <w:lang w:val="en-CA"/>
              </w:rPr>
            </w:pPr>
            <w:r w:rsidRPr="0098597A">
              <w:rPr>
                <w:rFonts w:cs="Arial"/>
                <w:lang w:val="en-CA"/>
              </w:rPr>
              <w:t>OLT File No.:</w:t>
            </w:r>
          </w:p>
        </w:tc>
        <w:tc>
          <w:tcPr>
            <w:tcW w:w="5178" w:type="dxa"/>
          </w:tcPr>
          <w:p w14:paraId="247FA8BC" w14:textId="7061C8E9" w:rsidR="009E3216" w:rsidRPr="0098597A" w:rsidRDefault="00271714" w:rsidP="009E3216">
            <w:pPr>
              <w:spacing w:line="240" w:lineRule="auto"/>
              <w:rPr>
                <w:rFonts w:cs="Arial"/>
                <w:lang w:val="en-CA"/>
              </w:rPr>
            </w:pPr>
            <w:r w:rsidRPr="0098597A">
              <w:rPr>
                <w:rFonts w:cs="Arial"/>
                <w:lang w:val="en-CA"/>
              </w:rPr>
              <w:t>PL200275</w:t>
            </w:r>
          </w:p>
        </w:tc>
      </w:tr>
      <w:tr w:rsidR="009E3216" w:rsidRPr="0098597A" w14:paraId="3E78DF77" w14:textId="77777777" w:rsidTr="005D4716">
        <w:trPr>
          <w:trHeight w:val="230"/>
        </w:trPr>
        <w:tc>
          <w:tcPr>
            <w:tcW w:w="4428" w:type="dxa"/>
          </w:tcPr>
          <w:p w14:paraId="2B31FEE2" w14:textId="77777777" w:rsidR="009E3216" w:rsidRPr="0098597A" w:rsidRDefault="009E3216" w:rsidP="009E3216">
            <w:pPr>
              <w:spacing w:line="240" w:lineRule="auto"/>
              <w:rPr>
                <w:rFonts w:cs="Arial"/>
                <w:lang w:val="en-CA"/>
              </w:rPr>
            </w:pPr>
          </w:p>
        </w:tc>
        <w:tc>
          <w:tcPr>
            <w:tcW w:w="5178" w:type="dxa"/>
          </w:tcPr>
          <w:p w14:paraId="380BF9BF" w14:textId="77777777" w:rsidR="009E3216" w:rsidRPr="0098597A" w:rsidRDefault="009E3216" w:rsidP="009E3216">
            <w:pPr>
              <w:spacing w:line="240" w:lineRule="auto"/>
              <w:rPr>
                <w:rFonts w:cs="Arial"/>
                <w:lang w:val="en-CA"/>
              </w:rPr>
            </w:pPr>
          </w:p>
        </w:tc>
      </w:tr>
      <w:tr w:rsidR="009E3216" w:rsidRPr="0098597A" w14:paraId="70FD9C21" w14:textId="77777777" w:rsidTr="005D4716">
        <w:trPr>
          <w:trHeight w:val="230"/>
        </w:trPr>
        <w:tc>
          <w:tcPr>
            <w:tcW w:w="4428" w:type="dxa"/>
          </w:tcPr>
          <w:p w14:paraId="10BB7ACB" w14:textId="77777777" w:rsidR="009E3216" w:rsidRPr="0098597A" w:rsidRDefault="009E3216" w:rsidP="009E3216">
            <w:pPr>
              <w:spacing w:line="240" w:lineRule="auto"/>
              <w:rPr>
                <w:rFonts w:cs="Arial"/>
                <w:lang w:val="en-CA"/>
              </w:rPr>
            </w:pPr>
          </w:p>
        </w:tc>
        <w:tc>
          <w:tcPr>
            <w:tcW w:w="5178" w:type="dxa"/>
          </w:tcPr>
          <w:p w14:paraId="0362665C" w14:textId="77777777" w:rsidR="009E3216" w:rsidRPr="0098597A" w:rsidRDefault="009E3216" w:rsidP="009E3216">
            <w:pPr>
              <w:spacing w:line="240" w:lineRule="auto"/>
              <w:rPr>
                <w:rFonts w:cs="Arial"/>
                <w:lang w:val="en-CA"/>
              </w:rPr>
            </w:pPr>
          </w:p>
        </w:tc>
      </w:tr>
      <w:tr w:rsidR="009E3216" w:rsidRPr="0098597A" w14:paraId="127EDCFB" w14:textId="77777777" w:rsidTr="005D4716">
        <w:trPr>
          <w:trHeight w:val="249"/>
        </w:trPr>
        <w:tc>
          <w:tcPr>
            <w:tcW w:w="4428" w:type="dxa"/>
          </w:tcPr>
          <w:p w14:paraId="53CFC80D" w14:textId="77777777" w:rsidR="009E3216" w:rsidRPr="0098597A" w:rsidRDefault="009E3216" w:rsidP="009E3216">
            <w:pPr>
              <w:spacing w:line="240" w:lineRule="auto"/>
              <w:rPr>
                <w:rFonts w:cs="Arial"/>
                <w:b/>
                <w:lang w:val="en-CA"/>
              </w:rPr>
            </w:pPr>
            <w:r w:rsidRPr="0098597A">
              <w:rPr>
                <w:rFonts w:cs="Arial"/>
                <w:b/>
                <w:lang w:val="en-CA"/>
              </w:rPr>
              <w:t>Heard:</w:t>
            </w:r>
          </w:p>
        </w:tc>
        <w:tc>
          <w:tcPr>
            <w:tcW w:w="5178" w:type="dxa"/>
          </w:tcPr>
          <w:p w14:paraId="653A8EA3" w14:textId="2364E31B" w:rsidR="009E3216" w:rsidRPr="0098597A" w:rsidRDefault="00BA5057" w:rsidP="009E3216">
            <w:pPr>
              <w:spacing w:line="240" w:lineRule="auto"/>
              <w:rPr>
                <w:rFonts w:cs="Arial"/>
                <w:lang w:val="en-CA"/>
              </w:rPr>
            </w:pPr>
            <w:r w:rsidRPr="0098597A">
              <w:rPr>
                <w:rFonts w:cs="Arial"/>
                <w:lang w:val="en-CA"/>
              </w:rPr>
              <w:t xml:space="preserve">September 27 to </w:t>
            </w:r>
            <w:r w:rsidR="009E3216" w:rsidRPr="0098597A">
              <w:rPr>
                <w:rFonts w:cs="Arial"/>
                <w:lang w:val="en-CA"/>
              </w:rPr>
              <w:t xml:space="preserve">October </w:t>
            </w:r>
            <w:r w:rsidRPr="0098597A">
              <w:rPr>
                <w:rFonts w:cs="Arial"/>
                <w:lang w:val="en-CA"/>
              </w:rPr>
              <w:t>6</w:t>
            </w:r>
            <w:r w:rsidR="009E3216" w:rsidRPr="0098597A">
              <w:rPr>
                <w:rFonts w:cs="Arial"/>
                <w:lang w:val="en-CA"/>
              </w:rPr>
              <w:t xml:space="preserve">, 2021 by </w:t>
            </w:r>
            <w:r w:rsidR="00D90BC3" w:rsidRPr="0098597A">
              <w:rPr>
                <w:rFonts w:cs="Arial"/>
                <w:lang w:val="en-CA"/>
              </w:rPr>
              <w:br/>
            </w:r>
            <w:r w:rsidR="009E3216" w:rsidRPr="0098597A">
              <w:rPr>
                <w:rFonts w:cs="Arial"/>
                <w:lang w:val="en-CA"/>
              </w:rPr>
              <w:t>video hearing</w:t>
            </w:r>
          </w:p>
        </w:tc>
      </w:tr>
      <w:bookmarkEnd w:id="1"/>
    </w:tbl>
    <w:p w14:paraId="26982CAC" w14:textId="1E425234" w:rsidR="00B53F8E" w:rsidRPr="0098597A" w:rsidRDefault="00B53F8E" w:rsidP="00753561">
      <w:pPr>
        <w:spacing w:line="240" w:lineRule="auto"/>
        <w:rPr>
          <w:rFonts w:cs="Arial"/>
          <w:lang w:val="en-CA"/>
        </w:rPr>
      </w:pPr>
    </w:p>
    <w:p w14:paraId="5D9D6F60" w14:textId="77777777" w:rsidR="00AB70D6" w:rsidRPr="0098597A" w:rsidRDefault="00AB70D6" w:rsidP="00753561">
      <w:pPr>
        <w:spacing w:line="240" w:lineRule="auto"/>
        <w:rPr>
          <w:rFonts w:cs="Arial"/>
          <w:lang w:val="en-CA"/>
        </w:rPr>
      </w:pPr>
    </w:p>
    <w:tbl>
      <w:tblPr>
        <w:tblW w:w="9630" w:type="dxa"/>
        <w:tblLook w:val="0000" w:firstRow="0" w:lastRow="0" w:firstColumn="0" w:lastColumn="0" w:noHBand="0" w:noVBand="0"/>
      </w:tblPr>
      <w:tblGrid>
        <w:gridCol w:w="4428"/>
        <w:gridCol w:w="5202"/>
      </w:tblGrid>
      <w:tr w:rsidR="0089782A" w:rsidRPr="0098597A" w14:paraId="13033E76" w14:textId="77777777" w:rsidTr="00B53F8E">
        <w:tc>
          <w:tcPr>
            <w:tcW w:w="4428" w:type="dxa"/>
          </w:tcPr>
          <w:bookmarkEnd w:id="0"/>
          <w:p w14:paraId="36F691C2" w14:textId="77777777" w:rsidR="0089782A" w:rsidRPr="0098597A" w:rsidRDefault="0089782A" w:rsidP="00753561">
            <w:pPr>
              <w:spacing w:line="240" w:lineRule="auto"/>
              <w:rPr>
                <w:rFonts w:cs="Arial"/>
                <w:b/>
                <w:lang w:val="en-CA"/>
              </w:rPr>
            </w:pPr>
            <w:r w:rsidRPr="0098597A">
              <w:rPr>
                <w:rFonts w:cs="Arial"/>
                <w:b/>
                <w:lang w:val="en-CA"/>
              </w:rPr>
              <w:t>APPEARANCES:</w:t>
            </w:r>
          </w:p>
        </w:tc>
        <w:tc>
          <w:tcPr>
            <w:tcW w:w="5202" w:type="dxa"/>
          </w:tcPr>
          <w:p w14:paraId="2C42A010" w14:textId="77777777" w:rsidR="0089782A" w:rsidRPr="0098597A" w:rsidRDefault="0089782A" w:rsidP="00753561">
            <w:pPr>
              <w:spacing w:line="240" w:lineRule="auto"/>
              <w:rPr>
                <w:rFonts w:cs="Arial"/>
                <w:lang w:val="en-CA"/>
              </w:rPr>
            </w:pPr>
          </w:p>
        </w:tc>
      </w:tr>
      <w:tr w:rsidR="0089782A" w:rsidRPr="0098597A" w14:paraId="4D8EC830" w14:textId="77777777" w:rsidTr="00B53F8E">
        <w:tc>
          <w:tcPr>
            <w:tcW w:w="4428" w:type="dxa"/>
          </w:tcPr>
          <w:p w14:paraId="7E7FF4A1" w14:textId="77777777" w:rsidR="0089782A" w:rsidRPr="0098597A" w:rsidRDefault="0089782A" w:rsidP="00753561">
            <w:pPr>
              <w:spacing w:line="240" w:lineRule="auto"/>
              <w:rPr>
                <w:rFonts w:cs="Arial"/>
                <w:lang w:val="en-CA"/>
              </w:rPr>
            </w:pPr>
          </w:p>
        </w:tc>
        <w:tc>
          <w:tcPr>
            <w:tcW w:w="5202" w:type="dxa"/>
          </w:tcPr>
          <w:p w14:paraId="0DD8B46F" w14:textId="77777777" w:rsidR="0089782A" w:rsidRPr="0098597A" w:rsidRDefault="0089782A" w:rsidP="00753561">
            <w:pPr>
              <w:spacing w:line="240" w:lineRule="auto"/>
              <w:rPr>
                <w:rFonts w:cs="Arial"/>
                <w:lang w:val="en-CA"/>
              </w:rPr>
            </w:pPr>
          </w:p>
        </w:tc>
      </w:tr>
      <w:tr w:rsidR="008046EB" w:rsidRPr="0098597A" w14:paraId="14522B9D" w14:textId="77777777" w:rsidTr="00B53F8E">
        <w:tc>
          <w:tcPr>
            <w:tcW w:w="4428" w:type="dxa"/>
          </w:tcPr>
          <w:p w14:paraId="79A2A650" w14:textId="1ADFB564" w:rsidR="004C55AF" w:rsidRPr="0098597A" w:rsidRDefault="008046EB" w:rsidP="00753561">
            <w:pPr>
              <w:spacing w:line="240" w:lineRule="auto"/>
              <w:rPr>
                <w:rFonts w:cs="Arial"/>
                <w:b/>
                <w:u w:val="single"/>
                <w:lang w:val="en-CA"/>
              </w:rPr>
            </w:pPr>
            <w:bookmarkStart w:id="2" w:name="Parties"/>
            <w:r w:rsidRPr="0098597A">
              <w:rPr>
                <w:rFonts w:cs="Arial"/>
                <w:b/>
                <w:u w:val="single"/>
                <w:lang w:val="en-CA"/>
              </w:rPr>
              <w:t>Parties</w:t>
            </w:r>
            <w:bookmarkEnd w:id="2"/>
          </w:p>
        </w:tc>
        <w:tc>
          <w:tcPr>
            <w:tcW w:w="5202" w:type="dxa"/>
          </w:tcPr>
          <w:p w14:paraId="6FD332D6" w14:textId="765FEFA8" w:rsidR="004C55AF" w:rsidRPr="0098597A" w:rsidRDefault="00B53F8E" w:rsidP="00831751">
            <w:pPr>
              <w:spacing w:line="240" w:lineRule="auto"/>
              <w:rPr>
                <w:rFonts w:cs="Arial"/>
                <w:b/>
                <w:u w:val="single"/>
                <w:lang w:val="en-CA"/>
              </w:rPr>
            </w:pPr>
            <w:r w:rsidRPr="0098597A">
              <w:rPr>
                <w:rFonts w:cs="Arial"/>
                <w:b/>
                <w:u w:val="single"/>
                <w:lang w:val="en-CA"/>
              </w:rPr>
              <w:t>Counsel</w:t>
            </w:r>
          </w:p>
        </w:tc>
      </w:tr>
      <w:tr w:rsidR="00F615BD" w:rsidRPr="0098597A" w14:paraId="5A5D9503" w14:textId="77777777" w:rsidTr="00B53F8E">
        <w:tc>
          <w:tcPr>
            <w:tcW w:w="4428" w:type="dxa"/>
          </w:tcPr>
          <w:p w14:paraId="2F5FE0DB" w14:textId="77777777" w:rsidR="00F615BD" w:rsidRPr="0098597A" w:rsidRDefault="00F615BD" w:rsidP="00753561">
            <w:pPr>
              <w:spacing w:line="240" w:lineRule="auto"/>
              <w:rPr>
                <w:rFonts w:cs="Arial"/>
                <w:bCs/>
                <w:lang w:val="en-CA"/>
              </w:rPr>
            </w:pPr>
          </w:p>
        </w:tc>
        <w:tc>
          <w:tcPr>
            <w:tcW w:w="5202" w:type="dxa"/>
          </w:tcPr>
          <w:p w14:paraId="0C41FB97" w14:textId="77777777" w:rsidR="00F615BD" w:rsidRPr="0098597A" w:rsidRDefault="00F615BD" w:rsidP="00753561">
            <w:pPr>
              <w:spacing w:line="240" w:lineRule="auto"/>
              <w:rPr>
                <w:rFonts w:cs="Arial"/>
                <w:bCs/>
                <w:lang w:val="en-CA"/>
              </w:rPr>
            </w:pPr>
          </w:p>
        </w:tc>
      </w:tr>
      <w:tr w:rsidR="00F615BD" w:rsidRPr="0098597A" w14:paraId="6E04241C" w14:textId="77777777" w:rsidTr="00B53F8E">
        <w:tc>
          <w:tcPr>
            <w:tcW w:w="4428" w:type="dxa"/>
          </w:tcPr>
          <w:p w14:paraId="532A8707" w14:textId="073ADF1C" w:rsidR="00F615BD" w:rsidRPr="0098597A" w:rsidRDefault="00BA5057" w:rsidP="00753561">
            <w:pPr>
              <w:spacing w:line="240" w:lineRule="auto"/>
              <w:rPr>
                <w:rFonts w:cs="Arial"/>
                <w:lang w:val="en-CA"/>
              </w:rPr>
            </w:pPr>
            <w:r w:rsidRPr="0098597A">
              <w:rPr>
                <w:rFonts w:cs="Arial"/>
                <w:lang w:val="en-CA"/>
              </w:rPr>
              <w:t>LIV Developments Ltd.</w:t>
            </w:r>
          </w:p>
        </w:tc>
        <w:tc>
          <w:tcPr>
            <w:tcW w:w="5202" w:type="dxa"/>
          </w:tcPr>
          <w:p w14:paraId="218B09D0" w14:textId="564F2CAC" w:rsidR="00F615BD" w:rsidRPr="0098597A" w:rsidRDefault="00BA5057" w:rsidP="00753561">
            <w:pPr>
              <w:spacing w:line="240" w:lineRule="auto"/>
              <w:rPr>
                <w:rFonts w:cs="Arial"/>
                <w:lang w:val="en-CA"/>
              </w:rPr>
            </w:pPr>
            <w:r w:rsidRPr="0098597A">
              <w:rPr>
                <w:rFonts w:cs="Arial"/>
                <w:lang w:val="en-CA"/>
              </w:rPr>
              <w:t>Russell Cheeseman</w:t>
            </w:r>
          </w:p>
        </w:tc>
      </w:tr>
      <w:tr w:rsidR="00000DCA" w:rsidRPr="0098597A" w14:paraId="48B2D35C" w14:textId="77777777" w:rsidTr="00B53F8E">
        <w:tc>
          <w:tcPr>
            <w:tcW w:w="4428" w:type="dxa"/>
          </w:tcPr>
          <w:p w14:paraId="5376C17A" w14:textId="5C3E0393" w:rsidR="00000DCA" w:rsidRPr="0098597A" w:rsidRDefault="00000DCA" w:rsidP="00753561">
            <w:pPr>
              <w:spacing w:line="240" w:lineRule="auto"/>
              <w:rPr>
                <w:rFonts w:cs="Arial"/>
                <w:lang w:val="en-CA"/>
              </w:rPr>
            </w:pPr>
          </w:p>
        </w:tc>
        <w:tc>
          <w:tcPr>
            <w:tcW w:w="5202" w:type="dxa"/>
          </w:tcPr>
          <w:p w14:paraId="0DE942C2" w14:textId="785E1D13" w:rsidR="00000DCA" w:rsidRPr="0098597A" w:rsidRDefault="00BA5057" w:rsidP="00753561">
            <w:pPr>
              <w:spacing w:line="240" w:lineRule="auto"/>
              <w:rPr>
                <w:rFonts w:cs="Arial"/>
                <w:lang w:val="en-CA"/>
              </w:rPr>
            </w:pPr>
            <w:r w:rsidRPr="0098597A">
              <w:rPr>
                <w:rFonts w:cs="Arial"/>
                <w:lang w:val="en-CA"/>
              </w:rPr>
              <w:t>Stephanie Fleming</w:t>
            </w:r>
          </w:p>
        </w:tc>
      </w:tr>
      <w:tr w:rsidR="00000DCA" w:rsidRPr="0098597A" w14:paraId="1B1F6A89" w14:textId="77777777" w:rsidTr="00B53F8E">
        <w:tc>
          <w:tcPr>
            <w:tcW w:w="4428" w:type="dxa"/>
          </w:tcPr>
          <w:p w14:paraId="63F2BFE1" w14:textId="3850C3B2" w:rsidR="00000DCA" w:rsidRPr="0098597A" w:rsidRDefault="00000DCA" w:rsidP="00753561">
            <w:pPr>
              <w:spacing w:line="240" w:lineRule="auto"/>
              <w:rPr>
                <w:rFonts w:cs="Arial"/>
                <w:lang w:val="en-CA"/>
              </w:rPr>
            </w:pPr>
          </w:p>
        </w:tc>
        <w:tc>
          <w:tcPr>
            <w:tcW w:w="5202" w:type="dxa"/>
          </w:tcPr>
          <w:p w14:paraId="72B8158B" w14:textId="7C46845C" w:rsidR="00000DCA" w:rsidRPr="0098597A" w:rsidRDefault="00000DCA" w:rsidP="00753561">
            <w:pPr>
              <w:spacing w:line="240" w:lineRule="auto"/>
              <w:rPr>
                <w:rFonts w:cs="Arial"/>
                <w:lang w:val="en-CA"/>
              </w:rPr>
            </w:pPr>
          </w:p>
        </w:tc>
      </w:tr>
      <w:tr w:rsidR="00000DCA" w:rsidRPr="0098597A" w14:paraId="7054FD44" w14:textId="77777777" w:rsidTr="00B53F8E">
        <w:tc>
          <w:tcPr>
            <w:tcW w:w="4428" w:type="dxa"/>
          </w:tcPr>
          <w:p w14:paraId="496985AA" w14:textId="721A966D" w:rsidR="00A84D89" w:rsidRPr="0098597A" w:rsidRDefault="00BA5057" w:rsidP="00753561">
            <w:pPr>
              <w:spacing w:line="240" w:lineRule="auto"/>
              <w:rPr>
                <w:rFonts w:cs="Arial"/>
                <w:lang w:val="en-CA"/>
              </w:rPr>
            </w:pPr>
            <w:r w:rsidRPr="0098597A">
              <w:rPr>
                <w:rFonts w:cs="Arial"/>
                <w:lang w:val="en-CA"/>
              </w:rPr>
              <w:t>City of Hamilton</w:t>
            </w:r>
          </w:p>
        </w:tc>
        <w:tc>
          <w:tcPr>
            <w:tcW w:w="5202" w:type="dxa"/>
          </w:tcPr>
          <w:p w14:paraId="7039B155" w14:textId="6316292A" w:rsidR="00867ADE" w:rsidRPr="0098597A" w:rsidRDefault="00BA5057" w:rsidP="00F6774B">
            <w:pPr>
              <w:spacing w:line="240" w:lineRule="auto"/>
              <w:rPr>
                <w:rFonts w:cs="Arial"/>
                <w:lang w:val="en-CA"/>
              </w:rPr>
            </w:pPr>
            <w:r w:rsidRPr="0098597A">
              <w:rPr>
                <w:rFonts w:cs="Arial"/>
                <w:lang w:val="en-CA"/>
              </w:rPr>
              <w:t>Patrick MacDonald</w:t>
            </w:r>
          </w:p>
        </w:tc>
      </w:tr>
      <w:tr w:rsidR="00B53F8E" w:rsidRPr="0098597A" w14:paraId="77AA1AAF" w14:textId="77777777" w:rsidTr="00B53F8E">
        <w:tc>
          <w:tcPr>
            <w:tcW w:w="4428" w:type="dxa"/>
          </w:tcPr>
          <w:p w14:paraId="6704E322" w14:textId="0A458682" w:rsidR="00B53F8E" w:rsidRPr="0098597A" w:rsidRDefault="00B53F8E" w:rsidP="00753561">
            <w:pPr>
              <w:spacing w:line="240" w:lineRule="auto"/>
              <w:rPr>
                <w:rFonts w:cs="Arial"/>
                <w:lang w:val="en-CA"/>
              </w:rPr>
            </w:pPr>
          </w:p>
        </w:tc>
        <w:tc>
          <w:tcPr>
            <w:tcW w:w="5202" w:type="dxa"/>
          </w:tcPr>
          <w:p w14:paraId="418A74A8" w14:textId="48BCB3AB" w:rsidR="00B53F8E" w:rsidRPr="0098597A" w:rsidRDefault="00B53F8E" w:rsidP="00F6774B">
            <w:pPr>
              <w:spacing w:line="240" w:lineRule="auto"/>
              <w:rPr>
                <w:rFonts w:cs="Arial"/>
                <w:lang w:val="en-CA"/>
              </w:rPr>
            </w:pPr>
          </w:p>
        </w:tc>
      </w:tr>
    </w:tbl>
    <w:p w14:paraId="1298A3AD" w14:textId="77777777" w:rsidR="00916C84" w:rsidRPr="0098597A" w:rsidRDefault="00916C84" w:rsidP="00753561">
      <w:pPr>
        <w:spacing w:line="240" w:lineRule="auto"/>
        <w:rPr>
          <w:rFonts w:cs="Arial"/>
          <w:lang w:val="en-CA"/>
        </w:rPr>
      </w:pPr>
    </w:p>
    <w:p w14:paraId="04CBE4BD" w14:textId="17EFE45E" w:rsidR="00C02B28" w:rsidRPr="0098597A" w:rsidRDefault="00B04BD2" w:rsidP="00753561">
      <w:pPr>
        <w:pBdr>
          <w:bottom w:val="single" w:sz="4" w:space="1" w:color="auto"/>
        </w:pBdr>
        <w:spacing w:line="240" w:lineRule="auto"/>
        <w:rPr>
          <w:rFonts w:cs="Arial"/>
          <w:b/>
          <w:bCs/>
          <w:lang w:val="en-CA"/>
        </w:rPr>
      </w:pPr>
      <w:bookmarkStart w:id="3" w:name="DecisionDeliveredBy"/>
      <w:r w:rsidRPr="0098597A">
        <w:rPr>
          <w:b/>
          <w:bCs/>
          <w:lang w:val="en-CA"/>
        </w:rPr>
        <w:t xml:space="preserve">DECISION DELIVERED BY </w:t>
      </w:r>
      <w:r w:rsidR="00BA5057" w:rsidRPr="0098597A">
        <w:rPr>
          <w:b/>
          <w:bCs/>
          <w:lang w:val="en-CA"/>
        </w:rPr>
        <w:t>BRYAN W. TUCKEY</w:t>
      </w:r>
      <w:r w:rsidRPr="0098597A">
        <w:rPr>
          <w:b/>
          <w:bCs/>
          <w:lang w:val="en-CA"/>
        </w:rPr>
        <w:t xml:space="preserve"> AND ORDER OF THE</w:t>
      </w:r>
      <w:r w:rsidRPr="0098597A">
        <w:rPr>
          <w:b/>
          <w:bCs/>
          <w:spacing w:val="-1"/>
          <w:lang w:val="en-CA"/>
        </w:rPr>
        <w:t xml:space="preserve"> </w:t>
      </w:r>
      <w:r w:rsidRPr="0098597A">
        <w:rPr>
          <w:b/>
          <w:bCs/>
          <w:lang w:val="en-CA"/>
        </w:rPr>
        <w:t>TRIBUNAL</w:t>
      </w:r>
    </w:p>
    <w:p w14:paraId="2EA6A5FC" w14:textId="3AA344D8" w:rsidR="00304DCC" w:rsidRPr="0098597A" w:rsidRDefault="00304DCC" w:rsidP="006542CD">
      <w:pPr>
        <w:rPr>
          <w:rFonts w:cs="Arial"/>
          <w:lang w:val="en-CA"/>
        </w:rPr>
      </w:pPr>
    </w:p>
    <w:p w14:paraId="7901EE78" w14:textId="09646387" w:rsidR="006F30FE" w:rsidRPr="0098597A" w:rsidRDefault="00D90BC3" w:rsidP="008E2A61">
      <w:pPr>
        <w:numPr>
          <w:ilvl w:val="0"/>
          <w:numId w:val="1"/>
        </w:numPr>
        <w:ind w:left="0" w:firstLine="0"/>
        <w:rPr>
          <w:rFonts w:cs="Arial"/>
          <w:lang w:val="en-CA"/>
        </w:rPr>
      </w:pPr>
      <w:r w:rsidRPr="0098597A">
        <w:rPr>
          <w:lang w:val="en-CA"/>
        </w:rPr>
        <w:t>LIV Developments Ltd. (“Appellant”) filed appeals regarding the failure of the City of Hamilton (“City”) to make a decision on an Official Plan Amendment (“OPA”) pursuant to s. 22(7), a Zoning By-law Amendment (“ZBA”) pursuant to s. 34(11) and a Site Plan Application (“SPA”) pursuant to s.</w:t>
      </w:r>
      <w:r w:rsidR="000D6383">
        <w:rPr>
          <w:lang w:val="en-CA"/>
        </w:rPr>
        <w:t xml:space="preserve"> </w:t>
      </w:r>
      <w:r w:rsidRPr="0098597A">
        <w:rPr>
          <w:lang w:val="en-CA"/>
        </w:rPr>
        <w:t xml:space="preserve">41(12) of the </w:t>
      </w:r>
      <w:r w:rsidRPr="008A1DBE">
        <w:rPr>
          <w:i/>
          <w:iCs/>
          <w:lang w:val="en-CA"/>
        </w:rPr>
        <w:t>Planning Act</w:t>
      </w:r>
      <w:r w:rsidRPr="0098597A">
        <w:rPr>
          <w:lang w:val="en-CA"/>
        </w:rPr>
        <w:t xml:space="preserve"> (“Act”).  These applications are to facilitate the development of the subject lands legally identified as Part of Lot 10, Concession 4 in the former Township of East Flamborough now in the City and are located within the </w:t>
      </w:r>
      <w:r w:rsidR="00FE6724">
        <w:rPr>
          <w:lang w:val="en-CA"/>
        </w:rPr>
        <w:t>C</w:t>
      </w:r>
      <w:r w:rsidRPr="0098597A">
        <w:rPr>
          <w:lang w:val="en-CA"/>
        </w:rPr>
        <w:t xml:space="preserve">ommunity of Waterdown. </w:t>
      </w:r>
      <w:r w:rsidR="00FE6724">
        <w:rPr>
          <w:lang w:val="en-CA"/>
        </w:rPr>
        <w:t xml:space="preserve"> </w:t>
      </w:r>
      <w:r w:rsidRPr="0098597A">
        <w:rPr>
          <w:lang w:val="en-CA"/>
        </w:rPr>
        <w:t>The subject lands are municipally known as 909 North Waterdown Dr</w:t>
      </w:r>
      <w:r w:rsidR="00FE6724">
        <w:rPr>
          <w:lang w:val="en-CA"/>
        </w:rPr>
        <w:t>ive</w:t>
      </w:r>
      <w:r w:rsidRPr="0098597A">
        <w:rPr>
          <w:lang w:val="en-CA"/>
        </w:rPr>
        <w:t xml:space="preserve"> (formerly 157 Parkside Dr</w:t>
      </w:r>
      <w:r w:rsidR="00FE6724">
        <w:rPr>
          <w:lang w:val="en-CA"/>
        </w:rPr>
        <w:t>ive</w:t>
      </w:r>
      <w:r w:rsidRPr="0098597A">
        <w:rPr>
          <w:lang w:val="en-CA"/>
        </w:rPr>
        <w:t>).</w:t>
      </w:r>
    </w:p>
    <w:p w14:paraId="7883131C" w14:textId="14C9DBEB" w:rsidR="00945922" w:rsidRPr="0098597A" w:rsidRDefault="00945922" w:rsidP="00744D4B">
      <w:pPr>
        <w:rPr>
          <w:rFonts w:cs="Arial"/>
          <w:lang w:val="en-CA"/>
        </w:rPr>
      </w:pPr>
    </w:p>
    <w:p w14:paraId="1F0684B7" w14:textId="44400455" w:rsidR="00D90BC3" w:rsidRPr="0098597A" w:rsidRDefault="00D90BC3" w:rsidP="00744D4B">
      <w:pPr>
        <w:rPr>
          <w:rFonts w:cs="Arial"/>
          <w:lang w:val="en-CA"/>
        </w:rPr>
      </w:pPr>
      <w:r w:rsidRPr="0098597A">
        <w:rPr>
          <w:b/>
          <w:lang w:val="en-CA"/>
        </w:rPr>
        <w:lastRenderedPageBreak/>
        <w:t>PRELIMINARY MATTERS</w:t>
      </w:r>
    </w:p>
    <w:p w14:paraId="15A86767" w14:textId="77777777" w:rsidR="00D90BC3" w:rsidRPr="0098597A" w:rsidRDefault="00D90BC3" w:rsidP="00744D4B">
      <w:pPr>
        <w:rPr>
          <w:rFonts w:cs="Arial"/>
          <w:lang w:val="en-CA"/>
        </w:rPr>
      </w:pPr>
    </w:p>
    <w:p w14:paraId="0CB81597" w14:textId="3925F2D5" w:rsidR="00B412AE" w:rsidRPr="0098597A" w:rsidRDefault="00D90BC3" w:rsidP="008E2A61">
      <w:pPr>
        <w:numPr>
          <w:ilvl w:val="0"/>
          <w:numId w:val="1"/>
        </w:numPr>
        <w:ind w:left="0" w:firstLine="0"/>
        <w:rPr>
          <w:rFonts w:cs="Arial"/>
          <w:lang w:val="en-CA"/>
        </w:rPr>
      </w:pPr>
      <w:r w:rsidRPr="0098597A">
        <w:rPr>
          <w:lang w:val="en-CA"/>
        </w:rPr>
        <w:t xml:space="preserve">Prior to the commencement of the hearing, </w:t>
      </w:r>
      <w:r w:rsidR="00AD6800">
        <w:rPr>
          <w:lang w:val="en-CA"/>
        </w:rPr>
        <w:t>c</w:t>
      </w:r>
      <w:r w:rsidRPr="0098597A">
        <w:rPr>
          <w:lang w:val="en-CA"/>
        </w:rPr>
        <w:t xml:space="preserve">ounsel on consent requested the Tribunal to adjourn the SPA portion of this appeal pursuant to s. 41(12) of the Act until the Tribunal issues a decision on the requested OPA and ZBA. </w:t>
      </w:r>
      <w:r w:rsidR="00AD6800">
        <w:rPr>
          <w:lang w:val="en-CA"/>
        </w:rPr>
        <w:t xml:space="preserve"> </w:t>
      </w:r>
      <w:r w:rsidRPr="0098597A">
        <w:rPr>
          <w:lang w:val="en-CA"/>
        </w:rPr>
        <w:t>This would allow for greater certainty on the details of the subject lands zoning should the implementation of the site plan be required because of the Tribunal</w:t>
      </w:r>
      <w:r w:rsidR="00AD6800">
        <w:rPr>
          <w:lang w:val="en-CA"/>
        </w:rPr>
        <w:t>’</w:t>
      </w:r>
      <w:r w:rsidRPr="0098597A">
        <w:rPr>
          <w:lang w:val="en-CA"/>
        </w:rPr>
        <w:t>s decision.  The Tribunal agrees as the suggestion offers “the best opportunity for a fair, just, expeditious and cost-effective resolution of the merits of the proceedings” (s. 1.3 of the Tribunal</w:t>
      </w:r>
      <w:r w:rsidR="009F3DBE">
        <w:rPr>
          <w:lang w:val="en-CA"/>
        </w:rPr>
        <w:t>’s</w:t>
      </w:r>
      <w:r w:rsidRPr="0098597A">
        <w:rPr>
          <w:lang w:val="en-CA"/>
        </w:rPr>
        <w:t xml:space="preserve"> </w:t>
      </w:r>
      <w:r w:rsidRPr="008A1DBE">
        <w:rPr>
          <w:i/>
          <w:iCs/>
          <w:lang w:val="en-CA"/>
        </w:rPr>
        <w:t>Rules of Practice and Procedure</w:t>
      </w:r>
      <w:r w:rsidRPr="0098597A">
        <w:rPr>
          <w:lang w:val="en-CA"/>
        </w:rPr>
        <w:t xml:space="preserve">).  </w:t>
      </w:r>
    </w:p>
    <w:p w14:paraId="62B31561" w14:textId="77777777" w:rsidR="00EA1A41" w:rsidRPr="0098597A" w:rsidRDefault="00EA1A41" w:rsidP="0037486E">
      <w:pPr>
        <w:rPr>
          <w:rFonts w:cs="Arial"/>
          <w:lang w:val="en-CA"/>
        </w:rPr>
      </w:pPr>
    </w:p>
    <w:p w14:paraId="685BBCCD" w14:textId="6B4AE1C5" w:rsidR="00353C0E" w:rsidRPr="0098597A" w:rsidRDefault="00D90BC3" w:rsidP="008E2A61">
      <w:pPr>
        <w:numPr>
          <w:ilvl w:val="0"/>
          <w:numId w:val="1"/>
        </w:numPr>
        <w:ind w:left="0" w:firstLine="0"/>
        <w:rPr>
          <w:rFonts w:cs="Arial"/>
          <w:lang w:val="en-CA"/>
        </w:rPr>
      </w:pPr>
      <w:r w:rsidRPr="0098597A">
        <w:rPr>
          <w:lang w:val="en-CA"/>
        </w:rPr>
        <w:t xml:space="preserve">The effect of this ruling is that Issues 18 – 20 found in the </w:t>
      </w:r>
      <w:r w:rsidR="00DC3F59">
        <w:rPr>
          <w:lang w:val="en-CA"/>
        </w:rPr>
        <w:t xml:space="preserve">Issues List of the </w:t>
      </w:r>
      <w:r w:rsidRPr="0098597A">
        <w:rPr>
          <w:lang w:val="en-CA"/>
        </w:rPr>
        <w:t>Procedural Order (“PO”) are not dealt with in this hearing.  Parties committed to advise the Tribunal within 60 days of its decision regarding the OPA and ZBA whether a contested hearing is required on the remaining site plan related issues or could the matter be resolved either through a settlement hearing or a withdrawal of the s. 41(12) appeal.  Should a contested hearing be required, parties agree that revised or supplementary evidence may then be provided on these issues as required.</w:t>
      </w:r>
    </w:p>
    <w:p w14:paraId="2266FC36" w14:textId="77777777" w:rsidR="00353C0E" w:rsidRPr="0098597A" w:rsidRDefault="00353C0E" w:rsidP="008A2570">
      <w:pPr>
        <w:pStyle w:val="ListParagraph"/>
        <w:rPr>
          <w:rFonts w:cs="Arial"/>
          <w:lang w:val="en-CA"/>
        </w:rPr>
      </w:pPr>
    </w:p>
    <w:p w14:paraId="4765C221" w14:textId="7FE194EA" w:rsidR="007866B0" w:rsidRPr="0098597A" w:rsidRDefault="00D90BC3" w:rsidP="007866B0">
      <w:pPr>
        <w:numPr>
          <w:ilvl w:val="0"/>
          <w:numId w:val="1"/>
        </w:numPr>
        <w:ind w:left="0" w:firstLine="0"/>
        <w:rPr>
          <w:rFonts w:cs="Arial"/>
          <w:lang w:val="en-CA"/>
        </w:rPr>
      </w:pPr>
      <w:r w:rsidRPr="0098597A">
        <w:rPr>
          <w:lang w:val="en-CA"/>
        </w:rPr>
        <w:t xml:space="preserve">Counsel also advised the Tribunal that expert witnesses have come to a consensus on a considerable number of the issues found in the PO’s Issues List.  Issues where consensus has been found and </w:t>
      </w:r>
      <w:r w:rsidR="00DC3F59">
        <w:rPr>
          <w:lang w:val="en-CA"/>
        </w:rPr>
        <w:t>not requir</w:t>
      </w:r>
      <w:r w:rsidR="00203591">
        <w:rPr>
          <w:lang w:val="en-CA"/>
        </w:rPr>
        <w:t>ing</w:t>
      </w:r>
      <w:r w:rsidR="00DC3F59">
        <w:rPr>
          <w:lang w:val="en-CA"/>
        </w:rPr>
        <w:t xml:space="preserve"> the</w:t>
      </w:r>
      <w:r w:rsidRPr="0098597A">
        <w:rPr>
          <w:lang w:val="en-CA"/>
        </w:rPr>
        <w:t xml:space="preserve"> Tribunal</w:t>
      </w:r>
      <w:r w:rsidR="00DC3F59">
        <w:rPr>
          <w:lang w:val="en-CA"/>
        </w:rPr>
        <w:t>’s</w:t>
      </w:r>
      <w:r w:rsidRPr="0098597A">
        <w:rPr>
          <w:lang w:val="en-CA"/>
        </w:rPr>
        <w:t xml:space="preserve"> adjudication are: Natural Heritage – Issue 10; Engineering – Issues 11 – 15; and Traffic/Transportation Issue 16.</w:t>
      </w:r>
    </w:p>
    <w:p w14:paraId="18293410" w14:textId="0C5AFBFA" w:rsidR="00314775" w:rsidRPr="0098597A" w:rsidRDefault="00314775" w:rsidP="0009382C">
      <w:pPr>
        <w:rPr>
          <w:lang w:val="en-CA"/>
        </w:rPr>
      </w:pPr>
    </w:p>
    <w:p w14:paraId="7FBF1410" w14:textId="77DBC762" w:rsidR="00D542FD" w:rsidRPr="0098597A" w:rsidRDefault="00D90BC3" w:rsidP="008E2A61">
      <w:pPr>
        <w:numPr>
          <w:ilvl w:val="0"/>
          <w:numId w:val="1"/>
        </w:numPr>
        <w:ind w:left="0" w:firstLine="0"/>
        <w:rPr>
          <w:rFonts w:cs="Arial"/>
          <w:lang w:val="en-CA"/>
        </w:rPr>
      </w:pPr>
      <w:r w:rsidRPr="0098597A">
        <w:rPr>
          <w:lang w:val="en-CA"/>
        </w:rPr>
        <w:t>The Tribunal commenced the hearing agreeing</w:t>
      </w:r>
      <w:r w:rsidR="00203591">
        <w:rPr>
          <w:lang w:val="en-CA"/>
        </w:rPr>
        <w:t>,</w:t>
      </w:r>
      <w:r w:rsidRPr="0098597A">
        <w:rPr>
          <w:lang w:val="en-CA"/>
        </w:rPr>
        <w:t xml:space="preserve"> to and in keeping with</w:t>
      </w:r>
      <w:r w:rsidR="00203591">
        <w:rPr>
          <w:lang w:val="en-CA"/>
        </w:rPr>
        <w:t>,</w:t>
      </w:r>
      <w:r w:rsidRPr="0098597A">
        <w:rPr>
          <w:lang w:val="en-CA"/>
        </w:rPr>
        <w:t xml:space="preserve"> these Counsel requests.</w:t>
      </w:r>
    </w:p>
    <w:p w14:paraId="6848B4B4" w14:textId="66B3E8E1" w:rsidR="00D90BC3" w:rsidRDefault="00D90BC3" w:rsidP="00D542FD">
      <w:pPr>
        <w:rPr>
          <w:rFonts w:cs="Arial"/>
          <w:lang w:val="en-CA"/>
        </w:rPr>
      </w:pPr>
    </w:p>
    <w:p w14:paraId="1EF9E92A" w14:textId="7472B989" w:rsidR="004A4A22" w:rsidRDefault="004A4A22" w:rsidP="00D542FD">
      <w:pPr>
        <w:rPr>
          <w:rFonts w:cs="Arial"/>
          <w:lang w:val="en-CA"/>
        </w:rPr>
      </w:pPr>
    </w:p>
    <w:p w14:paraId="7044AF55" w14:textId="160745BE" w:rsidR="004A4A22" w:rsidRDefault="004A4A22" w:rsidP="00D542FD">
      <w:pPr>
        <w:rPr>
          <w:rFonts w:cs="Arial"/>
          <w:lang w:val="en-CA"/>
        </w:rPr>
      </w:pPr>
    </w:p>
    <w:p w14:paraId="300B5939" w14:textId="77777777" w:rsidR="004A4A22" w:rsidRPr="0098597A" w:rsidRDefault="004A4A22" w:rsidP="00D542FD">
      <w:pPr>
        <w:rPr>
          <w:rFonts w:cs="Arial"/>
          <w:lang w:val="en-CA"/>
        </w:rPr>
      </w:pPr>
    </w:p>
    <w:p w14:paraId="6A272746" w14:textId="15DF6BE8" w:rsidR="009102E2" w:rsidRPr="0098597A" w:rsidRDefault="00D90BC3" w:rsidP="00D542FD">
      <w:pPr>
        <w:rPr>
          <w:rFonts w:cs="Arial"/>
          <w:lang w:val="en-CA"/>
        </w:rPr>
      </w:pPr>
      <w:r w:rsidRPr="0098597A">
        <w:rPr>
          <w:b/>
          <w:lang w:val="en-CA"/>
        </w:rPr>
        <w:lastRenderedPageBreak/>
        <w:t>KEY ISSUE</w:t>
      </w:r>
    </w:p>
    <w:p w14:paraId="4800A951" w14:textId="77777777" w:rsidR="009102E2" w:rsidRPr="0098597A" w:rsidRDefault="009102E2" w:rsidP="00D542FD">
      <w:pPr>
        <w:rPr>
          <w:rFonts w:cs="Arial"/>
          <w:lang w:val="en-CA"/>
        </w:rPr>
      </w:pPr>
    </w:p>
    <w:p w14:paraId="039CCCE4" w14:textId="0B618F4F" w:rsidR="00141DCB" w:rsidRPr="0098597A" w:rsidRDefault="00D90BC3" w:rsidP="008E2A61">
      <w:pPr>
        <w:numPr>
          <w:ilvl w:val="0"/>
          <w:numId w:val="1"/>
        </w:numPr>
        <w:ind w:left="0" w:firstLine="0"/>
        <w:rPr>
          <w:rFonts w:cs="Arial"/>
          <w:lang w:val="en-CA"/>
        </w:rPr>
      </w:pPr>
      <w:r w:rsidRPr="0098597A">
        <w:rPr>
          <w:lang w:val="en-CA"/>
        </w:rPr>
        <w:t>The Tribunal heard from the outset of the hearing that the subject lands are appropriate for residential development, but it is abundantly clear that the key issue is:</w:t>
      </w:r>
    </w:p>
    <w:p w14:paraId="09C4D0BE" w14:textId="48495367" w:rsidR="00843C52" w:rsidRPr="0098597A" w:rsidRDefault="00843C52" w:rsidP="00843C52">
      <w:pPr>
        <w:pStyle w:val="ListParagraph"/>
        <w:rPr>
          <w:rStyle w:val="normaltextrun"/>
          <w:rFonts w:cs="Arial"/>
          <w:lang w:val="en-CA"/>
        </w:rPr>
      </w:pPr>
    </w:p>
    <w:p w14:paraId="4011737B" w14:textId="54608CB7" w:rsidR="00D90BC3" w:rsidRPr="0098597A" w:rsidRDefault="00CC2523" w:rsidP="00D90BC3">
      <w:pPr>
        <w:pStyle w:val="ListParagraph"/>
        <w:numPr>
          <w:ilvl w:val="1"/>
          <w:numId w:val="1"/>
        </w:numPr>
        <w:ind w:hanging="720"/>
        <w:rPr>
          <w:rStyle w:val="normaltextrun"/>
          <w:rFonts w:cs="Arial"/>
          <w:lang w:val="en-CA"/>
        </w:rPr>
      </w:pPr>
      <w:r>
        <w:rPr>
          <w:lang w:val="en-CA"/>
        </w:rPr>
        <w:t xml:space="preserve">Is </w:t>
      </w:r>
      <w:r w:rsidR="00D90BC3" w:rsidRPr="0098597A">
        <w:rPr>
          <w:lang w:val="en-CA"/>
        </w:rPr>
        <w:t>a stacked townhome development</w:t>
      </w:r>
      <w:r>
        <w:rPr>
          <w:lang w:val="en-CA"/>
        </w:rPr>
        <w:t>,</w:t>
      </w:r>
      <w:r w:rsidR="00D90BC3" w:rsidRPr="0098597A">
        <w:rPr>
          <w:lang w:val="en-CA"/>
        </w:rPr>
        <w:t xml:space="preserve"> in keeping with the statutory policy objectives of the relevant Provincial and City planning policies</w:t>
      </w:r>
      <w:r w:rsidR="00CC4217">
        <w:rPr>
          <w:lang w:val="en-CA"/>
        </w:rPr>
        <w:t>,</w:t>
      </w:r>
      <w:r w:rsidR="00D90BC3" w:rsidRPr="0098597A">
        <w:rPr>
          <w:lang w:val="en-CA"/>
        </w:rPr>
        <w:t xml:space="preserve"> thereby making a redesignation of the subject lands from a High Density Residential 1 with a minimum density of 100 units per gross residential hectare (</w:t>
      </w:r>
      <w:r w:rsidR="00CC4217">
        <w:rPr>
          <w:lang w:val="en-CA"/>
        </w:rPr>
        <w:t>“</w:t>
      </w:r>
      <w:r w:rsidR="00D90BC3" w:rsidRPr="0098597A">
        <w:rPr>
          <w:lang w:val="en-CA"/>
        </w:rPr>
        <w:t>u/ha”) to a Medium Density Residential 3 with a minimum density of 60 u/ha</w:t>
      </w:r>
      <w:r>
        <w:rPr>
          <w:lang w:val="en-CA"/>
        </w:rPr>
        <w:t>,</w:t>
      </w:r>
      <w:r w:rsidR="00D90BC3" w:rsidRPr="0098597A">
        <w:rPr>
          <w:lang w:val="en-CA"/>
        </w:rPr>
        <w:t xml:space="preserve"> appropriate?</w:t>
      </w:r>
    </w:p>
    <w:p w14:paraId="147833FF" w14:textId="668D12D5" w:rsidR="00D90BC3" w:rsidRPr="0098597A" w:rsidRDefault="00D90BC3" w:rsidP="00843C52">
      <w:pPr>
        <w:pStyle w:val="ListParagraph"/>
        <w:rPr>
          <w:rStyle w:val="normaltextrun"/>
          <w:rFonts w:cs="Arial"/>
          <w:lang w:val="en-CA"/>
        </w:rPr>
      </w:pPr>
    </w:p>
    <w:p w14:paraId="4D185E94" w14:textId="20FDFFAC" w:rsidR="00D90BC3" w:rsidRPr="0098597A" w:rsidRDefault="00D90BC3" w:rsidP="00843C52">
      <w:pPr>
        <w:pStyle w:val="ListParagraph"/>
        <w:rPr>
          <w:rStyle w:val="normaltextrun"/>
          <w:rFonts w:cs="Arial"/>
          <w:lang w:val="en-CA"/>
        </w:rPr>
      </w:pPr>
      <w:r w:rsidRPr="0098597A">
        <w:rPr>
          <w:b/>
          <w:lang w:val="en-CA"/>
        </w:rPr>
        <w:t>THE WITNESSES</w:t>
      </w:r>
    </w:p>
    <w:p w14:paraId="5191E36E" w14:textId="77777777" w:rsidR="00D90BC3" w:rsidRPr="0098597A" w:rsidRDefault="00D90BC3" w:rsidP="00843C52">
      <w:pPr>
        <w:pStyle w:val="ListParagraph"/>
        <w:rPr>
          <w:rStyle w:val="normaltextrun"/>
          <w:rFonts w:cs="Arial"/>
          <w:lang w:val="en-CA"/>
        </w:rPr>
      </w:pPr>
    </w:p>
    <w:p w14:paraId="5D972073" w14:textId="77AF8F63" w:rsidR="00843C52" w:rsidRPr="0098597A" w:rsidRDefault="00D90BC3" w:rsidP="008E2A61">
      <w:pPr>
        <w:numPr>
          <w:ilvl w:val="0"/>
          <w:numId w:val="1"/>
        </w:numPr>
        <w:ind w:left="0" w:firstLine="0"/>
        <w:rPr>
          <w:rFonts w:cs="Arial"/>
          <w:lang w:val="en-CA"/>
        </w:rPr>
      </w:pPr>
      <w:r w:rsidRPr="0098597A">
        <w:rPr>
          <w:lang w:val="en-CA"/>
        </w:rPr>
        <w:t>The Tribunal has the benefit of testimony from six witnesses.  This decision includes oral testimony and material found int the various expert witness statements (“WS”) and reply witness statements (“RWS”).  The witnesses are as follows:</w:t>
      </w:r>
    </w:p>
    <w:p w14:paraId="36DBF9B3" w14:textId="4D652ECA" w:rsidR="00843C52" w:rsidRPr="0098597A" w:rsidRDefault="00843C52" w:rsidP="00843C52">
      <w:pPr>
        <w:pStyle w:val="ListParagraph"/>
        <w:rPr>
          <w:rStyle w:val="normaltextrun"/>
          <w:rFonts w:cs="Arial"/>
          <w:lang w:val="en-CA"/>
        </w:rPr>
      </w:pPr>
    </w:p>
    <w:p w14:paraId="7EBB5690" w14:textId="41D02E64" w:rsidR="00D90BC3" w:rsidRPr="0098597A" w:rsidRDefault="00D90BC3" w:rsidP="006717AA">
      <w:pPr>
        <w:pStyle w:val="ListParagraph"/>
        <w:numPr>
          <w:ilvl w:val="1"/>
          <w:numId w:val="1"/>
        </w:numPr>
        <w:spacing w:after="120"/>
        <w:ind w:hanging="720"/>
        <w:rPr>
          <w:lang w:val="en-CA"/>
        </w:rPr>
      </w:pPr>
      <w:r w:rsidRPr="0098597A">
        <w:rPr>
          <w:lang w:val="en-CA"/>
        </w:rPr>
        <w:t>Land Use Planning – John Corbett for the Appellant (WS</w:t>
      </w:r>
      <w:r w:rsidR="00566184">
        <w:rPr>
          <w:lang w:val="en-CA"/>
        </w:rPr>
        <w:t>,</w:t>
      </w:r>
      <w:r w:rsidRPr="0098597A">
        <w:rPr>
          <w:lang w:val="en-CA"/>
        </w:rPr>
        <w:t xml:space="preserve"> Exhibit 3</w:t>
      </w:r>
      <w:r w:rsidR="00566184">
        <w:rPr>
          <w:lang w:val="en-CA"/>
        </w:rPr>
        <w:t>,</w:t>
      </w:r>
      <w:r w:rsidRPr="0098597A">
        <w:rPr>
          <w:lang w:val="en-CA"/>
        </w:rPr>
        <w:t xml:space="preserve"> Tab</w:t>
      </w:r>
      <w:r w:rsidR="00566184">
        <w:rPr>
          <w:lang w:val="en-CA"/>
        </w:rPr>
        <w:t> </w:t>
      </w:r>
      <w:r w:rsidRPr="0098597A">
        <w:rPr>
          <w:lang w:val="en-CA"/>
        </w:rPr>
        <w:t xml:space="preserve">52) and David </w:t>
      </w:r>
      <w:proofErr w:type="spellStart"/>
      <w:r w:rsidRPr="0098597A">
        <w:rPr>
          <w:lang w:val="en-CA"/>
        </w:rPr>
        <w:t>Sajecki</w:t>
      </w:r>
      <w:proofErr w:type="spellEnd"/>
      <w:r w:rsidRPr="0098597A">
        <w:rPr>
          <w:lang w:val="en-CA"/>
        </w:rPr>
        <w:t xml:space="preserve"> for the City (WS</w:t>
      </w:r>
      <w:r w:rsidR="00566184">
        <w:rPr>
          <w:lang w:val="en-CA"/>
        </w:rPr>
        <w:t>,</w:t>
      </w:r>
      <w:r w:rsidRPr="0098597A">
        <w:rPr>
          <w:lang w:val="en-CA"/>
        </w:rPr>
        <w:t xml:space="preserve"> Exhibit 3</w:t>
      </w:r>
      <w:r w:rsidR="00566184">
        <w:rPr>
          <w:lang w:val="en-CA"/>
        </w:rPr>
        <w:t>,</w:t>
      </w:r>
      <w:r w:rsidRPr="0098597A">
        <w:rPr>
          <w:lang w:val="en-CA"/>
        </w:rPr>
        <w:t xml:space="preserve"> Tab 55 and RWS</w:t>
      </w:r>
      <w:r w:rsidR="00566184">
        <w:rPr>
          <w:lang w:val="en-CA"/>
        </w:rPr>
        <w:t> </w:t>
      </w:r>
      <w:r w:rsidRPr="0098597A">
        <w:rPr>
          <w:lang w:val="en-CA"/>
        </w:rPr>
        <w:t>Tab 60).</w:t>
      </w:r>
      <w:r w:rsidR="00566184">
        <w:rPr>
          <w:lang w:val="en-CA"/>
        </w:rPr>
        <w:t xml:space="preserve"> </w:t>
      </w:r>
      <w:r w:rsidRPr="0098597A">
        <w:rPr>
          <w:lang w:val="en-CA"/>
        </w:rPr>
        <w:t xml:space="preserve"> Both are qualified to give expert evidence in the discipline of Land Use Planning.</w:t>
      </w:r>
    </w:p>
    <w:p w14:paraId="73F4D1D6" w14:textId="6D0424A8" w:rsidR="00D90BC3" w:rsidRPr="0098597A" w:rsidRDefault="00D90BC3" w:rsidP="006717AA">
      <w:pPr>
        <w:pStyle w:val="ListParagraph"/>
        <w:numPr>
          <w:ilvl w:val="1"/>
          <w:numId w:val="1"/>
        </w:numPr>
        <w:spacing w:after="120"/>
        <w:ind w:hanging="720"/>
        <w:rPr>
          <w:lang w:val="en-CA"/>
        </w:rPr>
      </w:pPr>
      <w:r w:rsidRPr="0098597A">
        <w:rPr>
          <w:lang w:val="en-CA"/>
        </w:rPr>
        <w:t>Urban Design – John Richard for the Appellant (WS</w:t>
      </w:r>
      <w:r w:rsidR="00566184">
        <w:rPr>
          <w:lang w:val="en-CA"/>
        </w:rPr>
        <w:t>,</w:t>
      </w:r>
      <w:r w:rsidRPr="0098597A">
        <w:rPr>
          <w:lang w:val="en-CA"/>
        </w:rPr>
        <w:t xml:space="preserve"> Exhibit 3</w:t>
      </w:r>
      <w:r w:rsidR="00566184">
        <w:rPr>
          <w:lang w:val="en-CA"/>
        </w:rPr>
        <w:t>,</w:t>
      </w:r>
      <w:r w:rsidRPr="0098597A">
        <w:rPr>
          <w:lang w:val="en-CA"/>
        </w:rPr>
        <w:t xml:space="preserve"> Tab 54 and RWS Tab 59) and Antonio Gomez-Palacio for the City (</w:t>
      </w:r>
      <w:r w:rsidR="00566184">
        <w:rPr>
          <w:lang w:val="en-CA"/>
        </w:rPr>
        <w:t xml:space="preserve">WS, </w:t>
      </w:r>
      <w:r w:rsidRPr="0098597A">
        <w:rPr>
          <w:lang w:val="en-CA"/>
        </w:rPr>
        <w:t>Exhibit 3</w:t>
      </w:r>
      <w:r w:rsidR="00566184">
        <w:rPr>
          <w:lang w:val="en-CA"/>
        </w:rPr>
        <w:t>,</w:t>
      </w:r>
      <w:r w:rsidRPr="0098597A">
        <w:rPr>
          <w:lang w:val="en-CA"/>
        </w:rPr>
        <w:t xml:space="preserve"> Tab</w:t>
      </w:r>
      <w:r w:rsidR="00566184">
        <w:rPr>
          <w:lang w:val="en-CA"/>
        </w:rPr>
        <w:t> </w:t>
      </w:r>
      <w:r w:rsidRPr="0098597A">
        <w:rPr>
          <w:lang w:val="en-CA"/>
        </w:rPr>
        <w:t>56 and RWS Tab 61). Both are qualified to give expert evidence in the discipline of Urban Design.</w:t>
      </w:r>
    </w:p>
    <w:p w14:paraId="122304F1" w14:textId="4BE501DB" w:rsidR="00D90BC3" w:rsidRPr="0098597A" w:rsidRDefault="00D90BC3" w:rsidP="00D90BC3">
      <w:pPr>
        <w:pStyle w:val="ListParagraph"/>
        <w:numPr>
          <w:ilvl w:val="1"/>
          <w:numId w:val="1"/>
        </w:numPr>
        <w:ind w:hanging="720"/>
        <w:rPr>
          <w:lang w:val="en-CA"/>
        </w:rPr>
      </w:pPr>
      <w:r w:rsidRPr="0098597A">
        <w:rPr>
          <w:lang w:val="en-CA"/>
        </w:rPr>
        <w:t>Transportation and Traffic Planning – David Argue for the Appellant (WS</w:t>
      </w:r>
      <w:r w:rsidR="00566184">
        <w:rPr>
          <w:lang w:val="en-CA"/>
        </w:rPr>
        <w:t>, </w:t>
      </w:r>
      <w:r w:rsidRPr="0098597A">
        <w:rPr>
          <w:lang w:val="en-CA"/>
        </w:rPr>
        <w:t>Exhibit 3</w:t>
      </w:r>
      <w:r w:rsidR="00566184">
        <w:rPr>
          <w:lang w:val="en-CA"/>
        </w:rPr>
        <w:t>,</w:t>
      </w:r>
      <w:r w:rsidRPr="0098597A">
        <w:rPr>
          <w:lang w:val="en-CA"/>
        </w:rPr>
        <w:t xml:space="preserve"> Tab 53) and for the City Steve Molloy (WS</w:t>
      </w:r>
      <w:r w:rsidR="00566184">
        <w:rPr>
          <w:lang w:val="en-CA"/>
        </w:rPr>
        <w:t>,</w:t>
      </w:r>
      <w:r w:rsidRPr="0098597A">
        <w:rPr>
          <w:lang w:val="en-CA"/>
        </w:rPr>
        <w:t xml:space="preserve"> Exhibit 3</w:t>
      </w:r>
      <w:r w:rsidR="00566184">
        <w:rPr>
          <w:lang w:val="en-CA"/>
        </w:rPr>
        <w:t>,</w:t>
      </w:r>
      <w:r w:rsidRPr="0098597A">
        <w:rPr>
          <w:lang w:val="en-CA"/>
        </w:rPr>
        <w:t xml:space="preserve"> Tab</w:t>
      </w:r>
      <w:r w:rsidR="00566184">
        <w:rPr>
          <w:lang w:val="en-CA"/>
        </w:rPr>
        <w:t> </w:t>
      </w:r>
      <w:r w:rsidRPr="0098597A">
        <w:rPr>
          <w:lang w:val="en-CA"/>
        </w:rPr>
        <w:t>57</w:t>
      </w:r>
      <w:r w:rsidR="00566184">
        <w:rPr>
          <w:lang w:val="en-CA"/>
        </w:rPr>
        <w:t xml:space="preserve"> and</w:t>
      </w:r>
      <w:r w:rsidRPr="0098597A">
        <w:rPr>
          <w:lang w:val="en-CA"/>
        </w:rPr>
        <w:t xml:space="preserve"> RWS Tab 32).  Both are qualified to give evidence in the discipline of Transportation and Traffic Planning.</w:t>
      </w:r>
    </w:p>
    <w:p w14:paraId="3DC0D23A" w14:textId="294DC28E" w:rsidR="00D90BC3" w:rsidRPr="0098597A" w:rsidRDefault="00D90BC3" w:rsidP="00843C52">
      <w:pPr>
        <w:pStyle w:val="ListParagraph"/>
        <w:rPr>
          <w:rStyle w:val="normaltextrun"/>
          <w:rFonts w:cs="Arial"/>
          <w:lang w:val="en-CA"/>
        </w:rPr>
      </w:pPr>
    </w:p>
    <w:p w14:paraId="272D8001" w14:textId="68208B92" w:rsidR="00D90BC3" w:rsidRPr="0098597A" w:rsidRDefault="00D90BC3" w:rsidP="00843C52">
      <w:pPr>
        <w:pStyle w:val="ListParagraph"/>
        <w:rPr>
          <w:rStyle w:val="normaltextrun"/>
          <w:rFonts w:cs="Arial"/>
          <w:lang w:val="en-CA"/>
        </w:rPr>
      </w:pPr>
      <w:r w:rsidRPr="0098597A">
        <w:rPr>
          <w:b/>
          <w:lang w:val="en-CA"/>
        </w:rPr>
        <w:t>SITE AREA AND CONTEXT</w:t>
      </w:r>
    </w:p>
    <w:p w14:paraId="330AAA79" w14:textId="77777777" w:rsidR="00D90BC3" w:rsidRPr="0098597A" w:rsidRDefault="00D90BC3" w:rsidP="00843C52">
      <w:pPr>
        <w:pStyle w:val="ListParagraph"/>
        <w:rPr>
          <w:rStyle w:val="normaltextrun"/>
          <w:rFonts w:cs="Arial"/>
          <w:lang w:val="en-CA"/>
        </w:rPr>
      </w:pPr>
    </w:p>
    <w:p w14:paraId="189DC22B" w14:textId="4559C950" w:rsidR="00016445" w:rsidRPr="0098597A" w:rsidRDefault="00D90BC3" w:rsidP="00AF14FA">
      <w:pPr>
        <w:numPr>
          <w:ilvl w:val="0"/>
          <w:numId w:val="1"/>
        </w:numPr>
        <w:ind w:left="0" w:firstLine="0"/>
        <w:rPr>
          <w:rFonts w:cs="Arial"/>
          <w:lang w:val="en-CA"/>
        </w:rPr>
      </w:pPr>
      <w:r w:rsidRPr="0098597A">
        <w:rPr>
          <w:lang w:val="en-CA"/>
        </w:rPr>
        <w:t xml:space="preserve">The subject lands are in the </w:t>
      </w:r>
      <w:r w:rsidR="00911EFA">
        <w:rPr>
          <w:lang w:val="en-CA"/>
        </w:rPr>
        <w:t>C</w:t>
      </w:r>
      <w:r w:rsidRPr="0098597A">
        <w:rPr>
          <w:lang w:val="en-CA"/>
        </w:rPr>
        <w:t>ommunity of Waterdown (former Town of Flamborough) at the corner of Mosaic Dr</w:t>
      </w:r>
      <w:r w:rsidR="00911EFA">
        <w:rPr>
          <w:lang w:val="en-CA"/>
        </w:rPr>
        <w:t>ive</w:t>
      </w:r>
      <w:r w:rsidRPr="0098597A">
        <w:rPr>
          <w:lang w:val="en-CA"/>
        </w:rPr>
        <w:t xml:space="preserve"> and the newly constructed North Waterdown Dr</w:t>
      </w:r>
      <w:r w:rsidR="00911EFA">
        <w:rPr>
          <w:lang w:val="en-CA"/>
        </w:rPr>
        <w:t>ive</w:t>
      </w:r>
      <w:r w:rsidRPr="0098597A">
        <w:rPr>
          <w:lang w:val="en-CA"/>
        </w:rPr>
        <w:t xml:space="preserve">. </w:t>
      </w:r>
      <w:r w:rsidR="00911EFA">
        <w:rPr>
          <w:lang w:val="en-CA"/>
        </w:rPr>
        <w:t xml:space="preserve"> </w:t>
      </w:r>
      <w:r w:rsidRPr="0098597A">
        <w:rPr>
          <w:lang w:val="en-CA"/>
        </w:rPr>
        <w:t>The total area of the subject lands is approximately 17 hectares (“ha”) in size but the net developable area is 1.85 ha because of a significant natural heritage system surrounding the subject lands, required buffers to protect the natural heritage features and takings to construct North Waterdown Dr</w:t>
      </w:r>
      <w:r w:rsidR="00911EFA">
        <w:rPr>
          <w:lang w:val="en-CA"/>
        </w:rPr>
        <w:t>ive</w:t>
      </w:r>
      <w:r w:rsidRPr="0098597A">
        <w:rPr>
          <w:lang w:val="en-CA"/>
        </w:rPr>
        <w:t xml:space="preserve">. </w:t>
      </w:r>
      <w:r w:rsidR="00911EFA">
        <w:rPr>
          <w:lang w:val="en-CA"/>
        </w:rPr>
        <w:t xml:space="preserve"> </w:t>
      </w:r>
      <w:r w:rsidRPr="0098597A">
        <w:rPr>
          <w:lang w:val="en-CA"/>
        </w:rPr>
        <w:t>The remainder of the subject lands will continue to be protected within the natural heritage system which includes the Borer’s Creek.</w:t>
      </w:r>
    </w:p>
    <w:p w14:paraId="772EA8E9" w14:textId="3FC9D48F" w:rsidR="00150CF4" w:rsidRPr="0098597A" w:rsidRDefault="00150CF4" w:rsidP="00220B4E">
      <w:pPr>
        <w:pStyle w:val="ListParagraph"/>
        <w:rPr>
          <w:rFonts w:cs="Arial"/>
          <w:lang w:val="en-CA"/>
        </w:rPr>
      </w:pPr>
    </w:p>
    <w:p w14:paraId="5412E2D0" w14:textId="5960E19F" w:rsidR="00204DC7" w:rsidRPr="0098597A" w:rsidRDefault="004A5FDE" w:rsidP="008E2A61">
      <w:pPr>
        <w:numPr>
          <w:ilvl w:val="0"/>
          <w:numId w:val="1"/>
        </w:numPr>
        <w:ind w:left="0" w:firstLine="0"/>
        <w:rPr>
          <w:rFonts w:cs="Arial"/>
          <w:lang w:val="en-CA"/>
        </w:rPr>
      </w:pPr>
      <w:r w:rsidRPr="0098597A">
        <w:rPr>
          <w:lang w:val="en-CA"/>
        </w:rPr>
        <w:t xml:space="preserve">The subject lands are within the Waterdown North </w:t>
      </w:r>
      <w:r w:rsidR="00911EFA">
        <w:rPr>
          <w:lang w:val="en-CA"/>
        </w:rPr>
        <w:t>N</w:t>
      </w:r>
      <w:r w:rsidRPr="0098597A">
        <w:rPr>
          <w:lang w:val="en-CA"/>
        </w:rPr>
        <w:t>eighbourhood that has a mix of land uses including residential, commercial, industrial, and institutional.  Existing housing is predominately single detached dwellings but includes semi-detached</w:t>
      </w:r>
      <w:r w:rsidR="00911EFA">
        <w:rPr>
          <w:lang w:val="en-CA"/>
        </w:rPr>
        <w:t>,</w:t>
      </w:r>
      <w:r w:rsidRPr="0098597A">
        <w:rPr>
          <w:lang w:val="en-CA"/>
        </w:rPr>
        <w:t xml:space="preserve"> duplex dwellings and townhomes.  Immediately south is a neighbourhood that has been recently developed and is known as </w:t>
      </w:r>
      <w:r w:rsidR="00911EFA">
        <w:rPr>
          <w:lang w:val="en-CA"/>
        </w:rPr>
        <w:t>“</w:t>
      </w:r>
      <w:r w:rsidRPr="0098597A">
        <w:rPr>
          <w:lang w:val="en-CA"/>
        </w:rPr>
        <w:t>Kaleidoscope Phase 2</w:t>
      </w:r>
      <w:r w:rsidR="00911EFA">
        <w:rPr>
          <w:lang w:val="en-CA"/>
        </w:rPr>
        <w:t>”</w:t>
      </w:r>
      <w:r w:rsidRPr="0098597A">
        <w:rPr>
          <w:lang w:val="en-CA"/>
        </w:rPr>
        <w:t>.  Within a kilometr</w:t>
      </w:r>
      <w:r w:rsidR="00911EFA">
        <w:rPr>
          <w:lang w:val="en-CA"/>
        </w:rPr>
        <w:t>e</w:t>
      </w:r>
      <w:r w:rsidRPr="0098597A">
        <w:rPr>
          <w:lang w:val="en-CA"/>
        </w:rPr>
        <w:t xml:space="preserve"> are several community related facilities including an elementary and high school, the Flamborough Family YMCA and access to trails and open space.</w:t>
      </w:r>
    </w:p>
    <w:p w14:paraId="769E1184" w14:textId="77777777" w:rsidR="00907785" w:rsidRPr="0098597A" w:rsidRDefault="00907785" w:rsidP="00907785">
      <w:pPr>
        <w:pStyle w:val="ListParagraph"/>
        <w:rPr>
          <w:rFonts w:cs="Arial"/>
          <w:lang w:val="en-CA"/>
        </w:rPr>
      </w:pPr>
    </w:p>
    <w:p w14:paraId="299D4768" w14:textId="7AE52C87" w:rsidR="00AF14FA" w:rsidRPr="0098597A" w:rsidRDefault="004A5FDE" w:rsidP="00907785">
      <w:pPr>
        <w:numPr>
          <w:ilvl w:val="0"/>
          <w:numId w:val="1"/>
        </w:numPr>
        <w:ind w:left="0" w:firstLine="0"/>
        <w:rPr>
          <w:rFonts w:cs="Arial"/>
          <w:lang w:val="en-CA"/>
        </w:rPr>
      </w:pPr>
      <w:r w:rsidRPr="0098597A">
        <w:rPr>
          <w:lang w:val="en-CA"/>
        </w:rPr>
        <w:t>The newly constructed North Waterdown Dr</w:t>
      </w:r>
      <w:r w:rsidR="00911EFA">
        <w:rPr>
          <w:lang w:val="en-CA"/>
        </w:rPr>
        <w:t>ive</w:t>
      </w:r>
      <w:r w:rsidRPr="0098597A">
        <w:rPr>
          <w:lang w:val="en-CA"/>
        </w:rPr>
        <w:t xml:space="preserve"> and Mosaic Dr</w:t>
      </w:r>
      <w:r w:rsidR="00911EFA">
        <w:rPr>
          <w:lang w:val="en-CA"/>
        </w:rPr>
        <w:t>ive</w:t>
      </w:r>
      <w:r w:rsidRPr="0098597A">
        <w:rPr>
          <w:lang w:val="en-CA"/>
        </w:rPr>
        <w:t xml:space="preserve"> are minor arterial roads.  Transit services are operated by the Hamilton Street Railway and a bus stop is located at the corner of Parkside Dr</w:t>
      </w:r>
      <w:r w:rsidR="00911EFA">
        <w:rPr>
          <w:lang w:val="en-CA"/>
        </w:rPr>
        <w:t>ive</w:t>
      </w:r>
      <w:r w:rsidRPr="0098597A">
        <w:rPr>
          <w:lang w:val="en-CA"/>
        </w:rPr>
        <w:t xml:space="preserve"> and Duncan Ave</w:t>
      </w:r>
      <w:r w:rsidR="00911EFA">
        <w:rPr>
          <w:lang w:val="en-CA"/>
        </w:rPr>
        <w:t>nue,</w:t>
      </w:r>
      <w:r w:rsidRPr="0098597A">
        <w:rPr>
          <w:lang w:val="en-CA"/>
        </w:rPr>
        <w:t xml:space="preserve"> approximately 550</w:t>
      </w:r>
      <w:r w:rsidR="00911EFA">
        <w:rPr>
          <w:lang w:val="en-CA"/>
        </w:rPr>
        <w:t> </w:t>
      </w:r>
      <w:r w:rsidRPr="0098597A">
        <w:rPr>
          <w:lang w:val="en-CA"/>
        </w:rPr>
        <w:t>metres from the subject lands.</w:t>
      </w:r>
    </w:p>
    <w:p w14:paraId="25949892" w14:textId="77777777" w:rsidR="00AF14FA" w:rsidRPr="0098597A" w:rsidRDefault="00AF14FA" w:rsidP="00AF14FA">
      <w:pPr>
        <w:rPr>
          <w:rFonts w:cs="Arial"/>
          <w:lang w:val="en-CA"/>
        </w:rPr>
      </w:pPr>
    </w:p>
    <w:p w14:paraId="78F62C18" w14:textId="241D70DC" w:rsidR="00EA1A41" w:rsidRPr="0098597A" w:rsidRDefault="004A5FDE" w:rsidP="00907785">
      <w:pPr>
        <w:numPr>
          <w:ilvl w:val="0"/>
          <w:numId w:val="1"/>
        </w:numPr>
        <w:ind w:left="0" w:firstLine="0"/>
        <w:rPr>
          <w:rFonts w:cs="Arial"/>
          <w:lang w:val="en-CA"/>
        </w:rPr>
      </w:pPr>
      <w:r w:rsidRPr="0098597A">
        <w:rPr>
          <w:lang w:val="en-CA"/>
        </w:rPr>
        <w:t>Surrounding the site are the following:</w:t>
      </w:r>
    </w:p>
    <w:p w14:paraId="218C7BFD" w14:textId="79D3B079" w:rsidR="00EA1A41" w:rsidRPr="0098597A" w:rsidRDefault="00EA1A41" w:rsidP="00EA1A41">
      <w:pPr>
        <w:rPr>
          <w:rFonts w:cs="Arial"/>
          <w:lang w:val="en-CA"/>
        </w:rPr>
      </w:pPr>
    </w:p>
    <w:p w14:paraId="0459F1E0" w14:textId="516E3446" w:rsidR="004A5FDE" w:rsidRPr="0098597A" w:rsidRDefault="004A5FDE" w:rsidP="006717AA">
      <w:pPr>
        <w:pStyle w:val="ListParagraph"/>
        <w:numPr>
          <w:ilvl w:val="1"/>
          <w:numId w:val="1"/>
        </w:numPr>
        <w:spacing w:after="120"/>
        <w:ind w:hanging="720"/>
        <w:rPr>
          <w:lang w:val="en-CA"/>
        </w:rPr>
      </w:pPr>
      <w:r w:rsidRPr="0098597A">
        <w:rPr>
          <w:lang w:val="en-CA"/>
        </w:rPr>
        <w:t xml:space="preserve">North – rural consisting of a large </w:t>
      </w:r>
      <w:r w:rsidR="000D5D42">
        <w:rPr>
          <w:lang w:val="en-CA"/>
        </w:rPr>
        <w:t>n</w:t>
      </w:r>
      <w:r w:rsidRPr="0098597A">
        <w:rPr>
          <w:lang w:val="en-CA"/>
        </w:rPr>
        <w:t xml:space="preserve">atural </w:t>
      </w:r>
      <w:r w:rsidR="000D5D42">
        <w:rPr>
          <w:lang w:val="en-CA"/>
        </w:rPr>
        <w:t>h</w:t>
      </w:r>
      <w:r w:rsidRPr="0098597A">
        <w:rPr>
          <w:lang w:val="en-CA"/>
        </w:rPr>
        <w:t xml:space="preserve">eritage </w:t>
      </w:r>
      <w:r w:rsidR="000D5D42">
        <w:rPr>
          <w:lang w:val="en-CA"/>
        </w:rPr>
        <w:t>s</w:t>
      </w:r>
      <w:r w:rsidRPr="0098597A">
        <w:rPr>
          <w:lang w:val="en-CA"/>
        </w:rPr>
        <w:t>ystem.  These lands are within the Protected Countryside of the Greenbelt Plan.</w:t>
      </w:r>
    </w:p>
    <w:p w14:paraId="09A0DE71" w14:textId="6B979E54" w:rsidR="004A5FDE" w:rsidRPr="0098597A" w:rsidRDefault="004A5FDE" w:rsidP="006717AA">
      <w:pPr>
        <w:pStyle w:val="ListParagraph"/>
        <w:numPr>
          <w:ilvl w:val="1"/>
          <w:numId w:val="1"/>
        </w:numPr>
        <w:spacing w:after="120"/>
        <w:ind w:hanging="720"/>
        <w:rPr>
          <w:lang w:val="en-CA"/>
        </w:rPr>
      </w:pPr>
      <w:r w:rsidRPr="0098597A">
        <w:rPr>
          <w:lang w:val="en-CA"/>
        </w:rPr>
        <w:lastRenderedPageBreak/>
        <w:t xml:space="preserve">East – a </w:t>
      </w:r>
      <w:r w:rsidR="000D5D42">
        <w:rPr>
          <w:lang w:val="en-CA"/>
        </w:rPr>
        <w:t>n</w:t>
      </w:r>
      <w:r w:rsidRPr="0098597A">
        <w:rPr>
          <w:lang w:val="en-CA"/>
        </w:rPr>
        <w:t xml:space="preserve">atural </w:t>
      </w:r>
      <w:r w:rsidR="000D5D42">
        <w:rPr>
          <w:lang w:val="en-CA"/>
        </w:rPr>
        <w:t>h</w:t>
      </w:r>
      <w:r w:rsidRPr="0098597A">
        <w:rPr>
          <w:lang w:val="en-CA"/>
        </w:rPr>
        <w:t xml:space="preserve">eritage </w:t>
      </w:r>
      <w:r w:rsidR="000D5D42">
        <w:rPr>
          <w:lang w:val="en-CA"/>
        </w:rPr>
        <w:t>s</w:t>
      </w:r>
      <w:r w:rsidRPr="0098597A">
        <w:rPr>
          <w:lang w:val="en-CA"/>
        </w:rPr>
        <w:t>ystem, Borer’s Creek, and former agricultural lands.</w:t>
      </w:r>
    </w:p>
    <w:p w14:paraId="7B825423" w14:textId="6D6FAD13" w:rsidR="004A5FDE" w:rsidRPr="0098597A" w:rsidRDefault="004A5FDE" w:rsidP="006717AA">
      <w:pPr>
        <w:pStyle w:val="ListParagraph"/>
        <w:numPr>
          <w:ilvl w:val="1"/>
          <w:numId w:val="1"/>
        </w:numPr>
        <w:spacing w:after="120"/>
        <w:ind w:hanging="720"/>
        <w:rPr>
          <w:lang w:val="en-CA"/>
        </w:rPr>
      </w:pPr>
      <w:r w:rsidRPr="0098597A">
        <w:rPr>
          <w:lang w:val="en-CA"/>
        </w:rPr>
        <w:t>South – residential dwellings in the form of block and street townhomes (Kaleidoscope Phase 2).</w:t>
      </w:r>
    </w:p>
    <w:p w14:paraId="51E2C0AB" w14:textId="1FE61152" w:rsidR="004A5FDE" w:rsidRPr="0098597A" w:rsidRDefault="004A5FDE" w:rsidP="006717AA">
      <w:pPr>
        <w:pStyle w:val="ListParagraph"/>
        <w:numPr>
          <w:ilvl w:val="1"/>
          <w:numId w:val="1"/>
        </w:numPr>
        <w:ind w:hanging="720"/>
        <w:rPr>
          <w:lang w:val="en-CA"/>
        </w:rPr>
      </w:pPr>
      <w:r w:rsidRPr="0098597A">
        <w:rPr>
          <w:lang w:val="en-CA"/>
        </w:rPr>
        <w:t>West – currently vacant and will be the subject of future residential development at some point in the future.</w:t>
      </w:r>
    </w:p>
    <w:p w14:paraId="49260905" w14:textId="35F3CE1A" w:rsidR="004A5FDE" w:rsidRPr="0098597A" w:rsidRDefault="004A5FDE" w:rsidP="00EA1A41">
      <w:pPr>
        <w:rPr>
          <w:rFonts w:cs="Arial"/>
          <w:lang w:val="en-CA"/>
        </w:rPr>
      </w:pPr>
    </w:p>
    <w:p w14:paraId="65368998" w14:textId="3575213F" w:rsidR="004A5FDE" w:rsidRPr="0098597A" w:rsidRDefault="004A5FDE" w:rsidP="00EA1A41">
      <w:pPr>
        <w:rPr>
          <w:rFonts w:cs="Arial"/>
          <w:lang w:val="en-CA"/>
        </w:rPr>
      </w:pPr>
      <w:r w:rsidRPr="0098597A">
        <w:rPr>
          <w:b/>
          <w:lang w:val="en-CA"/>
        </w:rPr>
        <w:t>THE PROPOSAL</w:t>
      </w:r>
    </w:p>
    <w:p w14:paraId="2C2C7D47" w14:textId="77777777" w:rsidR="004A5FDE" w:rsidRPr="0098597A" w:rsidRDefault="004A5FDE" w:rsidP="00EA1A41">
      <w:pPr>
        <w:rPr>
          <w:rFonts w:cs="Arial"/>
          <w:lang w:val="en-CA"/>
        </w:rPr>
      </w:pPr>
    </w:p>
    <w:p w14:paraId="7D51C9E7" w14:textId="01D6E5C2" w:rsidR="00EA1A41" w:rsidRPr="0098597A" w:rsidRDefault="004A5FDE" w:rsidP="00907785">
      <w:pPr>
        <w:numPr>
          <w:ilvl w:val="0"/>
          <w:numId w:val="1"/>
        </w:numPr>
        <w:ind w:left="0" w:firstLine="0"/>
        <w:rPr>
          <w:rFonts w:cs="Arial"/>
          <w:lang w:val="en-CA"/>
        </w:rPr>
      </w:pPr>
      <w:r w:rsidRPr="0098597A">
        <w:rPr>
          <w:lang w:val="en-CA"/>
        </w:rPr>
        <w:t>The Appellant is proposing to develop 123 stacked townhouse units with a density of 66.4 units per ha on the subject lands. The development is made up of a series of nine townhouse blocks with 9 – 18 units in each block.  Individual townhouse units are proposed to range in size from approximately 48 to 68 square metres and will include both two and three</w:t>
      </w:r>
      <w:r w:rsidR="00ED0E72">
        <w:rPr>
          <w:lang w:val="en-CA"/>
        </w:rPr>
        <w:t>-</w:t>
      </w:r>
      <w:r w:rsidRPr="0098597A">
        <w:rPr>
          <w:lang w:val="en-CA"/>
        </w:rPr>
        <w:t xml:space="preserve">bedroom units. </w:t>
      </w:r>
      <w:r w:rsidR="00ED0E72">
        <w:rPr>
          <w:lang w:val="en-CA"/>
        </w:rPr>
        <w:t xml:space="preserve"> </w:t>
      </w:r>
      <w:r w:rsidRPr="0098597A">
        <w:rPr>
          <w:lang w:val="en-CA"/>
        </w:rPr>
        <w:t xml:space="preserve">There are two amenity areas totalling approximately 729.9 square metres. </w:t>
      </w:r>
      <w:r w:rsidR="00ED0E72">
        <w:rPr>
          <w:lang w:val="en-CA"/>
        </w:rPr>
        <w:t xml:space="preserve"> </w:t>
      </w:r>
      <w:r w:rsidRPr="0098597A">
        <w:rPr>
          <w:lang w:val="en-CA"/>
        </w:rPr>
        <w:t>There will be a total of 246 resident and 31 visitor parking spaces provided with each unit having a driveway.  Access to units is accommodated by a 6.0</w:t>
      </w:r>
      <w:r w:rsidR="00ED0E72">
        <w:rPr>
          <w:lang w:val="en-CA"/>
        </w:rPr>
        <w:t>-</w:t>
      </w:r>
      <w:r w:rsidRPr="0098597A">
        <w:rPr>
          <w:lang w:val="en-CA"/>
        </w:rPr>
        <w:t>metre internal private road network.</w:t>
      </w:r>
    </w:p>
    <w:p w14:paraId="5C03E47B" w14:textId="77777777" w:rsidR="00EA1A41" w:rsidRPr="0098597A" w:rsidRDefault="00EA1A41" w:rsidP="00EA1A41">
      <w:pPr>
        <w:pStyle w:val="ListParagraph"/>
        <w:rPr>
          <w:rFonts w:cs="Arial"/>
          <w:lang w:val="en-CA"/>
        </w:rPr>
      </w:pPr>
    </w:p>
    <w:p w14:paraId="57BF2BE5" w14:textId="7DF5F5A9" w:rsidR="00EA1A41" w:rsidRPr="0098597A" w:rsidRDefault="004A5FDE" w:rsidP="00907785">
      <w:pPr>
        <w:numPr>
          <w:ilvl w:val="0"/>
          <w:numId w:val="1"/>
        </w:numPr>
        <w:ind w:left="0" w:firstLine="0"/>
        <w:rPr>
          <w:rFonts w:cs="Arial"/>
          <w:lang w:val="en-CA"/>
        </w:rPr>
      </w:pPr>
      <w:r w:rsidRPr="0098597A">
        <w:rPr>
          <w:lang w:val="en-CA"/>
        </w:rPr>
        <w:t>Environmental considerations are incorporated into the development’s design.  An Environmental Impact Study was completed to determine the top of bank, recommended Environmental Site Assessment buffers and a 30.0</w:t>
      </w:r>
      <w:r w:rsidR="00ED0E72">
        <w:rPr>
          <w:lang w:val="en-CA"/>
        </w:rPr>
        <w:t>-</w:t>
      </w:r>
      <w:r w:rsidRPr="0098597A">
        <w:rPr>
          <w:lang w:val="en-CA"/>
        </w:rPr>
        <w:t>metre setback</w:t>
      </w:r>
      <w:r w:rsidR="00ED0E72">
        <w:rPr>
          <w:lang w:val="en-CA"/>
        </w:rPr>
        <w:t>,</w:t>
      </w:r>
      <w:r w:rsidRPr="0098597A">
        <w:rPr>
          <w:lang w:val="en-CA"/>
        </w:rPr>
        <w:t xml:space="preserve"> all of which are incorporated into the site plan.</w:t>
      </w:r>
    </w:p>
    <w:p w14:paraId="3A0ADBFB" w14:textId="2E3C8AE3" w:rsidR="00EA1A41" w:rsidRPr="0098597A" w:rsidRDefault="00EA1A41" w:rsidP="00EA1A41">
      <w:pPr>
        <w:pStyle w:val="ListParagraph"/>
        <w:rPr>
          <w:rFonts w:cs="Arial"/>
          <w:lang w:val="en-CA"/>
        </w:rPr>
      </w:pPr>
    </w:p>
    <w:p w14:paraId="63A8FA15" w14:textId="46E6D3FB" w:rsidR="004A5FDE" w:rsidRPr="0098597A" w:rsidRDefault="004A5FDE" w:rsidP="00EA1A41">
      <w:pPr>
        <w:pStyle w:val="ListParagraph"/>
        <w:rPr>
          <w:rFonts w:cs="Arial"/>
          <w:lang w:val="en-CA"/>
        </w:rPr>
      </w:pPr>
      <w:r w:rsidRPr="0098597A">
        <w:rPr>
          <w:b/>
          <w:lang w:val="en-CA"/>
        </w:rPr>
        <w:t>PLANNING INSTRUMENTS</w:t>
      </w:r>
    </w:p>
    <w:p w14:paraId="5A1D0B31" w14:textId="77777777" w:rsidR="004A5FDE" w:rsidRPr="0098597A" w:rsidRDefault="004A5FDE" w:rsidP="00EA1A41">
      <w:pPr>
        <w:pStyle w:val="ListParagraph"/>
        <w:rPr>
          <w:rFonts w:cs="Arial"/>
          <w:lang w:val="en-CA"/>
        </w:rPr>
      </w:pPr>
    </w:p>
    <w:p w14:paraId="5E3889C9" w14:textId="104EAB4B" w:rsidR="00EA1A41" w:rsidRPr="0098597A" w:rsidRDefault="004A5FDE" w:rsidP="00907785">
      <w:pPr>
        <w:numPr>
          <w:ilvl w:val="0"/>
          <w:numId w:val="1"/>
        </w:numPr>
        <w:ind w:left="0" w:firstLine="0"/>
        <w:rPr>
          <w:rFonts w:cs="Arial"/>
          <w:lang w:val="en-CA"/>
        </w:rPr>
      </w:pPr>
      <w:r w:rsidRPr="0098597A">
        <w:rPr>
          <w:lang w:val="en-CA"/>
        </w:rPr>
        <w:t>The subject lands are presently:</w:t>
      </w:r>
    </w:p>
    <w:p w14:paraId="0D0B2B66" w14:textId="1597DAA8" w:rsidR="00480469" w:rsidRPr="0098597A" w:rsidRDefault="00480469" w:rsidP="00480469">
      <w:pPr>
        <w:pStyle w:val="ListParagraph"/>
        <w:rPr>
          <w:rFonts w:cs="Arial"/>
          <w:lang w:val="en-CA"/>
        </w:rPr>
      </w:pPr>
    </w:p>
    <w:p w14:paraId="3E7D23D3" w14:textId="32A1E5DE" w:rsidR="004A5FDE" w:rsidRPr="0098597A" w:rsidRDefault="004A5FDE" w:rsidP="006717AA">
      <w:pPr>
        <w:pStyle w:val="ListParagraph"/>
        <w:numPr>
          <w:ilvl w:val="1"/>
          <w:numId w:val="1"/>
        </w:numPr>
        <w:spacing w:after="120"/>
        <w:ind w:hanging="720"/>
        <w:rPr>
          <w:lang w:val="en-CA"/>
        </w:rPr>
      </w:pPr>
      <w:r w:rsidRPr="0098597A">
        <w:rPr>
          <w:lang w:val="en-CA"/>
        </w:rPr>
        <w:t xml:space="preserve">within the built boundary in the Urban Hamilton Official Plan (“UHOP”) and identified as “Neighbourhoods” on Schedule E-1: Urban Land Use Designations.  The designation is further defined as High Density </w:t>
      </w:r>
      <w:r w:rsidRPr="0098597A">
        <w:rPr>
          <w:lang w:val="en-CA"/>
        </w:rPr>
        <w:lastRenderedPageBreak/>
        <w:t>Residential 1, Natural Open Space and Low Density Residential 2 in the Waterdown North Secondary Plan (“WNSP”)</w:t>
      </w:r>
      <w:r w:rsidR="00C2590B">
        <w:rPr>
          <w:lang w:val="en-CA"/>
        </w:rPr>
        <w:t xml:space="preserve">; and </w:t>
      </w:r>
    </w:p>
    <w:p w14:paraId="61D43ACE" w14:textId="77777777" w:rsidR="004A5FDE" w:rsidRPr="0098597A" w:rsidRDefault="004A5FDE" w:rsidP="004A5FDE">
      <w:pPr>
        <w:pStyle w:val="ListParagraph"/>
        <w:numPr>
          <w:ilvl w:val="1"/>
          <w:numId w:val="1"/>
        </w:numPr>
        <w:ind w:hanging="720"/>
        <w:rPr>
          <w:lang w:val="en-CA"/>
        </w:rPr>
      </w:pPr>
      <w:r w:rsidRPr="0098597A">
        <w:rPr>
          <w:lang w:val="en-CA"/>
        </w:rPr>
        <w:t>zoned as Agricultural “A” in the former Town of Flamborough Zoning By-law No. 90-145-Z.</w:t>
      </w:r>
    </w:p>
    <w:p w14:paraId="7AE9D602" w14:textId="77777777" w:rsidR="00F07D4E" w:rsidRPr="0098597A" w:rsidRDefault="00F07D4E" w:rsidP="00480469">
      <w:pPr>
        <w:pStyle w:val="ListParagraph"/>
        <w:rPr>
          <w:rFonts w:cs="Arial"/>
          <w:lang w:val="en-CA"/>
        </w:rPr>
      </w:pPr>
    </w:p>
    <w:p w14:paraId="1C26F1B5" w14:textId="7E949F80" w:rsidR="00F07D4E" w:rsidRPr="0098597A" w:rsidRDefault="004A5FDE" w:rsidP="00907785">
      <w:pPr>
        <w:numPr>
          <w:ilvl w:val="0"/>
          <w:numId w:val="1"/>
        </w:numPr>
        <w:ind w:left="0" w:firstLine="0"/>
        <w:rPr>
          <w:rFonts w:cs="Arial"/>
          <w:lang w:val="en-CA"/>
        </w:rPr>
      </w:pPr>
      <w:r w:rsidRPr="0098597A">
        <w:rPr>
          <w:lang w:val="en-CA"/>
        </w:rPr>
        <w:t>With respect to the subject lands, the Appellant seeks to:</w:t>
      </w:r>
    </w:p>
    <w:p w14:paraId="4E008183" w14:textId="5D2B6DE7" w:rsidR="00F07D4E" w:rsidRPr="0098597A" w:rsidRDefault="00F07D4E" w:rsidP="00F07D4E">
      <w:pPr>
        <w:rPr>
          <w:rFonts w:cs="Arial"/>
          <w:lang w:val="en-CA"/>
        </w:rPr>
      </w:pPr>
    </w:p>
    <w:p w14:paraId="07E2B040" w14:textId="34DF1083" w:rsidR="004A5FDE" w:rsidRPr="0098597A" w:rsidRDefault="004A5FDE" w:rsidP="006717AA">
      <w:pPr>
        <w:pStyle w:val="ListParagraph"/>
        <w:numPr>
          <w:ilvl w:val="1"/>
          <w:numId w:val="1"/>
        </w:numPr>
        <w:spacing w:after="120"/>
        <w:ind w:hanging="720"/>
        <w:rPr>
          <w:lang w:val="en-CA"/>
        </w:rPr>
      </w:pPr>
      <w:r w:rsidRPr="0098597A">
        <w:rPr>
          <w:lang w:val="en-CA"/>
        </w:rPr>
        <w:t>amend the WNSP to a Medium Density Residential 3 designation by establishing a site specific policy to permit a minimum density of 60</w:t>
      </w:r>
      <w:r w:rsidR="00C2590B">
        <w:rPr>
          <w:lang w:val="en-CA"/>
        </w:rPr>
        <w:t> </w:t>
      </w:r>
      <w:r w:rsidRPr="0098597A">
        <w:rPr>
          <w:lang w:val="en-CA"/>
        </w:rPr>
        <w:t xml:space="preserve">dwelling </w:t>
      </w:r>
      <w:r w:rsidR="00C2590B" w:rsidRPr="0098597A">
        <w:rPr>
          <w:lang w:val="en-CA"/>
        </w:rPr>
        <w:t>u/ha</w:t>
      </w:r>
      <w:r w:rsidRPr="0098597A">
        <w:rPr>
          <w:lang w:val="en-CA"/>
        </w:rPr>
        <w:t>, a series of required technical amendments resulting from the construction of North Waterdown Dr</w:t>
      </w:r>
      <w:r w:rsidR="00C2590B">
        <w:rPr>
          <w:lang w:val="en-CA"/>
        </w:rPr>
        <w:t>ive</w:t>
      </w:r>
      <w:r w:rsidRPr="0098597A">
        <w:rPr>
          <w:lang w:val="en-CA"/>
        </w:rPr>
        <w:t xml:space="preserve"> and refinements to the Natural Open Space Designation resulting from the detail environmental studies (Exhibit 2</w:t>
      </w:r>
      <w:r w:rsidR="00C2590B">
        <w:rPr>
          <w:lang w:val="en-CA"/>
        </w:rPr>
        <w:t>,</w:t>
      </w:r>
      <w:r w:rsidRPr="0098597A">
        <w:rPr>
          <w:lang w:val="en-CA"/>
        </w:rPr>
        <w:t xml:space="preserve"> Tab 50)</w:t>
      </w:r>
      <w:r w:rsidR="00C2590B">
        <w:rPr>
          <w:lang w:val="en-CA"/>
        </w:rPr>
        <w:t>;</w:t>
      </w:r>
    </w:p>
    <w:p w14:paraId="1E904152" w14:textId="6C8950AC" w:rsidR="004A5FDE" w:rsidRPr="0098597A" w:rsidRDefault="004A5FDE" w:rsidP="006717AA">
      <w:pPr>
        <w:pStyle w:val="ListParagraph"/>
        <w:numPr>
          <w:ilvl w:val="1"/>
          <w:numId w:val="1"/>
        </w:numPr>
        <w:spacing w:after="120"/>
        <w:ind w:hanging="720"/>
        <w:rPr>
          <w:lang w:val="en-CA"/>
        </w:rPr>
      </w:pPr>
      <w:r w:rsidRPr="0098597A">
        <w:rPr>
          <w:lang w:val="en-CA"/>
        </w:rPr>
        <w:t>rezone to a Medium Density Residential “R6” – XXX Zone permitting Stacked Townhouses and a series of zone provisions to implement the proposal (Exhibit 2</w:t>
      </w:r>
      <w:r w:rsidR="00C2590B">
        <w:rPr>
          <w:lang w:val="en-CA"/>
        </w:rPr>
        <w:t>,</w:t>
      </w:r>
      <w:r w:rsidRPr="0098597A">
        <w:rPr>
          <w:lang w:val="en-CA"/>
        </w:rPr>
        <w:t xml:space="preserve"> Tab 50).  The ZBA includes several technical amendments regarding the surrounding natural heritage system and the exact location of the newly constructed North Waterdown Dr</w:t>
      </w:r>
      <w:r w:rsidR="00C2590B">
        <w:rPr>
          <w:lang w:val="en-CA"/>
        </w:rPr>
        <w:t>ive; and</w:t>
      </w:r>
    </w:p>
    <w:p w14:paraId="1F26B7DD" w14:textId="084D30D3" w:rsidR="004A5FDE" w:rsidRPr="0098597A" w:rsidRDefault="004A5FDE" w:rsidP="004A5FDE">
      <w:pPr>
        <w:pStyle w:val="ListParagraph"/>
        <w:numPr>
          <w:ilvl w:val="1"/>
          <w:numId w:val="1"/>
        </w:numPr>
        <w:ind w:hanging="720"/>
        <w:rPr>
          <w:lang w:val="en-CA"/>
        </w:rPr>
      </w:pPr>
      <w:r w:rsidRPr="0098597A">
        <w:rPr>
          <w:lang w:val="en-CA"/>
        </w:rPr>
        <w:t>a site plan (Exhibit 2</w:t>
      </w:r>
      <w:r w:rsidR="00C2590B">
        <w:rPr>
          <w:lang w:val="en-CA"/>
        </w:rPr>
        <w:t>,</w:t>
      </w:r>
      <w:r w:rsidRPr="0098597A">
        <w:rPr>
          <w:lang w:val="en-CA"/>
        </w:rPr>
        <w:t xml:space="preserve"> Tab 44) which by consent is not being adjudicated at this hearing as it is considered by all parties to be premature until the final determination of the Tribunal regarding the appropriateness of the OPA and ZBA. </w:t>
      </w:r>
    </w:p>
    <w:p w14:paraId="7ADE7F72" w14:textId="77777777" w:rsidR="004A5FDE" w:rsidRPr="0098597A" w:rsidRDefault="004A5FDE" w:rsidP="00F07D4E">
      <w:pPr>
        <w:rPr>
          <w:rFonts w:cs="Arial"/>
          <w:lang w:val="en-CA"/>
        </w:rPr>
      </w:pPr>
    </w:p>
    <w:p w14:paraId="417B752E" w14:textId="1B3D219C" w:rsidR="00F07D4E" w:rsidRPr="0098597A" w:rsidRDefault="004A5FDE" w:rsidP="00907785">
      <w:pPr>
        <w:numPr>
          <w:ilvl w:val="0"/>
          <w:numId w:val="1"/>
        </w:numPr>
        <w:ind w:left="0" w:firstLine="0"/>
        <w:rPr>
          <w:rFonts w:cs="Arial"/>
          <w:lang w:val="en-CA"/>
        </w:rPr>
      </w:pPr>
      <w:r w:rsidRPr="0098597A">
        <w:rPr>
          <w:lang w:val="en-CA"/>
        </w:rPr>
        <w:t>A Standard Draft Plan of Condominium application was submitted to the City in January 2020.</w:t>
      </w:r>
    </w:p>
    <w:p w14:paraId="020AAE1A" w14:textId="54E6A73D" w:rsidR="00F07D4E" w:rsidRPr="0098597A" w:rsidRDefault="00F07D4E" w:rsidP="00F07D4E">
      <w:pPr>
        <w:rPr>
          <w:rFonts w:cs="Arial"/>
          <w:lang w:val="en-CA"/>
        </w:rPr>
      </w:pPr>
    </w:p>
    <w:p w14:paraId="2FAAB4EA" w14:textId="1C5D5DC8" w:rsidR="003E4C50" w:rsidRPr="0098597A" w:rsidRDefault="003E4C50" w:rsidP="00F07D4E">
      <w:pPr>
        <w:rPr>
          <w:rFonts w:cs="Arial"/>
          <w:b/>
          <w:bCs/>
          <w:lang w:val="en-CA"/>
        </w:rPr>
      </w:pPr>
      <w:r w:rsidRPr="0098597A">
        <w:rPr>
          <w:rFonts w:cs="Arial"/>
          <w:b/>
          <w:bCs/>
          <w:lang w:val="en-CA"/>
        </w:rPr>
        <w:t>BACKGROUND</w:t>
      </w:r>
    </w:p>
    <w:p w14:paraId="5654027D" w14:textId="77777777" w:rsidR="003E4C50" w:rsidRPr="0098597A" w:rsidRDefault="003E4C50" w:rsidP="00F07D4E">
      <w:pPr>
        <w:rPr>
          <w:rFonts w:cs="Arial"/>
          <w:lang w:val="en-CA"/>
        </w:rPr>
      </w:pPr>
    </w:p>
    <w:p w14:paraId="18BEFE35" w14:textId="50D71144" w:rsidR="00480469" w:rsidRPr="0098597A" w:rsidRDefault="003E4C50" w:rsidP="00907785">
      <w:pPr>
        <w:numPr>
          <w:ilvl w:val="0"/>
          <w:numId w:val="1"/>
        </w:numPr>
        <w:ind w:left="0" w:firstLine="0"/>
        <w:rPr>
          <w:rFonts w:cs="Arial"/>
          <w:lang w:val="en-CA"/>
        </w:rPr>
      </w:pPr>
      <w:r w:rsidRPr="0098597A">
        <w:rPr>
          <w:lang w:val="en-CA"/>
        </w:rPr>
        <w:t>Suffice to say the matter has an extensive history.  A brief review is as follows:</w:t>
      </w:r>
    </w:p>
    <w:p w14:paraId="4EA52A8C" w14:textId="61BE3277" w:rsidR="00480469" w:rsidRPr="0098597A" w:rsidRDefault="00480469" w:rsidP="00480469">
      <w:pPr>
        <w:pStyle w:val="ListParagraph"/>
        <w:rPr>
          <w:rFonts w:cs="Arial"/>
          <w:lang w:val="en-CA"/>
        </w:rPr>
      </w:pPr>
    </w:p>
    <w:p w14:paraId="2B705BB4" w14:textId="6C4121A6" w:rsidR="003E4C50" w:rsidRPr="0098597A" w:rsidRDefault="003E4C50" w:rsidP="006717AA">
      <w:pPr>
        <w:pStyle w:val="ListParagraph"/>
        <w:numPr>
          <w:ilvl w:val="1"/>
          <w:numId w:val="1"/>
        </w:numPr>
        <w:spacing w:after="120"/>
        <w:ind w:hanging="720"/>
        <w:rPr>
          <w:lang w:val="en-CA"/>
        </w:rPr>
      </w:pPr>
      <w:r w:rsidRPr="0098597A">
        <w:rPr>
          <w:lang w:val="en-CA"/>
        </w:rPr>
        <w:lastRenderedPageBreak/>
        <w:t xml:space="preserve">applications for an OPA and ZBA were submitted in December 2016 and deemed a complete application in February 2017.  The original submission was based on a November 2016 concept </w:t>
      </w:r>
      <w:proofErr w:type="gramStart"/>
      <w:r w:rsidRPr="0098597A">
        <w:rPr>
          <w:lang w:val="en-CA"/>
        </w:rPr>
        <w:t>plan</w:t>
      </w:r>
      <w:r w:rsidR="00C2590B">
        <w:rPr>
          <w:lang w:val="en-CA"/>
        </w:rPr>
        <w:t>;</w:t>
      </w:r>
      <w:proofErr w:type="gramEnd"/>
      <w:r w:rsidRPr="0098597A">
        <w:rPr>
          <w:lang w:val="en-CA"/>
        </w:rPr>
        <w:t xml:space="preserve"> </w:t>
      </w:r>
    </w:p>
    <w:p w14:paraId="107ACA7B" w14:textId="53AD0BD0" w:rsidR="003E4C50" w:rsidRPr="0098597A" w:rsidRDefault="003E4C50" w:rsidP="006717AA">
      <w:pPr>
        <w:pStyle w:val="ListParagraph"/>
        <w:numPr>
          <w:ilvl w:val="1"/>
          <w:numId w:val="1"/>
        </w:numPr>
        <w:spacing w:after="120"/>
        <w:ind w:hanging="720"/>
        <w:rPr>
          <w:lang w:val="en-CA"/>
        </w:rPr>
      </w:pPr>
      <w:r w:rsidRPr="0098597A">
        <w:rPr>
          <w:lang w:val="en-CA"/>
        </w:rPr>
        <w:t>between April 2019 and January 2020</w:t>
      </w:r>
      <w:r w:rsidR="00C2590B">
        <w:rPr>
          <w:lang w:val="en-CA"/>
        </w:rPr>
        <w:t>,</w:t>
      </w:r>
      <w:r w:rsidRPr="0098597A">
        <w:rPr>
          <w:lang w:val="en-CA"/>
        </w:rPr>
        <w:t xml:space="preserve"> four alternative concept plans were prepared and discussed with City officials as the Appellant tried to find an alternative that was acceptable.  </w:t>
      </w:r>
      <w:proofErr w:type="gramStart"/>
      <w:r w:rsidRPr="0098597A">
        <w:rPr>
          <w:lang w:val="en-CA"/>
        </w:rPr>
        <w:t xml:space="preserve">All </w:t>
      </w:r>
      <w:r w:rsidR="00AD7900">
        <w:rPr>
          <w:lang w:val="en-CA"/>
        </w:rPr>
        <w:t>of</w:t>
      </w:r>
      <w:proofErr w:type="gramEnd"/>
      <w:r w:rsidR="00AD7900">
        <w:rPr>
          <w:lang w:val="en-CA"/>
        </w:rPr>
        <w:t xml:space="preserve"> the </w:t>
      </w:r>
      <w:r w:rsidRPr="0098597A">
        <w:rPr>
          <w:lang w:val="en-CA"/>
        </w:rPr>
        <w:t>concept plans consisted of either traditional or stacked townhomes</w:t>
      </w:r>
      <w:r w:rsidR="000B77A3">
        <w:rPr>
          <w:lang w:val="en-CA"/>
        </w:rPr>
        <w:t>,</w:t>
      </w:r>
      <w:r w:rsidRPr="0098597A">
        <w:rPr>
          <w:lang w:val="en-CA"/>
        </w:rPr>
        <w:t xml:space="preserve"> save an except the fifth submission</w:t>
      </w:r>
      <w:r w:rsidR="00AD7900">
        <w:rPr>
          <w:lang w:val="en-CA"/>
        </w:rPr>
        <w:t xml:space="preserve">. </w:t>
      </w:r>
      <w:r w:rsidR="00AA7A87">
        <w:rPr>
          <w:lang w:val="en-CA"/>
        </w:rPr>
        <w:t xml:space="preserve"> </w:t>
      </w:r>
      <w:r w:rsidR="00AD7900">
        <w:rPr>
          <w:lang w:val="en-CA"/>
        </w:rPr>
        <w:t>That submission</w:t>
      </w:r>
      <w:r w:rsidRPr="0098597A">
        <w:rPr>
          <w:lang w:val="en-CA"/>
        </w:rPr>
        <w:t xml:space="preserve"> include</w:t>
      </w:r>
      <w:r w:rsidR="00AD7900">
        <w:rPr>
          <w:lang w:val="en-CA"/>
        </w:rPr>
        <w:t>d</w:t>
      </w:r>
      <w:r w:rsidRPr="0098597A">
        <w:rPr>
          <w:lang w:val="en-CA"/>
        </w:rPr>
        <w:t xml:space="preserve"> an eight storey apartment building on the northerly portion of the site with a series of conditions incorporated into the necessary planning instruments</w:t>
      </w:r>
      <w:r w:rsidR="00AF697A">
        <w:rPr>
          <w:lang w:val="en-CA"/>
        </w:rPr>
        <w:t>,</w:t>
      </w:r>
      <w:r w:rsidRPr="0098597A">
        <w:rPr>
          <w:lang w:val="en-CA"/>
        </w:rPr>
        <w:t xml:space="preserve"> </w:t>
      </w:r>
      <w:r w:rsidR="00AD7900">
        <w:rPr>
          <w:lang w:val="en-CA"/>
        </w:rPr>
        <w:t>should further detailed studies</w:t>
      </w:r>
      <w:r w:rsidRPr="0098597A">
        <w:rPr>
          <w:lang w:val="en-CA"/>
        </w:rPr>
        <w:t xml:space="preserve"> determine</w:t>
      </w:r>
      <w:r w:rsidR="00942884">
        <w:rPr>
          <w:lang w:val="en-CA"/>
        </w:rPr>
        <w:t xml:space="preserve"> t</w:t>
      </w:r>
      <w:r w:rsidRPr="0098597A">
        <w:rPr>
          <w:lang w:val="en-CA"/>
        </w:rPr>
        <w:t>hat site conditions made the construction of an apartment building not economically feasible because of potential geotechnical constraints</w:t>
      </w:r>
      <w:r w:rsidR="000B77A3">
        <w:rPr>
          <w:lang w:val="en-CA"/>
        </w:rPr>
        <w:t>; and</w:t>
      </w:r>
      <w:r w:rsidRPr="0098597A">
        <w:rPr>
          <w:lang w:val="en-CA"/>
        </w:rPr>
        <w:t xml:space="preserve"> </w:t>
      </w:r>
    </w:p>
    <w:p w14:paraId="51B68C1A" w14:textId="6A82B9CF" w:rsidR="003E4C50" w:rsidRPr="0098597A" w:rsidRDefault="003E4C50" w:rsidP="003E4C50">
      <w:pPr>
        <w:pStyle w:val="ListParagraph"/>
        <w:numPr>
          <w:ilvl w:val="1"/>
          <w:numId w:val="1"/>
        </w:numPr>
        <w:ind w:hanging="720"/>
        <w:rPr>
          <w:lang w:val="en-CA"/>
        </w:rPr>
      </w:pPr>
      <w:r w:rsidRPr="0098597A">
        <w:rPr>
          <w:lang w:val="en-CA"/>
        </w:rPr>
        <w:t xml:space="preserve">an appeal to the Tribunal was made in March 2020 resulting from the failure of the City to </w:t>
      </w:r>
      <w:proofErr w:type="gramStart"/>
      <w:r w:rsidRPr="0098597A">
        <w:rPr>
          <w:lang w:val="en-CA"/>
        </w:rPr>
        <w:t>make a decision</w:t>
      </w:r>
      <w:proofErr w:type="gramEnd"/>
      <w:r w:rsidRPr="0098597A">
        <w:rPr>
          <w:lang w:val="en-CA"/>
        </w:rPr>
        <w:t xml:space="preserve"> on the application. </w:t>
      </w:r>
    </w:p>
    <w:p w14:paraId="07DCA1E8" w14:textId="77777777" w:rsidR="003E4C50" w:rsidRPr="0098597A" w:rsidRDefault="003E4C50" w:rsidP="00480469">
      <w:pPr>
        <w:pStyle w:val="ListParagraph"/>
        <w:rPr>
          <w:rFonts w:cs="Arial"/>
          <w:lang w:val="en-CA"/>
        </w:rPr>
      </w:pPr>
    </w:p>
    <w:p w14:paraId="7C291204" w14:textId="689890C6" w:rsidR="00480469" w:rsidRPr="0098597A" w:rsidRDefault="003E4C50" w:rsidP="00907785">
      <w:pPr>
        <w:numPr>
          <w:ilvl w:val="0"/>
          <w:numId w:val="1"/>
        </w:numPr>
        <w:ind w:left="0" w:firstLine="0"/>
        <w:rPr>
          <w:rFonts w:cs="Arial"/>
          <w:lang w:val="en-CA"/>
        </w:rPr>
      </w:pPr>
      <w:r w:rsidRPr="0098597A">
        <w:rPr>
          <w:lang w:val="en-CA"/>
        </w:rPr>
        <w:t>City staff have been consistent in issues identified as relevant regarding all submissions, including the proposal before the Tribunal.  Issues that have been largely resolved relat</w:t>
      </w:r>
      <w:r w:rsidR="007045EC">
        <w:rPr>
          <w:lang w:val="en-CA"/>
        </w:rPr>
        <w:t>e</w:t>
      </w:r>
      <w:r w:rsidRPr="0098597A">
        <w:rPr>
          <w:lang w:val="en-CA"/>
        </w:rPr>
        <w:t xml:space="preserve"> to Natural Heritage Features, Cultural Heritage, and Transportation.  The remaining substantive issues relate to:</w:t>
      </w:r>
    </w:p>
    <w:p w14:paraId="3C423B6F" w14:textId="435A4B07" w:rsidR="00480469" w:rsidRPr="0098597A" w:rsidRDefault="00480469" w:rsidP="00480469">
      <w:pPr>
        <w:rPr>
          <w:rFonts w:cs="Arial"/>
          <w:lang w:val="en-CA"/>
        </w:rPr>
      </w:pPr>
    </w:p>
    <w:p w14:paraId="7610CEAB" w14:textId="11CB0EB8" w:rsidR="003E4C50" w:rsidRPr="0098597A" w:rsidRDefault="003E4C50" w:rsidP="006717AA">
      <w:pPr>
        <w:pStyle w:val="ListParagraph"/>
        <w:numPr>
          <w:ilvl w:val="1"/>
          <w:numId w:val="1"/>
        </w:numPr>
        <w:spacing w:after="120"/>
        <w:ind w:hanging="720"/>
        <w:rPr>
          <w:lang w:val="en-CA"/>
        </w:rPr>
      </w:pPr>
      <w:r w:rsidRPr="0098597A">
        <w:rPr>
          <w:lang w:val="en-CA"/>
        </w:rPr>
        <w:t>the proposal does not conform to the current minimum density requirements of the WN</w:t>
      </w:r>
      <w:r w:rsidR="00B447AE">
        <w:rPr>
          <w:lang w:val="en-CA"/>
        </w:rPr>
        <w:t>SP</w:t>
      </w:r>
      <w:r w:rsidRPr="0098597A">
        <w:rPr>
          <w:lang w:val="en-CA"/>
        </w:rPr>
        <w:t xml:space="preserve"> (greater than 100 units to a maximum of 125</w:t>
      </w:r>
      <w:r w:rsidR="00C2590B">
        <w:rPr>
          <w:lang w:val="en-CA"/>
        </w:rPr>
        <w:t> </w:t>
      </w:r>
      <w:r w:rsidR="00C2590B" w:rsidRPr="0098597A">
        <w:rPr>
          <w:lang w:val="en-CA"/>
        </w:rPr>
        <w:t>u/ha</w:t>
      </w:r>
      <w:r w:rsidRPr="0098597A">
        <w:rPr>
          <w:lang w:val="en-CA"/>
        </w:rPr>
        <w:t xml:space="preserve">) and the City does not support a reduction of the density </w:t>
      </w:r>
      <w:proofErr w:type="gramStart"/>
      <w:r w:rsidRPr="0098597A">
        <w:rPr>
          <w:lang w:val="en-CA"/>
        </w:rPr>
        <w:t>requirements</w:t>
      </w:r>
      <w:r w:rsidR="00A85746">
        <w:rPr>
          <w:lang w:val="en-CA"/>
        </w:rPr>
        <w:t>;</w:t>
      </w:r>
      <w:proofErr w:type="gramEnd"/>
    </w:p>
    <w:p w14:paraId="7DD57F50" w14:textId="36006157" w:rsidR="003E4C50" w:rsidRPr="0098597A" w:rsidRDefault="003E4C50" w:rsidP="006717AA">
      <w:pPr>
        <w:pStyle w:val="ListParagraph"/>
        <w:numPr>
          <w:ilvl w:val="1"/>
          <w:numId w:val="1"/>
        </w:numPr>
        <w:spacing w:after="120"/>
        <w:ind w:hanging="720"/>
        <w:rPr>
          <w:lang w:val="en-CA"/>
        </w:rPr>
      </w:pPr>
      <w:r w:rsidRPr="0098597A">
        <w:rPr>
          <w:lang w:val="en-CA"/>
        </w:rPr>
        <w:t xml:space="preserve">with the entirety of the subject lands being developed with stacked </w:t>
      </w:r>
      <w:proofErr w:type="gramStart"/>
      <w:r w:rsidRPr="0098597A">
        <w:rPr>
          <w:lang w:val="en-CA"/>
        </w:rPr>
        <w:t>townhouses built</w:t>
      </w:r>
      <w:proofErr w:type="gramEnd"/>
      <w:r w:rsidRPr="0098597A">
        <w:rPr>
          <w:lang w:val="en-CA"/>
        </w:rPr>
        <w:t xml:space="preserve"> form, the proposal does not meet the minimum density requirements</w:t>
      </w:r>
      <w:r w:rsidR="00A85746">
        <w:rPr>
          <w:lang w:val="en-CA"/>
        </w:rPr>
        <w:t xml:space="preserve">; and </w:t>
      </w:r>
    </w:p>
    <w:p w14:paraId="02821062" w14:textId="7B1D095D" w:rsidR="003E4C50" w:rsidRPr="0098597A" w:rsidRDefault="003E4C50" w:rsidP="003E4C50">
      <w:pPr>
        <w:pStyle w:val="ListParagraph"/>
        <w:numPr>
          <w:ilvl w:val="1"/>
          <w:numId w:val="1"/>
        </w:numPr>
        <w:ind w:hanging="720"/>
        <w:rPr>
          <w:lang w:val="en-CA"/>
        </w:rPr>
      </w:pPr>
      <w:r w:rsidRPr="0098597A">
        <w:rPr>
          <w:lang w:val="en-CA"/>
        </w:rPr>
        <w:lastRenderedPageBreak/>
        <w:t>compliance with relevant urban design policies and guidelines were noted by staff</w:t>
      </w:r>
      <w:r w:rsidR="00A85746">
        <w:rPr>
          <w:lang w:val="en-CA"/>
        </w:rPr>
        <w:t>.</w:t>
      </w:r>
      <w:r w:rsidRPr="0098597A">
        <w:rPr>
          <w:lang w:val="en-CA"/>
        </w:rPr>
        <w:t xml:space="preserve">  Specific issues spoke to a land intensive development resulting in a high lot coverage, the location and design of common amenity areas, </w:t>
      </w:r>
      <w:r w:rsidR="00B447AE" w:rsidRPr="0098597A">
        <w:rPr>
          <w:lang w:val="en-CA"/>
        </w:rPr>
        <w:t>parking,</w:t>
      </w:r>
      <w:r w:rsidRPr="0098597A">
        <w:rPr>
          <w:lang w:val="en-CA"/>
        </w:rPr>
        <w:t xml:space="preserve"> and sidewalks along with missed opportunities for connection to surrounding natural features.</w:t>
      </w:r>
    </w:p>
    <w:p w14:paraId="26A9F3FC" w14:textId="77777777" w:rsidR="003E4C50" w:rsidRPr="0098597A" w:rsidRDefault="003E4C50" w:rsidP="00480469">
      <w:pPr>
        <w:rPr>
          <w:rFonts w:cs="Arial"/>
          <w:lang w:val="en-CA"/>
        </w:rPr>
      </w:pPr>
    </w:p>
    <w:p w14:paraId="282C8A17" w14:textId="13BCECE9" w:rsidR="00480469" w:rsidRPr="0098597A" w:rsidRDefault="003E4C50" w:rsidP="00907785">
      <w:pPr>
        <w:numPr>
          <w:ilvl w:val="0"/>
          <w:numId w:val="1"/>
        </w:numPr>
        <w:ind w:left="0" w:firstLine="0"/>
        <w:rPr>
          <w:rFonts w:cs="Arial"/>
          <w:lang w:val="en-CA"/>
        </w:rPr>
      </w:pPr>
      <w:r w:rsidRPr="0098597A">
        <w:rPr>
          <w:lang w:val="en-CA"/>
        </w:rPr>
        <w:t xml:space="preserve">The position of the City is supported in the evidence and analysis of Mr. </w:t>
      </w:r>
      <w:proofErr w:type="spellStart"/>
      <w:r w:rsidRPr="0098597A">
        <w:rPr>
          <w:lang w:val="en-CA"/>
        </w:rPr>
        <w:t>Sajecki</w:t>
      </w:r>
      <w:proofErr w:type="spellEnd"/>
      <w:r w:rsidRPr="0098597A">
        <w:rPr>
          <w:lang w:val="en-CA"/>
        </w:rPr>
        <w:t xml:space="preserve"> who is retained on this matter.</w:t>
      </w:r>
    </w:p>
    <w:p w14:paraId="7AACE9F9" w14:textId="17173C1C" w:rsidR="00480469" w:rsidRPr="0098597A" w:rsidRDefault="00480469" w:rsidP="00480469">
      <w:pPr>
        <w:pStyle w:val="ListParagraph"/>
        <w:rPr>
          <w:rFonts w:cs="Arial"/>
          <w:lang w:val="en-CA"/>
        </w:rPr>
      </w:pPr>
    </w:p>
    <w:p w14:paraId="7169B83D" w14:textId="37855DE6" w:rsidR="003E4C50" w:rsidRPr="0098597A" w:rsidRDefault="003E4C50" w:rsidP="00480469">
      <w:pPr>
        <w:pStyle w:val="ListParagraph"/>
        <w:rPr>
          <w:rFonts w:cs="Arial"/>
          <w:lang w:val="en-CA"/>
        </w:rPr>
      </w:pPr>
      <w:r w:rsidRPr="0098597A">
        <w:rPr>
          <w:b/>
          <w:lang w:val="en-CA"/>
        </w:rPr>
        <w:t>LAND USE PLANNING POLICY</w:t>
      </w:r>
    </w:p>
    <w:p w14:paraId="1B06FCBE" w14:textId="77777777" w:rsidR="003E4C50" w:rsidRPr="0098597A" w:rsidRDefault="003E4C50" w:rsidP="00480469">
      <w:pPr>
        <w:pStyle w:val="ListParagraph"/>
        <w:rPr>
          <w:rFonts w:cs="Arial"/>
          <w:lang w:val="en-CA"/>
        </w:rPr>
      </w:pPr>
    </w:p>
    <w:p w14:paraId="53302FF7" w14:textId="3FF6E175" w:rsidR="00480469" w:rsidRPr="0098597A" w:rsidRDefault="005D191E" w:rsidP="00907785">
      <w:pPr>
        <w:numPr>
          <w:ilvl w:val="0"/>
          <w:numId w:val="1"/>
        </w:numPr>
        <w:ind w:left="0" w:firstLine="0"/>
        <w:rPr>
          <w:rFonts w:cs="Arial"/>
          <w:lang w:val="en-CA"/>
        </w:rPr>
      </w:pPr>
      <w:r w:rsidRPr="0098597A">
        <w:rPr>
          <w:lang w:val="en-CA"/>
        </w:rPr>
        <w:t xml:space="preserve">The proposal is subject to several relevant Provincial and City planning policies found in various statutory planning documents. </w:t>
      </w:r>
      <w:r w:rsidR="00ED2508">
        <w:rPr>
          <w:lang w:val="en-CA"/>
        </w:rPr>
        <w:t xml:space="preserve"> </w:t>
      </w:r>
      <w:r w:rsidRPr="0098597A">
        <w:rPr>
          <w:lang w:val="en-CA"/>
        </w:rPr>
        <w:t>The planning structure in Ontario is Provincially</w:t>
      </w:r>
      <w:r w:rsidR="00ED2508">
        <w:rPr>
          <w:lang w:val="en-CA"/>
        </w:rPr>
        <w:t xml:space="preserve"> </w:t>
      </w:r>
      <w:r w:rsidRPr="0098597A">
        <w:rPr>
          <w:lang w:val="en-CA"/>
        </w:rPr>
        <w:t>led and the Tribunal must be satisfied with all aspects of relevant planning documents in the formulation of its decision.  The OPA and ZBA is before the Tribunal and their existence must be recognized.</w:t>
      </w:r>
      <w:r w:rsidR="00ED2508">
        <w:rPr>
          <w:lang w:val="en-CA"/>
        </w:rPr>
        <w:t xml:space="preserve"> </w:t>
      </w:r>
      <w:r w:rsidRPr="0098597A">
        <w:rPr>
          <w:lang w:val="en-CA"/>
        </w:rPr>
        <w:t xml:space="preserve"> Hence, when one returns to the key issue of this hearing, much turns on whether it has appropriate regard for, </w:t>
      </w:r>
      <w:r w:rsidR="00713B6A">
        <w:rPr>
          <w:lang w:val="en-CA"/>
        </w:rPr>
        <w:t>is consistent</w:t>
      </w:r>
      <w:r w:rsidR="00713B6A" w:rsidRPr="0098597A">
        <w:rPr>
          <w:lang w:val="en-CA"/>
        </w:rPr>
        <w:t xml:space="preserve"> </w:t>
      </w:r>
      <w:r w:rsidRPr="0098597A">
        <w:rPr>
          <w:lang w:val="en-CA"/>
        </w:rPr>
        <w:t>with or conforms to Provincial and Municipal planning policy thereby making a redesignation of the subject lands from a High Density Residential 1 to a Medium Density Residential 3 and a reduction in the planned density for the subject property appropriate</w:t>
      </w:r>
      <w:r w:rsidR="00AE730A">
        <w:rPr>
          <w:lang w:val="en-CA"/>
        </w:rPr>
        <w:t xml:space="preserve"> under the OPA</w:t>
      </w:r>
      <w:r w:rsidRPr="0098597A">
        <w:rPr>
          <w:lang w:val="en-CA"/>
        </w:rPr>
        <w:t>.  Only then will the consideration of the ZBA and urban design issues evaluated during the hearing will be assessed in any detail in this decision.</w:t>
      </w:r>
    </w:p>
    <w:p w14:paraId="56C47EED" w14:textId="77777777" w:rsidR="006017C3" w:rsidRPr="0098597A" w:rsidRDefault="006017C3" w:rsidP="006017C3">
      <w:pPr>
        <w:pStyle w:val="ListParagraph"/>
        <w:rPr>
          <w:rFonts w:cs="Arial"/>
          <w:lang w:val="en-CA"/>
        </w:rPr>
      </w:pPr>
    </w:p>
    <w:p w14:paraId="3A6BDB2F" w14:textId="624F04B3" w:rsidR="006017C3" w:rsidRPr="0098597A" w:rsidRDefault="005D191E" w:rsidP="00907785">
      <w:pPr>
        <w:numPr>
          <w:ilvl w:val="0"/>
          <w:numId w:val="1"/>
        </w:numPr>
        <w:ind w:left="0" w:firstLine="0"/>
        <w:rPr>
          <w:rFonts w:cs="Arial"/>
          <w:lang w:val="en-CA"/>
        </w:rPr>
      </w:pPr>
      <w:r w:rsidRPr="0098597A">
        <w:rPr>
          <w:lang w:val="en-CA"/>
        </w:rPr>
        <w:t>Through the considerable planning evidence, the Tribunal is advised that the municipal planning framework</w:t>
      </w:r>
      <w:r w:rsidR="00512A8A">
        <w:rPr>
          <w:lang w:val="en-CA"/>
        </w:rPr>
        <w:t>,</w:t>
      </w:r>
      <w:r w:rsidRPr="0098597A">
        <w:rPr>
          <w:lang w:val="en-CA"/>
        </w:rPr>
        <w:t xml:space="preserve"> which includes and surrounds the subject site</w:t>
      </w:r>
      <w:r w:rsidR="00512A8A">
        <w:rPr>
          <w:lang w:val="en-CA"/>
        </w:rPr>
        <w:t>,</w:t>
      </w:r>
      <w:r w:rsidRPr="0098597A">
        <w:rPr>
          <w:lang w:val="en-CA"/>
        </w:rPr>
        <w:t xml:space="preserve"> is the result of a very robust, comprehensive, integrated, and iterative planning process.  The City has been insistent from the outset that the subject lands should remain in keeping with all the relevant policies of the WNSP and its defined Urban Structure.  The effect of approving the planning instruments before the Tribunal is to ‘stray’ from the established Urban Structure.</w:t>
      </w:r>
      <w:r w:rsidR="004A0F58">
        <w:rPr>
          <w:lang w:val="en-CA"/>
        </w:rPr>
        <w:t xml:space="preserve"> </w:t>
      </w:r>
      <w:r w:rsidRPr="0098597A">
        <w:rPr>
          <w:lang w:val="en-CA"/>
        </w:rPr>
        <w:t xml:space="preserve"> Municipal documents that are presented to the Tribunal include the:</w:t>
      </w:r>
    </w:p>
    <w:p w14:paraId="7F29C3CE" w14:textId="41B9CB5F" w:rsidR="006017C3" w:rsidRPr="0098597A" w:rsidRDefault="006017C3" w:rsidP="006017C3">
      <w:pPr>
        <w:pStyle w:val="ListParagraph"/>
        <w:rPr>
          <w:rFonts w:cs="Arial"/>
          <w:lang w:val="en-CA"/>
        </w:rPr>
      </w:pPr>
    </w:p>
    <w:p w14:paraId="3E94D299" w14:textId="6B2B9FFB" w:rsidR="005D191E" w:rsidRPr="0098597A" w:rsidRDefault="005D191E" w:rsidP="00845E55">
      <w:pPr>
        <w:pStyle w:val="ListParagraph"/>
        <w:numPr>
          <w:ilvl w:val="1"/>
          <w:numId w:val="1"/>
        </w:numPr>
        <w:spacing w:after="120"/>
        <w:ind w:hanging="720"/>
        <w:rPr>
          <w:lang w:val="en-CA"/>
        </w:rPr>
      </w:pPr>
      <w:r w:rsidRPr="0098597A">
        <w:rPr>
          <w:lang w:val="en-CA"/>
        </w:rPr>
        <w:lastRenderedPageBreak/>
        <w:t>UHOP (adopted by Council in July 2009).</w:t>
      </w:r>
    </w:p>
    <w:p w14:paraId="6E600D73" w14:textId="23FD27CD" w:rsidR="005D191E" w:rsidRPr="0098597A" w:rsidRDefault="005D191E" w:rsidP="00845E55">
      <w:pPr>
        <w:pStyle w:val="ListParagraph"/>
        <w:numPr>
          <w:ilvl w:val="1"/>
          <w:numId w:val="1"/>
        </w:numPr>
        <w:spacing w:after="120"/>
        <w:ind w:hanging="720"/>
        <w:rPr>
          <w:lang w:val="en-CA"/>
        </w:rPr>
      </w:pPr>
      <w:r w:rsidRPr="0098597A">
        <w:rPr>
          <w:lang w:val="en-CA"/>
        </w:rPr>
        <w:t>W</w:t>
      </w:r>
      <w:r w:rsidR="004A0F58">
        <w:rPr>
          <w:lang w:val="en-CA"/>
        </w:rPr>
        <w:t>N</w:t>
      </w:r>
      <w:r w:rsidRPr="0098597A">
        <w:rPr>
          <w:lang w:val="en-CA"/>
        </w:rPr>
        <w:t>SP (as found in Volume 2</w:t>
      </w:r>
      <w:r w:rsidR="004A0F58">
        <w:rPr>
          <w:lang w:val="en-CA"/>
        </w:rPr>
        <w:t>,</w:t>
      </w:r>
      <w:r w:rsidRPr="0098597A">
        <w:rPr>
          <w:lang w:val="en-CA"/>
        </w:rPr>
        <w:t xml:space="preserve"> Part B).</w:t>
      </w:r>
    </w:p>
    <w:p w14:paraId="75F0D4C2" w14:textId="77777777" w:rsidR="005D191E" w:rsidRPr="0098597A" w:rsidRDefault="005D191E" w:rsidP="005D191E">
      <w:pPr>
        <w:pStyle w:val="ListParagraph"/>
        <w:numPr>
          <w:ilvl w:val="1"/>
          <w:numId w:val="1"/>
        </w:numPr>
        <w:ind w:hanging="720"/>
        <w:rPr>
          <w:lang w:val="en-CA"/>
        </w:rPr>
      </w:pPr>
      <w:r w:rsidRPr="0098597A">
        <w:rPr>
          <w:lang w:val="en-CA"/>
        </w:rPr>
        <w:t>Waterdown North Urban Design Guidelines (dated January 2007).</w:t>
      </w:r>
    </w:p>
    <w:p w14:paraId="3B9C43C0" w14:textId="77777777" w:rsidR="005D191E" w:rsidRPr="0098597A" w:rsidRDefault="005D191E" w:rsidP="006017C3">
      <w:pPr>
        <w:pStyle w:val="ListParagraph"/>
        <w:rPr>
          <w:rFonts w:cs="Arial"/>
          <w:lang w:val="en-CA"/>
        </w:rPr>
      </w:pPr>
    </w:p>
    <w:p w14:paraId="08AA0FB8" w14:textId="78D5B8F0" w:rsidR="006017C3" w:rsidRPr="0098597A" w:rsidRDefault="005D191E" w:rsidP="00907785">
      <w:pPr>
        <w:numPr>
          <w:ilvl w:val="0"/>
          <w:numId w:val="1"/>
        </w:numPr>
        <w:ind w:left="0" w:firstLine="0"/>
        <w:rPr>
          <w:rFonts w:cs="Arial"/>
          <w:lang w:val="en-CA"/>
        </w:rPr>
      </w:pPr>
      <w:r w:rsidRPr="0098597A">
        <w:rPr>
          <w:lang w:val="en-CA"/>
        </w:rPr>
        <w:t>The Tribunal had the benefit of considerable evidence from two very competent and articulate land use planners evaluating relevant planning documents and drawing from review their opinion.  All nine planning issues in the PO</w:t>
      </w:r>
      <w:r w:rsidR="00203B28">
        <w:rPr>
          <w:lang w:val="en-CA"/>
        </w:rPr>
        <w:t>’s</w:t>
      </w:r>
      <w:r w:rsidRPr="0098597A">
        <w:rPr>
          <w:lang w:val="en-CA"/>
        </w:rPr>
        <w:t xml:space="preserve"> Issues List are thoroughly adjudicated save and except </w:t>
      </w:r>
      <w:r w:rsidR="00203B28">
        <w:rPr>
          <w:lang w:val="en-CA"/>
        </w:rPr>
        <w:t>I</w:t>
      </w:r>
      <w:r w:rsidRPr="0098597A">
        <w:rPr>
          <w:lang w:val="en-CA"/>
        </w:rPr>
        <w:t xml:space="preserve">ssue </w:t>
      </w:r>
      <w:r w:rsidR="00203B28">
        <w:rPr>
          <w:lang w:val="en-CA"/>
        </w:rPr>
        <w:t>4</w:t>
      </w:r>
      <w:r w:rsidRPr="0098597A">
        <w:rPr>
          <w:lang w:val="en-CA"/>
        </w:rPr>
        <w:t xml:space="preserve"> respecting the prematurity of the ZBA.  North Waterdown Dr</w:t>
      </w:r>
      <w:r w:rsidR="00203B28">
        <w:rPr>
          <w:lang w:val="en-CA"/>
        </w:rPr>
        <w:t>ive</w:t>
      </w:r>
      <w:r w:rsidRPr="0098597A">
        <w:rPr>
          <w:lang w:val="en-CA"/>
        </w:rPr>
        <w:t xml:space="preserve"> has been constructed which would </w:t>
      </w:r>
      <w:r w:rsidR="00897F1A">
        <w:rPr>
          <w:lang w:val="en-CA"/>
        </w:rPr>
        <w:t xml:space="preserve">have </w:t>
      </w:r>
      <w:r w:rsidRPr="0098597A">
        <w:rPr>
          <w:lang w:val="en-CA"/>
        </w:rPr>
        <w:t>be</w:t>
      </w:r>
      <w:r w:rsidR="00897F1A">
        <w:rPr>
          <w:lang w:val="en-CA"/>
        </w:rPr>
        <w:t>en</w:t>
      </w:r>
      <w:r w:rsidRPr="0098597A">
        <w:rPr>
          <w:lang w:val="en-CA"/>
        </w:rPr>
        <w:t xml:space="preserve"> the condition of removing a holding provision in an approved Zoning By-law.</w:t>
      </w:r>
    </w:p>
    <w:p w14:paraId="1D343461" w14:textId="79F5EE73" w:rsidR="006017C3" w:rsidRPr="0098597A" w:rsidRDefault="006017C3" w:rsidP="006017C3">
      <w:pPr>
        <w:rPr>
          <w:rFonts w:cs="Arial"/>
          <w:lang w:val="en-CA"/>
        </w:rPr>
      </w:pPr>
    </w:p>
    <w:p w14:paraId="6AC9BC3E" w14:textId="4E6A2CC3" w:rsidR="005D191E" w:rsidRPr="0098597A" w:rsidRDefault="005D191E" w:rsidP="006017C3">
      <w:pPr>
        <w:rPr>
          <w:rFonts w:cs="Arial"/>
          <w:lang w:val="en-CA"/>
        </w:rPr>
      </w:pPr>
      <w:r w:rsidRPr="0098597A">
        <w:rPr>
          <w:b/>
          <w:lang w:val="en-CA"/>
        </w:rPr>
        <w:t>PROVINCIAL POLICY</w:t>
      </w:r>
    </w:p>
    <w:p w14:paraId="4B8B450B" w14:textId="0F1E35BD" w:rsidR="005D191E" w:rsidRPr="0098597A" w:rsidRDefault="005D191E" w:rsidP="006017C3">
      <w:pPr>
        <w:rPr>
          <w:rFonts w:cs="Arial"/>
          <w:lang w:val="en-CA"/>
        </w:rPr>
      </w:pPr>
    </w:p>
    <w:p w14:paraId="15005E5E" w14:textId="0663030E" w:rsidR="005D191E" w:rsidRPr="0098597A" w:rsidRDefault="005D191E" w:rsidP="006017C3">
      <w:pPr>
        <w:rPr>
          <w:rFonts w:cs="Arial"/>
          <w:b/>
          <w:bCs/>
          <w:lang w:val="en-CA"/>
        </w:rPr>
      </w:pPr>
      <w:r w:rsidRPr="0098597A">
        <w:rPr>
          <w:rFonts w:cs="Arial"/>
          <w:b/>
          <w:bCs/>
          <w:lang w:val="en-CA"/>
        </w:rPr>
        <w:t xml:space="preserve">The </w:t>
      </w:r>
      <w:r w:rsidRPr="0098597A">
        <w:rPr>
          <w:rFonts w:cs="Arial"/>
          <w:b/>
          <w:bCs/>
          <w:i/>
          <w:iCs/>
          <w:lang w:val="en-CA"/>
        </w:rPr>
        <w:t>Planning Act</w:t>
      </w:r>
    </w:p>
    <w:p w14:paraId="52F27876" w14:textId="77777777" w:rsidR="005D191E" w:rsidRPr="0098597A" w:rsidRDefault="005D191E" w:rsidP="006017C3">
      <w:pPr>
        <w:rPr>
          <w:rFonts w:cs="Arial"/>
          <w:lang w:val="en-CA"/>
        </w:rPr>
      </w:pPr>
    </w:p>
    <w:p w14:paraId="281ECE7F" w14:textId="20ADA3FB" w:rsidR="006017C3" w:rsidRPr="0098597A" w:rsidRDefault="005D191E" w:rsidP="00907785">
      <w:pPr>
        <w:numPr>
          <w:ilvl w:val="0"/>
          <w:numId w:val="1"/>
        </w:numPr>
        <w:ind w:left="0" w:firstLine="0"/>
        <w:rPr>
          <w:rFonts w:cs="Arial"/>
          <w:lang w:val="en-CA"/>
        </w:rPr>
      </w:pPr>
      <w:r w:rsidRPr="0098597A">
        <w:rPr>
          <w:lang w:val="en-CA"/>
        </w:rPr>
        <w:t xml:space="preserve">Mr. </w:t>
      </w:r>
      <w:proofErr w:type="spellStart"/>
      <w:r w:rsidRPr="0098597A">
        <w:rPr>
          <w:lang w:val="en-CA"/>
        </w:rPr>
        <w:t>Sajecki</w:t>
      </w:r>
      <w:proofErr w:type="spellEnd"/>
      <w:r w:rsidRPr="0098597A">
        <w:rPr>
          <w:lang w:val="en-CA"/>
        </w:rPr>
        <w:t xml:space="preserve"> in his evidence noted that the Act establishes the basis for planning in Ontario. </w:t>
      </w:r>
      <w:r w:rsidR="005B1ECF">
        <w:rPr>
          <w:lang w:val="en-CA"/>
        </w:rPr>
        <w:t xml:space="preserve"> </w:t>
      </w:r>
      <w:r w:rsidRPr="0098597A">
        <w:rPr>
          <w:lang w:val="en-CA"/>
        </w:rPr>
        <w:t xml:space="preserve">This legislation requires that all planning matters must have regard to provincial interests and be consistent with Provincial Policy Statement 2020 (“PPS”).  He made special note of </w:t>
      </w:r>
      <w:r w:rsidR="00E12B2F">
        <w:rPr>
          <w:lang w:val="en-CA"/>
        </w:rPr>
        <w:t>p</w:t>
      </w:r>
      <w:r w:rsidRPr="0098597A">
        <w:rPr>
          <w:lang w:val="en-CA"/>
        </w:rPr>
        <w:t xml:space="preserve">rovincial </w:t>
      </w:r>
      <w:r w:rsidR="00E12B2F">
        <w:rPr>
          <w:lang w:val="en-CA"/>
        </w:rPr>
        <w:t>i</w:t>
      </w:r>
      <w:r w:rsidRPr="0098597A">
        <w:rPr>
          <w:lang w:val="en-CA"/>
        </w:rPr>
        <w:t xml:space="preserve">nterests </w:t>
      </w:r>
      <w:r w:rsidR="005B1ECF">
        <w:rPr>
          <w:lang w:val="en-CA"/>
        </w:rPr>
        <w:t xml:space="preserve">in </w:t>
      </w:r>
      <w:r w:rsidRPr="0098597A">
        <w:rPr>
          <w:lang w:val="en-CA"/>
        </w:rPr>
        <w:t>s. 2 a), j), p) and g) of the Act.  His opinion is that the proposal does not have appropriate regard for key elements of the Act including ‘the provision of a full range of housing’ and ‘the appropriate location for growth and development’.  He made note that the directions of both the PPS 2020 and A Place to Grow – Growth Plan for the Greater Golden Horseshoe (“Growth Plan”) are implemented in the UHOP and the WNSP and it is inappropriate to vary these critical and comprehensive implementation tools on a site</w:t>
      </w:r>
      <w:r w:rsidR="005B1ECF">
        <w:rPr>
          <w:lang w:val="en-CA"/>
        </w:rPr>
        <w:t>-</w:t>
      </w:r>
      <w:r w:rsidRPr="0098597A">
        <w:rPr>
          <w:lang w:val="en-CA"/>
        </w:rPr>
        <w:t>by</w:t>
      </w:r>
      <w:r w:rsidR="005B1ECF">
        <w:rPr>
          <w:lang w:val="en-CA"/>
        </w:rPr>
        <w:t>-</w:t>
      </w:r>
      <w:r w:rsidRPr="0098597A">
        <w:rPr>
          <w:lang w:val="en-CA"/>
        </w:rPr>
        <w:t>site basis.</w:t>
      </w:r>
    </w:p>
    <w:p w14:paraId="3566086A" w14:textId="77777777" w:rsidR="005D191E" w:rsidRPr="0098597A" w:rsidRDefault="005D191E" w:rsidP="005D191E">
      <w:pPr>
        <w:rPr>
          <w:rFonts w:cs="Arial"/>
          <w:lang w:val="en-CA"/>
        </w:rPr>
      </w:pPr>
    </w:p>
    <w:p w14:paraId="0855AB44" w14:textId="1035F003" w:rsidR="005D191E" w:rsidRPr="0098597A" w:rsidRDefault="00F6593A" w:rsidP="00907785">
      <w:pPr>
        <w:numPr>
          <w:ilvl w:val="0"/>
          <w:numId w:val="1"/>
        </w:numPr>
        <w:ind w:left="0" w:firstLine="0"/>
        <w:rPr>
          <w:rFonts w:cs="Arial"/>
          <w:lang w:val="en-CA"/>
        </w:rPr>
      </w:pPr>
      <w:r w:rsidRPr="0098597A">
        <w:rPr>
          <w:lang w:val="en-CA"/>
        </w:rPr>
        <w:t xml:space="preserve">Mr. Corbett did not speak to </w:t>
      </w:r>
      <w:r w:rsidR="00B906B5">
        <w:rPr>
          <w:lang w:val="en-CA"/>
        </w:rPr>
        <w:t xml:space="preserve">s. 2 of </w:t>
      </w:r>
      <w:r w:rsidRPr="0098597A">
        <w:rPr>
          <w:lang w:val="en-CA"/>
        </w:rPr>
        <w:t>the Act in his testimony.</w:t>
      </w:r>
    </w:p>
    <w:p w14:paraId="4D9C63FA" w14:textId="09BA97E5" w:rsidR="00845E55" w:rsidRDefault="00845E55" w:rsidP="00F6593A">
      <w:pPr>
        <w:pStyle w:val="ListParagraph"/>
        <w:rPr>
          <w:rFonts w:cs="Arial"/>
          <w:lang w:val="en-CA"/>
        </w:rPr>
      </w:pPr>
    </w:p>
    <w:p w14:paraId="5661D9E6" w14:textId="02F11EC1" w:rsidR="003D63B6" w:rsidRDefault="003D63B6" w:rsidP="00F6593A">
      <w:pPr>
        <w:pStyle w:val="ListParagraph"/>
        <w:rPr>
          <w:rFonts w:cs="Arial"/>
          <w:lang w:val="en-CA"/>
        </w:rPr>
      </w:pPr>
    </w:p>
    <w:p w14:paraId="77358F8D" w14:textId="77777777" w:rsidR="003D63B6" w:rsidRPr="0098597A" w:rsidRDefault="003D63B6" w:rsidP="00F6593A">
      <w:pPr>
        <w:pStyle w:val="ListParagraph"/>
        <w:rPr>
          <w:rFonts w:cs="Arial"/>
          <w:lang w:val="en-CA"/>
        </w:rPr>
      </w:pPr>
    </w:p>
    <w:p w14:paraId="78676FA6" w14:textId="63D6ACD5" w:rsidR="00F6593A" w:rsidRPr="0098597A" w:rsidRDefault="00F6593A" w:rsidP="00F6593A">
      <w:pPr>
        <w:pStyle w:val="ListParagraph"/>
        <w:rPr>
          <w:rFonts w:cs="Arial"/>
          <w:lang w:val="en-CA"/>
        </w:rPr>
      </w:pPr>
      <w:r w:rsidRPr="0098597A">
        <w:rPr>
          <w:b/>
          <w:lang w:val="en-CA"/>
        </w:rPr>
        <w:lastRenderedPageBreak/>
        <w:t>Provincial Policy Statement 2020</w:t>
      </w:r>
    </w:p>
    <w:p w14:paraId="4B40D6F2" w14:textId="77777777" w:rsidR="00F6593A" w:rsidRPr="0098597A" w:rsidRDefault="00F6593A" w:rsidP="00F6593A">
      <w:pPr>
        <w:pStyle w:val="ListParagraph"/>
        <w:rPr>
          <w:rFonts w:cs="Arial"/>
          <w:lang w:val="en-CA"/>
        </w:rPr>
      </w:pPr>
    </w:p>
    <w:p w14:paraId="00004C07" w14:textId="24D61E59" w:rsidR="00F6593A" w:rsidRPr="0098597A" w:rsidRDefault="00F6593A" w:rsidP="00907785">
      <w:pPr>
        <w:numPr>
          <w:ilvl w:val="0"/>
          <w:numId w:val="1"/>
        </w:numPr>
        <w:ind w:left="0" w:firstLine="0"/>
        <w:rPr>
          <w:rFonts w:cs="Arial"/>
          <w:lang w:val="en-CA"/>
        </w:rPr>
      </w:pPr>
      <w:r w:rsidRPr="0098597A">
        <w:rPr>
          <w:lang w:val="en-CA"/>
        </w:rPr>
        <w:t xml:space="preserve">The PPS 2020 serves to provide a framework and general direction with respect to matters of </w:t>
      </w:r>
      <w:r w:rsidR="00BD4637">
        <w:rPr>
          <w:lang w:val="en-CA"/>
        </w:rPr>
        <w:t>p</w:t>
      </w:r>
      <w:r w:rsidRPr="0098597A">
        <w:rPr>
          <w:lang w:val="en-CA"/>
        </w:rPr>
        <w:t xml:space="preserve">rovincial </w:t>
      </w:r>
      <w:r w:rsidR="00BD4637">
        <w:rPr>
          <w:lang w:val="en-CA"/>
        </w:rPr>
        <w:t>i</w:t>
      </w:r>
      <w:r w:rsidRPr="0098597A">
        <w:rPr>
          <w:lang w:val="en-CA"/>
        </w:rPr>
        <w:t>nterest and is a key foundational component of the Provincially</w:t>
      </w:r>
      <w:r w:rsidR="005B1ECF">
        <w:rPr>
          <w:lang w:val="en-CA"/>
        </w:rPr>
        <w:t xml:space="preserve"> </w:t>
      </w:r>
      <w:r w:rsidRPr="0098597A">
        <w:rPr>
          <w:lang w:val="en-CA"/>
        </w:rPr>
        <w:t xml:space="preserve">led planning system.  Analysis in this section deals with Issue 1 in the Issues list: “Does the proposal comply with policies 2.2.1, 2.2.2 and 2.2.6 of the Provincial Policy Statement?”  </w:t>
      </w:r>
      <w:bookmarkStart w:id="4" w:name="_Hlk84504453"/>
      <w:r w:rsidRPr="0098597A">
        <w:rPr>
          <w:lang w:val="en-CA"/>
        </w:rPr>
        <w:t xml:space="preserve">Both witnesses went beyond these defined sections in their evidence including </w:t>
      </w:r>
      <w:bookmarkEnd w:id="4"/>
      <w:r w:rsidRPr="0098597A">
        <w:rPr>
          <w:lang w:val="en-CA"/>
        </w:rPr>
        <w:t>s.</w:t>
      </w:r>
      <w:r w:rsidR="005B1ECF">
        <w:rPr>
          <w:lang w:val="en-CA"/>
        </w:rPr>
        <w:t xml:space="preserve"> </w:t>
      </w:r>
      <w:r w:rsidRPr="0098597A">
        <w:rPr>
          <w:lang w:val="en-CA"/>
        </w:rPr>
        <w:t>1.1.1 – Healthy, livable, and safe communities; s. 1.1.3 – Settlement Areas; s. 1.4.</w:t>
      </w:r>
      <w:r w:rsidR="00266FAB">
        <w:rPr>
          <w:lang w:val="en-CA"/>
        </w:rPr>
        <w:t>1</w:t>
      </w:r>
      <w:r w:rsidRPr="0098597A">
        <w:rPr>
          <w:lang w:val="en-CA"/>
        </w:rPr>
        <w:t xml:space="preserve"> and 1.4.3 – Housing; s. 1.5.1 – Public Spaces, Recreation, Parks, Trails and Open Spaces; and 2.1 – Natural Heritage.</w:t>
      </w:r>
    </w:p>
    <w:p w14:paraId="7FDA5E9F" w14:textId="77777777" w:rsidR="00F6593A" w:rsidRPr="0098597A" w:rsidRDefault="00F6593A" w:rsidP="00F6593A">
      <w:pPr>
        <w:rPr>
          <w:rFonts w:cs="Arial"/>
          <w:lang w:val="en-CA"/>
        </w:rPr>
      </w:pPr>
    </w:p>
    <w:p w14:paraId="4250AC4C" w14:textId="26FB9B8A" w:rsidR="00F6593A" w:rsidRPr="0098597A" w:rsidRDefault="00F6593A" w:rsidP="00907785">
      <w:pPr>
        <w:numPr>
          <w:ilvl w:val="0"/>
          <w:numId w:val="1"/>
        </w:numPr>
        <w:ind w:left="0" w:firstLine="0"/>
        <w:rPr>
          <w:rFonts w:cs="Arial"/>
          <w:lang w:val="en-CA"/>
        </w:rPr>
      </w:pPr>
      <w:r w:rsidRPr="0098597A">
        <w:rPr>
          <w:lang w:val="en-CA"/>
        </w:rPr>
        <w:t>Mr. Corbett is of the opinion that the proposal is consistent with the PPS for the following reasons:</w:t>
      </w:r>
    </w:p>
    <w:p w14:paraId="6E720DA6" w14:textId="288291DE" w:rsidR="00F6593A" w:rsidRPr="0098597A" w:rsidRDefault="00F6593A" w:rsidP="00F6593A">
      <w:pPr>
        <w:pStyle w:val="ListParagraph"/>
        <w:rPr>
          <w:rFonts w:cs="Arial"/>
          <w:lang w:val="en-CA"/>
        </w:rPr>
      </w:pPr>
    </w:p>
    <w:p w14:paraId="0A80FD02" w14:textId="2E7DE188" w:rsidR="00F6593A" w:rsidRPr="0098597A" w:rsidRDefault="00F6593A" w:rsidP="00845E55">
      <w:pPr>
        <w:pStyle w:val="ListParagraph"/>
        <w:numPr>
          <w:ilvl w:val="1"/>
          <w:numId w:val="1"/>
        </w:numPr>
        <w:spacing w:after="120"/>
        <w:ind w:hanging="720"/>
        <w:rPr>
          <w:lang w:val="en-CA"/>
        </w:rPr>
      </w:pPr>
      <w:r w:rsidRPr="0098597A">
        <w:rPr>
          <w:lang w:val="en-CA"/>
        </w:rPr>
        <w:t xml:space="preserve">the subject lands are identified as an intensification </w:t>
      </w:r>
      <w:proofErr w:type="gramStart"/>
      <w:r w:rsidRPr="0098597A">
        <w:rPr>
          <w:lang w:val="en-CA"/>
        </w:rPr>
        <w:t>area</w:t>
      </w:r>
      <w:r w:rsidR="002B3D28">
        <w:rPr>
          <w:lang w:val="en-CA"/>
        </w:rPr>
        <w:t>;</w:t>
      </w:r>
      <w:proofErr w:type="gramEnd"/>
    </w:p>
    <w:p w14:paraId="1176FBCA" w14:textId="2E41FC4B" w:rsidR="00F6593A" w:rsidRPr="0098597A" w:rsidRDefault="00F6593A" w:rsidP="00845E55">
      <w:pPr>
        <w:pStyle w:val="ListParagraph"/>
        <w:numPr>
          <w:ilvl w:val="1"/>
          <w:numId w:val="1"/>
        </w:numPr>
        <w:spacing w:after="120"/>
        <w:ind w:hanging="720"/>
        <w:rPr>
          <w:lang w:val="en-CA"/>
        </w:rPr>
      </w:pPr>
      <w:r w:rsidRPr="0098597A">
        <w:rPr>
          <w:lang w:val="en-CA"/>
        </w:rPr>
        <w:t xml:space="preserve">the net site area is reduced in keeping with the Environmental parameters determined by a comprehensive Environmental Impact </w:t>
      </w:r>
      <w:proofErr w:type="gramStart"/>
      <w:r w:rsidRPr="0098597A">
        <w:rPr>
          <w:lang w:val="en-CA"/>
        </w:rPr>
        <w:t>Assessment</w:t>
      </w:r>
      <w:r w:rsidR="002B3D28">
        <w:rPr>
          <w:lang w:val="en-CA"/>
        </w:rPr>
        <w:t>;</w:t>
      </w:r>
      <w:proofErr w:type="gramEnd"/>
    </w:p>
    <w:p w14:paraId="1CA6217E" w14:textId="34789393" w:rsidR="00F6593A" w:rsidRPr="0098597A" w:rsidRDefault="00F6593A" w:rsidP="00845E55">
      <w:pPr>
        <w:pStyle w:val="ListParagraph"/>
        <w:numPr>
          <w:ilvl w:val="1"/>
          <w:numId w:val="1"/>
        </w:numPr>
        <w:spacing w:after="120"/>
        <w:ind w:hanging="720"/>
        <w:rPr>
          <w:lang w:val="en-CA"/>
        </w:rPr>
      </w:pPr>
      <w:r w:rsidRPr="0098597A">
        <w:rPr>
          <w:lang w:val="en-CA"/>
        </w:rPr>
        <w:t xml:space="preserve">can be supported by available City </w:t>
      </w:r>
      <w:proofErr w:type="gramStart"/>
      <w:r w:rsidRPr="0098597A">
        <w:rPr>
          <w:lang w:val="en-CA"/>
        </w:rPr>
        <w:t>infrastructure</w:t>
      </w:r>
      <w:r w:rsidR="002B3D28">
        <w:rPr>
          <w:lang w:val="en-CA"/>
        </w:rPr>
        <w:t>;</w:t>
      </w:r>
      <w:proofErr w:type="gramEnd"/>
    </w:p>
    <w:p w14:paraId="2C5F9F97" w14:textId="10C24F70" w:rsidR="00F6593A" w:rsidRPr="0098597A" w:rsidRDefault="00F6593A" w:rsidP="00845E55">
      <w:pPr>
        <w:pStyle w:val="ListParagraph"/>
        <w:numPr>
          <w:ilvl w:val="1"/>
          <w:numId w:val="1"/>
        </w:numPr>
        <w:spacing w:after="120"/>
        <w:ind w:hanging="720"/>
        <w:rPr>
          <w:lang w:val="en-CA"/>
        </w:rPr>
      </w:pPr>
      <w:r w:rsidRPr="0098597A">
        <w:rPr>
          <w:lang w:val="en-CA"/>
        </w:rPr>
        <w:t>is a compact built form and is designed to efficiently meet the needs of future residents</w:t>
      </w:r>
      <w:r w:rsidR="002B3D28">
        <w:rPr>
          <w:lang w:val="en-CA"/>
        </w:rPr>
        <w:t>; and</w:t>
      </w:r>
    </w:p>
    <w:p w14:paraId="6B7A1BE6" w14:textId="77D2EA97" w:rsidR="00F6593A" w:rsidRPr="0098597A" w:rsidRDefault="00F6593A" w:rsidP="00F6593A">
      <w:pPr>
        <w:pStyle w:val="ListParagraph"/>
        <w:numPr>
          <w:ilvl w:val="1"/>
          <w:numId w:val="1"/>
        </w:numPr>
        <w:ind w:hanging="720"/>
        <w:rPr>
          <w:lang w:val="en-CA"/>
        </w:rPr>
      </w:pPr>
      <w:r w:rsidRPr="0098597A">
        <w:rPr>
          <w:lang w:val="en-CA"/>
        </w:rPr>
        <w:t xml:space="preserve">provides an appropriate range of housing options to meet the projected market-based housing of current and future residents.  Is a mix and density better suited to the existing community and market trends and is </w:t>
      </w:r>
      <w:r w:rsidR="002B3D28">
        <w:rPr>
          <w:lang w:val="en-CA"/>
        </w:rPr>
        <w:t xml:space="preserve">it </w:t>
      </w:r>
      <w:r w:rsidRPr="0098597A">
        <w:rPr>
          <w:lang w:val="en-CA"/>
        </w:rPr>
        <w:t>more compatible with the existing residential community as no other apartment buildings exist in the WNSP area.</w:t>
      </w:r>
    </w:p>
    <w:p w14:paraId="64AC4059" w14:textId="77777777" w:rsidR="00F6593A" w:rsidRPr="0098597A" w:rsidRDefault="00F6593A" w:rsidP="00F6593A">
      <w:pPr>
        <w:pStyle w:val="ListParagraph"/>
        <w:rPr>
          <w:rFonts w:cs="Arial"/>
          <w:lang w:val="en-CA"/>
        </w:rPr>
      </w:pPr>
    </w:p>
    <w:p w14:paraId="1D8ABC99" w14:textId="11007931" w:rsidR="00F6593A" w:rsidRPr="0098597A" w:rsidRDefault="00F6593A" w:rsidP="00907785">
      <w:pPr>
        <w:numPr>
          <w:ilvl w:val="0"/>
          <w:numId w:val="1"/>
        </w:numPr>
        <w:ind w:left="0" w:firstLine="0"/>
        <w:rPr>
          <w:rFonts w:cs="Arial"/>
          <w:lang w:val="en-CA"/>
        </w:rPr>
      </w:pPr>
      <w:r w:rsidRPr="0098597A">
        <w:rPr>
          <w:lang w:val="en-CA"/>
        </w:rPr>
        <w:t xml:space="preserve">Mr. </w:t>
      </w:r>
      <w:proofErr w:type="spellStart"/>
      <w:r w:rsidRPr="0098597A">
        <w:rPr>
          <w:lang w:val="en-CA"/>
        </w:rPr>
        <w:t>Sajecki’s</w:t>
      </w:r>
      <w:proofErr w:type="spellEnd"/>
      <w:r w:rsidRPr="0098597A">
        <w:rPr>
          <w:lang w:val="en-CA"/>
        </w:rPr>
        <w:t xml:space="preserve"> opinion is the proposal is not consistent with the PPS largely based on how the City has implemented Provincial policy and directions in the creation and subsequent approval of both the UHOP and the WNSP. </w:t>
      </w:r>
      <w:r w:rsidR="00794052">
        <w:rPr>
          <w:lang w:val="en-CA"/>
        </w:rPr>
        <w:t xml:space="preserve"> </w:t>
      </w:r>
      <w:r w:rsidRPr="0098597A">
        <w:rPr>
          <w:lang w:val="en-CA"/>
        </w:rPr>
        <w:t>Changes on a site</w:t>
      </w:r>
      <w:r w:rsidR="00794052">
        <w:rPr>
          <w:lang w:val="en-CA"/>
        </w:rPr>
        <w:t>-</w:t>
      </w:r>
      <w:r w:rsidRPr="0098597A">
        <w:rPr>
          <w:lang w:val="en-CA"/>
        </w:rPr>
        <w:t>by</w:t>
      </w:r>
      <w:r w:rsidR="00794052">
        <w:rPr>
          <w:lang w:val="en-CA"/>
        </w:rPr>
        <w:t>-</w:t>
      </w:r>
      <w:r w:rsidRPr="0098597A">
        <w:rPr>
          <w:lang w:val="en-CA"/>
        </w:rPr>
        <w:t xml:space="preserve">site </w:t>
      </w:r>
      <w:r w:rsidRPr="0098597A">
        <w:rPr>
          <w:lang w:val="en-CA"/>
        </w:rPr>
        <w:lastRenderedPageBreak/>
        <w:t>basis may erode the integrity of the defined planning framework and therefore must be thoroughly evaluated.  Important ten</w:t>
      </w:r>
      <w:r w:rsidR="00FF6D38">
        <w:rPr>
          <w:lang w:val="en-CA"/>
        </w:rPr>
        <w:t>e</w:t>
      </w:r>
      <w:r w:rsidRPr="0098597A">
        <w:rPr>
          <w:lang w:val="en-CA"/>
        </w:rPr>
        <w:t>ts of the City’s planning framework are as follows:</w:t>
      </w:r>
    </w:p>
    <w:p w14:paraId="37C7E561" w14:textId="349A1388" w:rsidR="00F6593A" w:rsidRPr="0098597A" w:rsidRDefault="00F6593A" w:rsidP="00F6593A">
      <w:pPr>
        <w:rPr>
          <w:rFonts w:cs="Arial"/>
          <w:lang w:val="en-CA"/>
        </w:rPr>
      </w:pPr>
    </w:p>
    <w:p w14:paraId="58D97647" w14:textId="096E37C9" w:rsidR="00F6593A" w:rsidRPr="0098597A" w:rsidRDefault="00F6593A" w:rsidP="00845E55">
      <w:pPr>
        <w:pStyle w:val="ListParagraph"/>
        <w:numPr>
          <w:ilvl w:val="1"/>
          <w:numId w:val="1"/>
        </w:numPr>
        <w:spacing w:after="120"/>
        <w:ind w:hanging="720"/>
        <w:rPr>
          <w:lang w:val="en-CA"/>
        </w:rPr>
      </w:pPr>
      <w:r w:rsidRPr="0098597A">
        <w:rPr>
          <w:lang w:val="en-CA"/>
        </w:rPr>
        <w:t xml:space="preserve">planning authorities are directed to identify appropriate locations for development to accommodate a significant supply and range of housing through intensification and redevelopment.  This was achieved through the Provincially approved UHOP and WNSP that determined the subject lands are appropriate to provide high density residential housing to add both to the supply and range of </w:t>
      </w:r>
      <w:proofErr w:type="gramStart"/>
      <w:r w:rsidRPr="0098597A">
        <w:rPr>
          <w:lang w:val="en-CA"/>
        </w:rPr>
        <w:t>housing</w:t>
      </w:r>
      <w:r w:rsidR="00794052">
        <w:rPr>
          <w:lang w:val="en-CA"/>
        </w:rPr>
        <w:t>;</w:t>
      </w:r>
      <w:proofErr w:type="gramEnd"/>
    </w:p>
    <w:p w14:paraId="299B5B56" w14:textId="645EC10E" w:rsidR="00F6593A" w:rsidRPr="0098597A" w:rsidRDefault="00F6593A" w:rsidP="00845E55">
      <w:pPr>
        <w:pStyle w:val="ListParagraph"/>
        <w:numPr>
          <w:ilvl w:val="1"/>
          <w:numId w:val="1"/>
        </w:numPr>
        <w:spacing w:after="120"/>
        <w:ind w:hanging="720"/>
        <w:rPr>
          <w:lang w:val="en-CA"/>
        </w:rPr>
      </w:pPr>
      <w:r w:rsidRPr="0098597A">
        <w:rPr>
          <w:lang w:val="en-CA"/>
        </w:rPr>
        <w:t>policy is constructed to ensure that: Settlement Areas are the focus of growth; growth areas that are adjacent to existing built up areas are in a compact form, have a mix of densities to ensure the efficient use of land, infrastructure and public service facilities; and promote appropriate development standards to facilitate intensification in a compact form</w:t>
      </w:r>
      <w:r w:rsidR="00794052">
        <w:rPr>
          <w:lang w:val="en-CA"/>
        </w:rPr>
        <w:t>;</w:t>
      </w:r>
    </w:p>
    <w:p w14:paraId="480BBF0B" w14:textId="76721399" w:rsidR="00F6593A" w:rsidRPr="0098597A" w:rsidRDefault="00E53673" w:rsidP="00845E55">
      <w:pPr>
        <w:pStyle w:val="ListParagraph"/>
        <w:numPr>
          <w:ilvl w:val="1"/>
          <w:numId w:val="1"/>
        </w:numPr>
        <w:spacing w:after="120"/>
        <w:ind w:hanging="720"/>
        <w:rPr>
          <w:lang w:val="en-CA"/>
        </w:rPr>
      </w:pPr>
      <w:r>
        <w:rPr>
          <w:lang w:val="en-CA"/>
        </w:rPr>
        <w:t xml:space="preserve">adopted </w:t>
      </w:r>
      <w:r w:rsidR="00F1143D">
        <w:rPr>
          <w:lang w:val="en-CA"/>
        </w:rPr>
        <w:t xml:space="preserve">policies </w:t>
      </w:r>
      <w:r w:rsidR="00F6593A" w:rsidRPr="0098597A">
        <w:rPr>
          <w:lang w:val="en-CA"/>
        </w:rPr>
        <w:t>provide direction on the provision of an appropriate range and mix of housing unit types and densities of projected needs of current and future residents of the regional market by: permitting and facilitating housing options, having residential intensification in appropriate locations and promoting densities for new housing in locations that make efficient use of land, resources, infrastructure and public service facilities</w:t>
      </w:r>
      <w:r w:rsidR="00794052">
        <w:rPr>
          <w:lang w:val="en-CA"/>
        </w:rPr>
        <w:t>; and</w:t>
      </w:r>
    </w:p>
    <w:p w14:paraId="05ACE9CF" w14:textId="77777777" w:rsidR="00F6593A" w:rsidRPr="0098597A" w:rsidRDefault="00F6593A" w:rsidP="00F6593A">
      <w:pPr>
        <w:pStyle w:val="ListParagraph"/>
        <w:numPr>
          <w:ilvl w:val="1"/>
          <w:numId w:val="1"/>
        </w:numPr>
        <w:ind w:hanging="720"/>
        <w:rPr>
          <w:lang w:val="en-CA"/>
        </w:rPr>
      </w:pPr>
      <w:r w:rsidRPr="0098597A">
        <w:rPr>
          <w:lang w:val="en-CA"/>
        </w:rPr>
        <w:t xml:space="preserve">to reduce the density at a location that is planned and deemed to be an appropriate location for high density development runs counter to the policy direction of the PPS 2020 and reduces the ability of the City to meet the requirements of current and future residents and make efficient use of land deemed appropriate for a higher level of intensification. </w:t>
      </w:r>
    </w:p>
    <w:p w14:paraId="383EA7DD" w14:textId="77777777" w:rsidR="00845E55" w:rsidRPr="0098597A" w:rsidRDefault="00845E55" w:rsidP="00F6593A">
      <w:pPr>
        <w:rPr>
          <w:rFonts w:cs="Arial"/>
          <w:lang w:val="en-CA"/>
        </w:rPr>
      </w:pPr>
    </w:p>
    <w:p w14:paraId="1B98D1C7" w14:textId="35AC60DA" w:rsidR="00F6593A" w:rsidRPr="0098597A" w:rsidRDefault="00F6593A" w:rsidP="00F6593A">
      <w:pPr>
        <w:rPr>
          <w:rFonts w:cs="Arial"/>
          <w:lang w:val="en-CA"/>
        </w:rPr>
      </w:pPr>
      <w:r w:rsidRPr="0098597A">
        <w:rPr>
          <w:b/>
          <w:lang w:val="en-CA"/>
        </w:rPr>
        <w:t>A Place to Grow – Growth Plan for the Greater Golden Horseshoe</w:t>
      </w:r>
    </w:p>
    <w:p w14:paraId="02823936" w14:textId="77777777" w:rsidR="00F6593A" w:rsidRPr="0098597A" w:rsidRDefault="00F6593A" w:rsidP="00F6593A">
      <w:pPr>
        <w:rPr>
          <w:rFonts w:cs="Arial"/>
          <w:lang w:val="en-CA"/>
        </w:rPr>
      </w:pPr>
    </w:p>
    <w:p w14:paraId="2DE0C92A" w14:textId="6D12FEBC" w:rsidR="00F6593A" w:rsidRPr="0098597A" w:rsidRDefault="00F6593A" w:rsidP="00907785">
      <w:pPr>
        <w:numPr>
          <w:ilvl w:val="0"/>
          <w:numId w:val="1"/>
        </w:numPr>
        <w:ind w:left="0" w:firstLine="0"/>
        <w:rPr>
          <w:rFonts w:cs="Arial"/>
          <w:lang w:val="en-CA"/>
        </w:rPr>
      </w:pPr>
      <w:r w:rsidRPr="0098597A">
        <w:rPr>
          <w:lang w:val="en-CA"/>
        </w:rPr>
        <w:t xml:space="preserve">Evidence illustrated that the Growth Plan serves to establish a land use planning framework designed to achieve complete communities, a thriving economy, and a clean </w:t>
      </w:r>
      <w:r w:rsidRPr="0098597A">
        <w:rPr>
          <w:lang w:val="en-CA"/>
        </w:rPr>
        <w:lastRenderedPageBreak/>
        <w:t xml:space="preserve">and healthy environment.  The Growth Plan builds on the principles of the PPS and provides an overarching framework with respect to where and how growth should occur in the Greater Golden Horseshoe. </w:t>
      </w:r>
      <w:r w:rsidR="002E73F1">
        <w:rPr>
          <w:lang w:val="en-CA"/>
        </w:rPr>
        <w:t xml:space="preserve"> </w:t>
      </w:r>
      <w:r w:rsidRPr="0098597A">
        <w:rPr>
          <w:lang w:val="en-CA"/>
        </w:rPr>
        <w:t>Analysis in this section deals with Issue 2 in the Issues list: “Does the proposal comply with A Place to Grow: A Growth Plan for the Greater Golden Horseshoe Policies 2.2.1, 2.2.2 and 2.2.6?”</w:t>
      </w:r>
    </w:p>
    <w:p w14:paraId="708ADCC5" w14:textId="77777777" w:rsidR="00F6593A" w:rsidRPr="0098597A" w:rsidRDefault="00F6593A" w:rsidP="00F6593A">
      <w:pPr>
        <w:rPr>
          <w:rFonts w:cs="Arial"/>
          <w:lang w:val="en-CA"/>
        </w:rPr>
      </w:pPr>
    </w:p>
    <w:p w14:paraId="2D2F2779" w14:textId="5A35F449" w:rsidR="00F6593A" w:rsidRPr="0098597A" w:rsidRDefault="00F6593A" w:rsidP="00907785">
      <w:pPr>
        <w:numPr>
          <w:ilvl w:val="0"/>
          <w:numId w:val="1"/>
        </w:numPr>
        <w:ind w:left="0" w:firstLine="0"/>
        <w:rPr>
          <w:rFonts w:cs="Arial"/>
          <w:lang w:val="en-CA"/>
        </w:rPr>
      </w:pPr>
      <w:r w:rsidRPr="0098597A">
        <w:rPr>
          <w:lang w:val="en-CA"/>
        </w:rPr>
        <w:t>Both witnesses went beyond these defined sections in their evidence including s.</w:t>
      </w:r>
      <w:r w:rsidR="002E73F1">
        <w:rPr>
          <w:lang w:val="en-CA"/>
        </w:rPr>
        <w:t> </w:t>
      </w:r>
      <w:r w:rsidRPr="0098597A">
        <w:rPr>
          <w:lang w:val="en-CA"/>
        </w:rPr>
        <w:t>1.2.1 – Guiding Principles; s. 2.2.1 – Managing Growth; s. 2.2.6 – Housing; and s.</w:t>
      </w:r>
      <w:r w:rsidR="002E73F1">
        <w:rPr>
          <w:lang w:val="en-CA"/>
        </w:rPr>
        <w:t> </w:t>
      </w:r>
      <w:r w:rsidRPr="0098597A">
        <w:rPr>
          <w:lang w:val="en-CA"/>
        </w:rPr>
        <w:t xml:space="preserve">2.2.7 – Designated Greenfield Areas.  As the Growth Plan is one of the main documents implementing the PPS, themes of the land use planning evidence given to the Tribunal </w:t>
      </w:r>
      <w:r w:rsidR="00521102">
        <w:rPr>
          <w:lang w:val="en-CA"/>
        </w:rPr>
        <w:t>are</w:t>
      </w:r>
      <w:r w:rsidRPr="0098597A">
        <w:rPr>
          <w:lang w:val="en-CA"/>
        </w:rPr>
        <w:t xml:space="preserve"> generally consistent with witnesses’ evaluation of the PPS.</w:t>
      </w:r>
    </w:p>
    <w:p w14:paraId="7631D213" w14:textId="77777777" w:rsidR="00F6593A" w:rsidRPr="0098597A" w:rsidRDefault="00F6593A" w:rsidP="00F6593A">
      <w:pPr>
        <w:pStyle w:val="ListParagraph"/>
        <w:rPr>
          <w:rFonts w:cs="Arial"/>
          <w:lang w:val="en-CA"/>
        </w:rPr>
      </w:pPr>
    </w:p>
    <w:p w14:paraId="328367CC" w14:textId="4F3DD382" w:rsidR="00F6593A" w:rsidRPr="0098597A" w:rsidRDefault="00F6593A" w:rsidP="00907785">
      <w:pPr>
        <w:numPr>
          <w:ilvl w:val="0"/>
          <w:numId w:val="1"/>
        </w:numPr>
        <w:ind w:left="0" w:firstLine="0"/>
        <w:rPr>
          <w:rFonts w:cs="Arial"/>
          <w:lang w:val="en-CA"/>
        </w:rPr>
      </w:pPr>
      <w:r w:rsidRPr="0098597A">
        <w:rPr>
          <w:lang w:val="en-CA"/>
        </w:rPr>
        <w:t>Mr. Corbett is of the opinion that the proposed development conforms to the policies of the Growth Plan for the following reasons:</w:t>
      </w:r>
    </w:p>
    <w:p w14:paraId="0C1FA574" w14:textId="351B1381" w:rsidR="00F6593A" w:rsidRPr="0098597A" w:rsidRDefault="00F6593A" w:rsidP="00F6593A">
      <w:pPr>
        <w:pStyle w:val="ListParagraph"/>
        <w:rPr>
          <w:rFonts w:cs="Arial"/>
          <w:lang w:val="en-CA"/>
        </w:rPr>
      </w:pPr>
    </w:p>
    <w:p w14:paraId="4C217FB1" w14:textId="0CC3756D" w:rsidR="00F6593A" w:rsidRPr="0098597A" w:rsidRDefault="00F6593A" w:rsidP="00845E55">
      <w:pPr>
        <w:pStyle w:val="ListParagraph"/>
        <w:numPr>
          <w:ilvl w:val="1"/>
          <w:numId w:val="1"/>
        </w:numPr>
        <w:spacing w:after="120"/>
        <w:ind w:hanging="720"/>
        <w:rPr>
          <w:lang w:val="en-CA"/>
        </w:rPr>
      </w:pPr>
      <w:r w:rsidRPr="0098597A">
        <w:rPr>
          <w:lang w:val="en-CA"/>
        </w:rPr>
        <w:t xml:space="preserve">the subject lands are not located within the built-up area but within the settlement area defined by the </w:t>
      </w:r>
      <w:proofErr w:type="gramStart"/>
      <w:r w:rsidRPr="0098597A">
        <w:rPr>
          <w:lang w:val="en-CA"/>
        </w:rPr>
        <w:t>WNSP</w:t>
      </w:r>
      <w:r w:rsidR="00D56676">
        <w:rPr>
          <w:lang w:val="en-CA"/>
        </w:rPr>
        <w:t>;</w:t>
      </w:r>
      <w:proofErr w:type="gramEnd"/>
    </w:p>
    <w:p w14:paraId="3C2C89A9" w14:textId="4C23902A" w:rsidR="00F6593A" w:rsidRPr="0098597A" w:rsidRDefault="00E278C5" w:rsidP="00845E55">
      <w:pPr>
        <w:pStyle w:val="ListParagraph"/>
        <w:numPr>
          <w:ilvl w:val="1"/>
          <w:numId w:val="1"/>
        </w:numPr>
        <w:spacing w:after="120"/>
        <w:ind w:hanging="720"/>
        <w:rPr>
          <w:lang w:val="en-CA"/>
        </w:rPr>
      </w:pPr>
      <w:r>
        <w:rPr>
          <w:lang w:val="en-CA"/>
        </w:rPr>
        <w:t xml:space="preserve">the proposed development </w:t>
      </w:r>
      <w:r w:rsidR="00F6593A" w:rsidRPr="0098597A">
        <w:rPr>
          <w:lang w:val="en-CA"/>
        </w:rPr>
        <w:t xml:space="preserve">optimizes existing infrastructure as it can be serviced by existing municipal water and </w:t>
      </w:r>
      <w:proofErr w:type="gramStart"/>
      <w:r w:rsidR="00F6593A" w:rsidRPr="0098597A">
        <w:rPr>
          <w:lang w:val="en-CA"/>
        </w:rPr>
        <w:t>waste-water</w:t>
      </w:r>
      <w:proofErr w:type="gramEnd"/>
      <w:r w:rsidR="00F6593A" w:rsidRPr="0098597A">
        <w:rPr>
          <w:lang w:val="en-CA"/>
        </w:rPr>
        <w:t xml:space="preserve"> systems</w:t>
      </w:r>
      <w:r w:rsidR="00D56676">
        <w:rPr>
          <w:lang w:val="en-CA"/>
        </w:rPr>
        <w:t>;</w:t>
      </w:r>
    </w:p>
    <w:p w14:paraId="13A9E280" w14:textId="1FACB382" w:rsidR="00F6593A" w:rsidRPr="0098597A" w:rsidRDefault="0074035B" w:rsidP="00845E55">
      <w:pPr>
        <w:pStyle w:val="ListParagraph"/>
        <w:numPr>
          <w:ilvl w:val="1"/>
          <w:numId w:val="1"/>
        </w:numPr>
        <w:spacing w:after="120"/>
        <w:ind w:hanging="720"/>
        <w:rPr>
          <w:lang w:val="en-CA"/>
        </w:rPr>
      </w:pPr>
      <w:r>
        <w:rPr>
          <w:lang w:val="en-CA"/>
        </w:rPr>
        <w:t xml:space="preserve">the proposal </w:t>
      </w:r>
      <w:r w:rsidR="00F6593A" w:rsidRPr="0098597A">
        <w:rPr>
          <w:lang w:val="en-CA"/>
        </w:rPr>
        <w:t xml:space="preserve">contributes to a complete community as stacked townhouses will provide more affordable homes and be part of the City’s housing portfolio in an effort to meet the needs of residents during all phases of their </w:t>
      </w:r>
      <w:proofErr w:type="gramStart"/>
      <w:r w:rsidR="00F6593A" w:rsidRPr="0098597A">
        <w:rPr>
          <w:lang w:val="en-CA"/>
        </w:rPr>
        <w:t>life</w:t>
      </w:r>
      <w:r w:rsidR="00D56676">
        <w:rPr>
          <w:lang w:val="en-CA"/>
        </w:rPr>
        <w:t>;</w:t>
      </w:r>
      <w:proofErr w:type="gramEnd"/>
    </w:p>
    <w:p w14:paraId="776314A0" w14:textId="402F951C" w:rsidR="00F6593A" w:rsidRPr="0098597A" w:rsidRDefault="00F6593A" w:rsidP="00845E55">
      <w:pPr>
        <w:pStyle w:val="ListParagraph"/>
        <w:numPr>
          <w:ilvl w:val="1"/>
          <w:numId w:val="1"/>
        </w:numPr>
        <w:spacing w:after="120"/>
        <w:ind w:hanging="720"/>
        <w:rPr>
          <w:lang w:val="en-CA"/>
        </w:rPr>
      </w:pPr>
      <w:r w:rsidRPr="0098597A">
        <w:rPr>
          <w:lang w:val="en-CA"/>
        </w:rPr>
        <w:t xml:space="preserve">there are several community service facilities in the area including a YMCA recreational facility and existing elementary and secondary </w:t>
      </w:r>
      <w:proofErr w:type="gramStart"/>
      <w:r w:rsidRPr="0098597A">
        <w:rPr>
          <w:lang w:val="en-CA"/>
        </w:rPr>
        <w:t>schools</w:t>
      </w:r>
      <w:r w:rsidR="00D56676">
        <w:rPr>
          <w:lang w:val="en-CA"/>
        </w:rPr>
        <w:t>;</w:t>
      </w:r>
      <w:proofErr w:type="gramEnd"/>
    </w:p>
    <w:p w14:paraId="2F1B2CF2" w14:textId="480FB8FE" w:rsidR="00F6593A" w:rsidRPr="0098597A" w:rsidRDefault="00F6593A" w:rsidP="00845E55">
      <w:pPr>
        <w:pStyle w:val="ListParagraph"/>
        <w:numPr>
          <w:ilvl w:val="1"/>
          <w:numId w:val="1"/>
        </w:numPr>
        <w:spacing w:after="120"/>
        <w:ind w:hanging="720"/>
        <w:rPr>
          <w:lang w:val="en-CA"/>
        </w:rPr>
      </w:pPr>
      <w:r w:rsidRPr="0098597A">
        <w:rPr>
          <w:lang w:val="en-CA"/>
        </w:rPr>
        <w:t>transit services are available nearby at the intersection of Parkside Dr</w:t>
      </w:r>
      <w:r w:rsidR="00D56676">
        <w:rPr>
          <w:lang w:val="en-CA"/>
        </w:rPr>
        <w:t>ive</w:t>
      </w:r>
      <w:r w:rsidRPr="0098597A">
        <w:rPr>
          <w:lang w:val="en-CA"/>
        </w:rPr>
        <w:t xml:space="preserve"> and Mosaic </w:t>
      </w:r>
      <w:proofErr w:type="gramStart"/>
      <w:r w:rsidRPr="0098597A">
        <w:rPr>
          <w:lang w:val="en-CA"/>
        </w:rPr>
        <w:t>Dr</w:t>
      </w:r>
      <w:r w:rsidR="00D56676">
        <w:rPr>
          <w:lang w:val="en-CA"/>
        </w:rPr>
        <w:t>ive;</w:t>
      </w:r>
      <w:proofErr w:type="gramEnd"/>
    </w:p>
    <w:p w14:paraId="40980C44" w14:textId="26B01B30" w:rsidR="00F6593A" w:rsidRPr="0098597A" w:rsidRDefault="0074035B" w:rsidP="00845E55">
      <w:pPr>
        <w:pStyle w:val="ListParagraph"/>
        <w:numPr>
          <w:ilvl w:val="1"/>
          <w:numId w:val="1"/>
        </w:numPr>
        <w:spacing w:after="120"/>
        <w:ind w:hanging="720"/>
        <w:rPr>
          <w:lang w:val="en-CA"/>
        </w:rPr>
      </w:pPr>
      <w:r>
        <w:rPr>
          <w:lang w:val="en-CA"/>
        </w:rPr>
        <w:lastRenderedPageBreak/>
        <w:t xml:space="preserve">the development </w:t>
      </w:r>
      <w:r w:rsidR="00F6593A" w:rsidRPr="0098597A">
        <w:rPr>
          <w:lang w:val="en-CA"/>
        </w:rPr>
        <w:t xml:space="preserve">supports housing choice by achieving minimum intensification and density targets and ensuring a diverse range and mix of housing options and </w:t>
      </w:r>
      <w:proofErr w:type="gramStart"/>
      <w:r w:rsidR="00F6593A" w:rsidRPr="0098597A">
        <w:rPr>
          <w:lang w:val="en-CA"/>
        </w:rPr>
        <w:t>densities</w:t>
      </w:r>
      <w:r w:rsidR="00D56676">
        <w:rPr>
          <w:lang w:val="en-CA"/>
        </w:rPr>
        <w:t>;</w:t>
      </w:r>
      <w:proofErr w:type="gramEnd"/>
      <w:r w:rsidR="00F6593A" w:rsidRPr="0098597A">
        <w:rPr>
          <w:lang w:val="en-CA"/>
        </w:rPr>
        <w:t xml:space="preserve">  </w:t>
      </w:r>
    </w:p>
    <w:p w14:paraId="241B6A11" w14:textId="5AEB95E9" w:rsidR="00F6593A" w:rsidRPr="0098597A" w:rsidRDefault="00F6593A" w:rsidP="00845E55">
      <w:pPr>
        <w:pStyle w:val="ListParagraph"/>
        <w:numPr>
          <w:ilvl w:val="1"/>
          <w:numId w:val="1"/>
        </w:numPr>
        <w:spacing w:after="120"/>
        <w:ind w:hanging="720"/>
        <w:rPr>
          <w:lang w:val="en-CA"/>
        </w:rPr>
      </w:pPr>
      <w:r w:rsidRPr="0098597A">
        <w:rPr>
          <w:lang w:val="en-CA"/>
        </w:rPr>
        <w:t xml:space="preserve">the addition of a medium density designation within the WNSP </w:t>
      </w:r>
      <w:r w:rsidR="00A152CE">
        <w:rPr>
          <w:lang w:val="en-CA"/>
        </w:rPr>
        <w:t xml:space="preserve">the proposal </w:t>
      </w:r>
      <w:r w:rsidRPr="0098597A">
        <w:rPr>
          <w:lang w:val="en-CA"/>
        </w:rPr>
        <w:t>will add to the mix of housing in the community and assist the City in maintaining a three-year supply of residential units</w:t>
      </w:r>
      <w:r w:rsidR="00D56676">
        <w:rPr>
          <w:lang w:val="en-CA"/>
        </w:rPr>
        <w:t>; and</w:t>
      </w:r>
    </w:p>
    <w:p w14:paraId="4AC0CE17" w14:textId="1B9BB414" w:rsidR="00F6593A" w:rsidRPr="0098597A" w:rsidRDefault="00A152CE" w:rsidP="00845E55">
      <w:pPr>
        <w:pStyle w:val="ListParagraph"/>
        <w:numPr>
          <w:ilvl w:val="1"/>
          <w:numId w:val="1"/>
        </w:numPr>
        <w:ind w:hanging="720"/>
        <w:rPr>
          <w:lang w:val="en-CA"/>
        </w:rPr>
      </w:pPr>
      <w:r>
        <w:rPr>
          <w:lang w:val="en-CA"/>
        </w:rPr>
        <w:t xml:space="preserve">will </w:t>
      </w:r>
      <w:r w:rsidR="00F6593A" w:rsidRPr="0098597A">
        <w:rPr>
          <w:lang w:val="en-CA"/>
        </w:rPr>
        <w:t xml:space="preserve">assist the City in meeting minimum density target as it exceeds the minimum density targets of 50 residents and jobs combined per ha in Designated Greenfield Areas.  The proposal represents a compatible mix of housing options and will yield approximately the same population as the existing </w:t>
      </w:r>
      <w:proofErr w:type="gramStart"/>
      <w:r w:rsidR="00025727">
        <w:rPr>
          <w:lang w:val="en-CA"/>
        </w:rPr>
        <w:t>H</w:t>
      </w:r>
      <w:r w:rsidR="00F6593A" w:rsidRPr="0098597A">
        <w:rPr>
          <w:lang w:val="en-CA"/>
        </w:rPr>
        <w:t xml:space="preserve">igh </w:t>
      </w:r>
      <w:r w:rsidR="00025727">
        <w:rPr>
          <w:lang w:val="en-CA"/>
        </w:rPr>
        <w:t>D</w:t>
      </w:r>
      <w:r w:rsidR="00F6593A" w:rsidRPr="0098597A">
        <w:rPr>
          <w:lang w:val="en-CA"/>
        </w:rPr>
        <w:t>ensity</w:t>
      </w:r>
      <w:proofErr w:type="gramEnd"/>
      <w:r w:rsidR="00F6593A" w:rsidRPr="0098597A">
        <w:rPr>
          <w:lang w:val="en-CA"/>
        </w:rPr>
        <w:t xml:space="preserve"> </w:t>
      </w:r>
      <w:r w:rsidR="00025727">
        <w:rPr>
          <w:lang w:val="en-CA"/>
        </w:rPr>
        <w:t>R</w:t>
      </w:r>
      <w:r w:rsidR="00F6593A" w:rsidRPr="0098597A">
        <w:rPr>
          <w:lang w:val="en-CA"/>
        </w:rPr>
        <w:t>esidential designation.</w:t>
      </w:r>
    </w:p>
    <w:p w14:paraId="105FAFA4" w14:textId="77777777" w:rsidR="00F6593A" w:rsidRPr="0098597A" w:rsidRDefault="00F6593A" w:rsidP="00F6593A">
      <w:pPr>
        <w:pStyle w:val="ListParagraph"/>
        <w:rPr>
          <w:rFonts w:cs="Arial"/>
          <w:lang w:val="en-CA"/>
        </w:rPr>
      </w:pPr>
    </w:p>
    <w:p w14:paraId="11E7FE9E" w14:textId="4BA83E49" w:rsidR="00F6593A" w:rsidRPr="0098597A" w:rsidRDefault="006B63C7" w:rsidP="00907785">
      <w:pPr>
        <w:numPr>
          <w:ilvl w:val="0"/>
          <w:numId w:val="1"/>
        </w:numPr>
        <w:ind w:left="0" w:firstLine="0"/>
        <w:rPr>
          <w:rFonts w:cs="Arial"/>
          <w:lang w:val="en-CA"/>
        </w:rPr>
      </w:pPr>
      <w:r w:rsidRPr="0098597A">
        <w:rPr>
          <w:lang w:val="en-CA"/>
        </w:rPr>
        <w:t xml:space="preserve">Mr. </w:t>
      </w:r>
      <w:proofErr w:type="spellStart"/>
      <w:r w:rsidRPr="0098597A">
        <w:rPr>
          <w:lang w:val="en-CA"/>
        </w:rPr>
        <w:t>Sajecki</w:t>
      </w:r>
      <w:proofErr w:type="spellEnd"/>
      <w:r w:rsidRPr="0098597A">
        <w:rPr>
          <w:lang w:val="en-CA"/>
        </w:rPr>
        <w:t xml:space="preserve"> is of the opinion that the proposal does not conform to the Growth Plan.  At the outset of his testimony, he took the Tribunal to the definition of Complete Communities as the policy framework of the WNSP is designed with this intent in mind. The definition is:</w:t>
      </w:r>
    </w:p>
    <w:p w14:paraId="106A4319" w14:textId="7B193981" w:rsidR="006B63C7" w:rsidRPr="0098597A" w:rsidRDefault="006B63C7" w:rsidP="006B63C7">
      <w:pPr>
        <w:rPr>
          <w:rFonts w:cs="Arial"/>
          <w:lang w:val="en-CA"/>
        </w:rPr>
      </w:pPr>
    </w:p>
    <w:p w14:paraId="622B6D58" w14:textId="345D4B23" w:rsidR="006B63C7" w:rsidRPr="0098597A" w:rsidRDefault="006B63C7" w:rsidP="006B63C7">
      <w:pPr>
        <w:spacing w:line="240" w:lineRule="auto"/>
        <w:ind w:left="1440" w:right="1440"/>
        <w:rPr>
          <w:sz w:val="20"/>
          <w:szCs w:val="20"/>
          <w:lang w:val="en-CA"/>
        </w:rPr>
      </w:pPr>
      <w:r w:rsidRPr="0098597A">
        <w:rPr>
          <w:sz w:val="20"/>
          <w:szCs w:val="20"/>
          <w:lang w:val="en-CA"/>
        </w:rPr>
        <w:t>Places such as mixed-use neighbourhoods or other areas within cities, towns, and settlement areas that offer and support opportunities for people of all ages and abilities to conveniently access most of the necessities of daily living, including an appropriate mix of jobs, local stores, and services, full range of housing, transportation options and public service facilities.  Complete communities are age-friendly and may take different shapes and forms appropriate to their contexts.</w:t>
      </w:r>
    </w:p>
    <w:p w14:paraId="1DF885A3" w14:textId="77777777" w:rsidR="006B63C7" w:rsidRPr="0098597A" w:rsidRDefault="006B63C7" w:rsidP="006B63C7">
      <w:pPr>
        <w:rPr>
          <w:rFonts w:cs="Arial"/>
          <w:lang w:val="en-CA"/>
        </w:rPr>
      </w:pPr>
    </w:p>
    <w:p w14:paraId="117B8BA0" w14:textId="34921D10" w:rsidR="006B63C7" w:rsidRPr="0098597A" w:rsidRDefault="005C4433" w:rsidP="00907785">
      <w:pPr>
        <w:numPr>
          <w:ilvl w:val="0"/>
          <w:numId w:val="1"/>
        </w:numPr>
        <w:ind w:left="0" w:firstLine="0"/>
        <w:rPr>
          <w:rFonts w:cs="Arial"/>
          <w:lang w:val="en-CA"/>
        </w:rPr>
      </w:pPr>
      <w:r>
        <w:rPr>
          <w:lang w:val="en-CA"/>
        </w:rPr>
        <w:t>The r</w:t>
      </w:r>
      <w:r w:rsidR="006B63C7" w:rsidRPr="0098597A">
        <w:rPr>
          <w:lang w:val="en-CA"/>
        </w:rPr>
        <w:t xml:space="preserve">easons </w:t>
      </w:r>
      <w:r>
        <w:rPr>
          <w:lang w:val="en-CA"/>
        </w:rPr>
        <w:t>why</w:t>
      </w:r>
      <w:r w:rsidR="006B63C7" w:rsidRPr="0098597A">
        <w:rPr>
          <w:lang w:val="en-CA"/>
        </w:rPr>
        <w:t xml:space="preserve"> reducing the planned density on the subject lands, results in a lack of conformity to the Growth Plan are described in Mr. </w:t>
      </w:r>
      <w:proofErr w:type="spellStart"/>
      <w:r w:rsidR="006B63C7" w:rsidRPr="0098597A">
        <w:rPr>
          <w:lang w:val="en-CA"/>
        </w:rPr>
        <w:t>Sajecki’s</w:t>
      </w:r>
      <w:proofErr w:type="spellEnd"/>
      <w:r w:rsidR="006B63C7" w:rsidRPr="0098597A">
        <w:rPr>
          <w:lang w:val="en-CA"/>
        </w:rPr>
        <w:t xml:space="preserve"> evidence and WS as follows:</w:t>
      </w:r>
    </w:p>
    <w:p w14:paraId="584AFB4A" w14:textId="0D05A13D" w:rsidR="006B63C7" w:rsidRPr="0098597A" w:rsidRDefault="006B63C7" w:rsidP="006B63C7">
      <w:pPr>
        <w:rPr>
          <w:rFonts w:cs="Arial"/>
          <w:lang w:val="en-CA"/>
        </w:rPr>
      </w:pPr>
    </w:p>
    <w:p w14:paraId="7097B4CD" w14:textId="333C951C" w:rsidR="006B63C7" w:rsidRPr="0098597A" w:rsidRDefault="006B63C7" w:rsidP="00845E55">
      <w:pPr>
        <w:pStyle w:val="ListParagraph"/>
        <w:numPr>
          <w:ilvl w:val="1"/>
          <w:numId w:val="1"/>
        </w:numPr>
        <w:spacing w:after="120"/>
        <w:ind w:hanging="720"/>
        <w:rPr>
          <w:lang w:val="en-CA"/>
        </w:rPr>
      </w:pPr>
      <w:r w:rsidRPr="0098597A">
        <w:rPr>
          <w:lang w:val="en-CA"/>
        </w:rPr>
        <w:t>the guiding principles include: prioritize intensification at higher densities in strategic growth areas to make efficient use of land and infrastructure</w:t>
      </w:r>
      <w:r w:rsidR="00926BF3">
        <w:rPr>
          <w:lang w:val="en-CA"/>
        </w:rPr>
        <w:t>,</w:t>
      </w:r>
      <w:r w:rsidRPr="0098597A">
        <w:rPr>
          <w:lang w:val="en-CA"/>
        </w:rPr>
        <w:t xml:space="preserve"> support transit viability and support a range and mix of housing options in </w:t>
      </w:r>
      <w:r w:rsidRPr="0098597A">
        <w:rPr>
          <w:lang w:val="en-CA"/>
        </w:rPr>
        <w:lastRenderedPageBreak/>
        <w:t>particular higher density housing options that can accommodate a range of household sizes</w:t>
      </w:r>
      <w:r w:rsidR="00926BF3">
        <w:rPr>
          <w:lang w:val="en-CA"/>
        </w:rPr>
        <w:t>;</w:t>
      </w:r>
    </w:p>
    <w:p w14:paraId="070013FD" w14:textId="363116AF" w:rsidR="006B63C7" w:rsidRPr="0098597A" w:rsidRDefault="006B63C7" w:rsidP="00845E55">
      <w:pPr>
        <w:pStyle w:val="ListParagraph"/>
        <w:numPr>
          <w:ilvl w:val="1"/>
          <w:numId w:val="1"/>
        </w:numPr>
        <w:spacing w:after="120"/>
        <w:ind w:hanging="720"/>
        <w:rPr>
          <w:lang w:val="en-CA"/>
        </w:rPr>
      </w:pPr>
      <w:r w:rsidRPr="0098597A">
        <w:rPr>
          <w:lang w:val="en-CA"/>
        </w:rPr>
        <w:t>optimizing the use of the existing urban land supply represents an intensification first approach to City-building as it focuses on making better use of existing infrastructure and public service facilities</w:t>
      </w:r>
      <w:r w:rsidR="00926BF3">
        <w:rPr>
          <w:lang w:val="en-CA"/>
        </w:rPr>
        <w:t>,</w:t>
      </w:r>
      <w:r w:rsidRPr="0098597A">
        <w:rPr>
          <w:lang w:val="en-CA"/>
        </w:rPr>
        <w:t xml:space="preserve"> rather than continuously expanding the urban </w:t>
      </w:r>
      <w:proofErr w:type="gramStart"/>
      <w:r w:rsidRPr="0098597A">
        <w:rPr>
          <w:lang w:val="en-CA"/>
        </w:rPr>
        <w:t>area</w:t>
      </w:r>
      <w:r w:rsidR="00926BF3">
        <w:rPr>
          <w:lang w:val="en-CA"/>
        </w:rPr>
        <w:t>;</w:t>
      </w:r>
      <w:proofErr w:type="gramEnd"/>
    </w:p>
    <w:p w14:paraId="290B7999" w14:textId="76F1D7CF" w:rsidR="006B63C7" w:rsidRPr="0098597A" w:rsidRDefault="006B63C7" w:rsidP="00845E55">
      <w:pPr>
        <w:pStyle w:val="ListParagraph"/>
        <w:numPr>
          <w:ilvl w:val="1"/>
          <w:numId w:val="1"/>
        </w:numPr>
        <w:spacing w:after="120"/>
        <w:ind w:hanging="720"/>
        <w:rPr>
          <w:lang w:val="en-CA"/>
        </w:rPr>
      </w:pPr>
      <w:r w:rsidRPr="0098597A">
        <w:rPr>
          <w:lang w:val="en-CA"/>
        </w:rPr>
        <w:t>the City recognized required population and employment targets and they were allocated in a comprehensive way.  Most of the growth is directed to settlement areas and developed policies in both the UHOP and the WN</w:t>
      </w:r>
      <w:r w:rsidR="00926BF3">
        <w:rPr>
          <w:lang w:val="en-CA"/>
        </w:rPr>
        <w:t>S</w:t>
      </w:r>
      <w:r w:rsidRPr="0098597A">
        <w:rPr>
          <w:lang w:val="en-CA"/>
        </w:rPr>
        <w:t xml:space="preserve">P to support the achievement of complete </w:t>
      </w:r>
      <w:proofErr w:type="gramStart"/>
      <w:r w:rsidRPr="0098597A">
        <w:rPr>
          <w:lang w:val="en-CA"/>
        </w:rPr>
        <w:t>communities</w:t>
      </w:r>
      <w:r w:rsidR="00926BF3">
        <w:rPr>
          <w:lang w:val="en-CA"/>
        </w:rPr>
        <w:t>;</w:t>
      </w:r>
      <w:proofErr w:type="gramEnd"/>
    </w:p>
    <w:p w14:paraId="3844AE43" w14:textId="36F1183C" w:rsidR="006B63C7" w:rsidRPr="0098597A" w:rsidRDefault="006B63C7" w:rsidP="00845E55">
      <w:pPr>
        <w:pStyle w:val="ListParagraph"/>
        <w:numPr>
          <w:ilvl w:val="1"/>
          <w:numId w:val="1"/>
        </w:numPr>
        <w:spacing w:after="120"/>
        <w:ind w:hanging="720"/>
        <w:rPr>
          <w:lang w:val="en-CA"/>
        </w:rPr>
      </w:pPr>
      <w:r w:rsidRPr="0098597A">
        <w:rPr>
          <w:lang w:val="en-CA"/>
        </w:rPr>
        <w:t xml:space="preserve">the City supports housing choice and intends to achieve minimum intensification and density targets and provide a diverse range and mix of housing options to meet the projected needs of current and future </w:t>
      </w:r>
      <w:proofErr w:type="gramStart"/>
      <w:r w:rsidRPr="0098597A">
        <w:rPr>
          <w:lang w:val="en-CA"/>
        </w:rPr>
        <w:t>residents</w:t>
      </w:r>
      <w:r w:rsidR="00926BF3">
        <w:rPr>
          <w:lang w:val="en-CA"/>
        </w:rPr>
        <w:t>;</w:t>
      </w:r>
      <w:proofErr w:type="gramEnd"/>
    </w:p>
    <w:p w14:paraId="3DDE0559" w14:textId="44B860BC" w:rsidR="006B63C7" w:rsidRPr="0098597A" w:rsidRDefault="006B63C7" w:rsidP="00845E55">
      <w:pPr>
        <w:pStyle w:val="ListParagraph"/>
        <w:numPr>
          <w:ilvl w:val="1"/>
          <w:numId w:val="1"/>
        </w:numPr>
        <w:spacing w:after="120"/>
        <w:ind w:hanging="720"/>
        <w:rPr>
          <w:lang w:val="en-CA"/>
        </w:rPr>
      </w:pPr>
      <w:r w:rsidRPr="0098597A">
        <w:rPr>
          <w:lang w:val="en-CA"/>
        </w:rPr>
        <w:t>in the City’s efforts to support the achievement of complete communities, the UHOP accommodates forecasted growth; achieves minimum intensification and density targets</w:t>
      </w:r>
      <w:r w:rsidR="00926BF3">
        <w:rPr>
          <w:lang w:val="en-CA"/>
        </w:rPr>
        <w:t>;</w:t>
      </w:r>
      <w:r w:rsidRPr="0098597A">
        <w:rPr>
          <w:lang w:val="en-CA"/>
        </w:rPr>
        <w:t xml:space="preserve"> has a </w:t>
      </w:r>
      <w:r w:rsidR="00266FAB" w:rsidRPr="0098597A">
        <w:rPr>
          <w:lang w:val="en-CA"/>
        </w:rPr>
        <w:t>range and</w:t>
      </w:r>
      <w:r w:rsidRPr="0098597A">
        <w:rPr>
          <w:lang w:val="en-CA"/>
        </w:rPr>
        <w:t xml:space="preserve"> mix of housing options and densities and is planning to diversify the municipalities overall housing stock.  It has considered all the available tools to require multi-unit residential </w:t>
      </w:r>
      <w:r w:rsidR="00380F8D">
        <w:rPr>
          <w:lang w:val="en-CA"/>
        </w:rPr>
        <w:t xml:space="preserve">areas to </w:t>
      </w:r>
      <w:r w:rsidRPr="0098597A">
        <w:rPr>
          <w:lang w:val="en-CA"/>
        </w:rPr>
        <w:t>have a mix of unit sizes to accommodate a diverse range of household sizes and incomes</w:t>
      </w:r>
      <w:r w:rsidR="00926BF3">
        <w:rPr>
          <w:lang w:val="en-CA"/>
        </w:rPr>
        <w:t>; and</w:t>
      </w:r>
    </w:p>
    <w:p w14:paraId="09800C57" w14:textId="77B47E8B" w:rsidR="006B63C7" w:rsidRPr="0098597A" w:rsidRDefault="006B63C7" w:rsidP="006B63C7">
      <w:pPr>
        <w:pStyle w:val="ListParagraph"/>
        <w:numPr>
          <w:ilvl w:val="1"/>
          <w:numId w:val="1"/>
        </w:numPr>
        <w:ind w:hanging="720"/>
        <w:rPr>
          <w:lang w:val="en-CA"/>
        </w:rPr>
      </w:pPr>
      <w:r w:rsidRPr="0098597A">
        <w:rPr>
          <w:lang w:val="en-CA"/>
        </w:rPr>
        <w:t>the City intends to meet the minimum density target not less than 50</w:t>
      </w:r>
      <w:r w:rsidR="00926BF3">
        <w:rPr>
          <w:lang w:val="en-CA"/>
        </w:rPr>
        <w:t> </w:t>
      </w:r>
      <w:r w:rsidRPr="0098597A">
        <w:rPr>
          <w:lang w:val="en-CA"/>
        </w:rPr>
        <w:t xml:space="preserve">residents and jobs per combined ha.  High Density Residential designations are considered pivotal in the achievement of these minimum targets.  By reducing the density on a portion of the </w:t>
      </w:r>
      <w:proofErr w:type="gramStart"/>
      <w:r w:rsidRPr="0098597A">
        <w:rPr>
          <w:lang w:val="en-CA"/>
        </w:rPr>
        <w:t>high density</w:t>
      </w:r>
      <w:proofErr w:type="gramEnd"/>
      <w:r w:rsidRPr="0098597A">
        <w:rPr>
          <w:lang w:val="en-CA"/>
        </w:rPr>
        <w:t xml:space="preserve"> areas in the WN</w:t>
      </w:r>
      <w:r w:rsidR="00926BF3">
        <w:rPr>
          <w:lang w:val="en-CA"/>
        </w:rPr>
        <w:t>S</w:t>
      </w:r>
      <w:r w:rsidRPr="0098597A">
        <w:rPr>
          <w:lang w:val="en-CA"/>
        </w:rPr>
        <w:t>P</w:t>
      </w:r>
      <w:r w:rsidR="00926BF3">
        <w:rPr>
          <w:lang w:val="en-CA"/>
        </w:rPr>
        <w:t>,</w:t>
      </w:r>
      <w:r w:rsidRPr="0098597A">
        <w:rPr>
          <w:lang w:val="en-CA"/>
        </w:rPr>
        <w:t xml:space="preserve"> there is a risk (albeit small) that the statutory density targets of the Growth Plan may not be met.</w:t>
      </w:r>
    </w:p>
    <w:p w14:paraId="2C076592" w14:textId="5CD11254" w:rsidR="006B63C7" w:rsidRDefault="006B63C7" w:rsidP="006B63C7">
      <w:pPr>
        <w:rPr>
          <w:rFonts w:cs="Arial"/>
          <w:lang w:val="en-CA"/>
        </w:rPr>
      </w:pPr>
    </w:p>
    <w:p w14:paraId="5BB905E4" w14:textId="77777777" w:rsidR="003D63B6" w:rsidRPr="0098597A" w:rsidRDefault="003D63B6" w:rsidP="006B63C7">
      <w:pPr>
        <w:rPr>
          <w:rFonts w:cs="Arial"/>
          <w:lang w:val="en-CA"/>
        </w:rPr>
      </w:pPr>
    </w:p>
    <w:p w14:paraId="7FD8D324" w14:textId="5A615661" w:rsidR="006B63C7" w:rsidRPr="0098597A" w:rsidRDefault="00B10BBC" w:rsidP="006B63C7">
      <w:pPr>
        <w:rPr>
          <w:rFonts w:cs="Arial"/>
          <w:lang w:val="en-CA"/>
        </w:rPr>
      </w:pPr>
      <w:r w:rsidRPr="0098597A">
        <w:rPr>
          <w:b/>
          <w:lang w:val="en-CA"/>
        </w:rPr>
        <w:lastRenderedPageBreak/>
        <w:t>MUNICIPAL POLICY</w:t>
      </w:r>
    </w:p>
    <w:p w14:paraId="4EDC32DA" w14:textId="77777777" w:rsidR="006B63C7" w:rsidRPr="0098597A" w:rsidRDefault="006B63C7" w:rsidP="006B63C7">
      <w:pPr>
        <w:rPr>
          <w:rFonts w:cs="Arial"/>
          <w:lang w:val="en-CA"/>
        </w:rPr>
      </w:pPr>
    </w:p>
    <w:p w14:paraId="15F892D7" w14:textId="02C5F93E" w:rsidR="006B63C7" w:rsidRPr="0098597A" w:rsidRDefault="00B822D9" w:rsidP="00907785">
      <w:pPr>
        <w:numPr>
          <w:ilvl w:val="0"/>
          <w:numId w:val="1"/>
        </w:numPr>
        <w:ind w:left="0" w:firstLine="0"/>
        <w:rPr>
          <w:rFonts w:cs="Arial"/>
          <w:lang w:val="en-CA"/>
        </w:rPr>
      </w:pPr>
      <w:r w:rsidRPr="0098597A">
        <w:rPr>
          <w:lang w:val="en-CA"/>
        </w:rPr>
        <w:t>Analysis in the Municipal Policy section of this decision addressed Issue</w:t>
      </w:r>
      <w:r w:rsidR="000762DC">
        <w:rPr>
          <w:lang w:val="en-CA"/>
        </w:rPr>
        <w:t>s</w:t>
      </w:r>
      <w:r w:rsidRPr="0098597A">
        <w:rPr>
          <w:lang w:val="en-CA"/>
        </w:rPr>
        <w:t xml:space="preserve"> 3, 5, 7 and 8 in the Issues list</w:t>
      </w:r>
      <w:r w:rsidR="000762DC">
        <w:rPr>
          <w:lang w:val="en-CA"/>
        </w:rPr>
        <w:t>.</w:t>
      </w:r>
      <w:r w:rsidRPr="0098597A">
        <w:rPr>
          <w:lang w:val="en-CA"/>
        </w:rPr>
        <w:t xml:space="preserve">  Issue 3</w:t>
      </w:r>
      <w:r w:rsidR="000762DC">
        <w:rPr>
          <w:lang w:val="en-CA"/>
        </w:rPr>
        <w:t xml:space="preserve"> – </w:t>
      </w:r>
      <w:r w:rsidR="00266FAB">
        <w:rPr>
          <w:lang w:val="en-CA"/>
        </w:rPr>
        <w:t>“</w:t>
      </w:r>
      <w:r w:rsidRPr="0098597A">
        <w:rPr>
          <w:lang w:val="en-CA"/>
        </w:rPr>
        <w:t>Would the approval of the proposed OPA and Zoning By-law Amendment conform to the UHOP or the North Waterdown (</w:t>
      </w:r>
      <w:r w:rsidRPr="00266FAB">
        <w:rPr>
          <w:i/>
          <w:iCs/>
          <w:lang w:val="en-CA"/>
        </w:rPr>
        <w:t>sic</w:t>
      </w:r>
      <w:r w:rsidRPr="0098597A">
        <w:rPr>
          <w:lang w:val="en-CA"/>
        </w:rPr>
        <w:t>) Secondary Plan?</w:t>
      </w:r>
      <w:r w:rsidR="00266FAB">
        <w:rPr>
          <w:lang w:val="en-CA"/>
        </w:rPr>
        <w:t>”</w:t>
      </w:r>
      <w:r w:rsidRPr="0098597A">
        <w:rPr>
          <w:lang w:val="en-CA"/>
        </w:rPr>
        <w:t xml:space="preserve">; Issue 5 – </w:t>
      </w:r>
      <w:r w:rsidR="00266FAB">
        <w:rPr>
          <w:lang w:val="en-CA"/>
        </w:rPr>
        <w:t>“</w:t>
      </w:r>
      <w:r w:rsidRPr="0098597A">
        <w:rPr>
          <w:lang w:val="en-CA"/>
        </w:rPr>
        <w:t>Is it good planning and appropriate to reduce the density identified in the Waterdown North Secondary Plan B.4.2.7 (c)?</w:t>
      </w:r>
      <w:r w:rsidR="00266FAB">
        <w:rPr>
          <w:lang w:val="en-CA"/>
        </w:rPr>
        <w:t>”</w:t>
      </w:r>
      <w:r w:rsidRPr="0098597A">
        <w:rPr>
          <w:lang w:val="en-CA"/>
        </w:rPr>
        <w:t xml:space="preserve">; Issue 7 – </w:t>
      </w:r>
      <w:r w:rsidR="00266FAB">
        <w:rPr>
          <w:lang w:val="en-CA"/>
        </w:rPr>
        <w:t>“</w:t>
      </w:r>
      <w:r w:rsidRPr="0098597A">
        <w:rPr>
          <w:lang w:val="en-CA"/>
        </w:rPr>
        <w:t>Does the proposal meet the intent of policy F.1.1.5 in the City of Hamilton Official Plan?</w:t>
      </w:r>
      <w:r w:rsidR="00266FAB">
        <w:rPr>
          <w:lang w:val="en-CA"/>
        </w:rPr>
        <w:t>”</w:t>
      </w:r>
      <w:r w:rsidRPr="0098597A">
        <w:rPr>
          <w:lang w:val="en-CA"/>
        </w:rPr>
        <w:t xml:space="preserve"> and Issue 8 – </w:t>
      </w:r>
      <w:r w:rsidR="00266FAB">
        <w:rPr>
          <w:lang w:val="en-CA"/>
        </w:rPr>
        <w:t>“</w:t>
      </w:r>
      <w:r w:rsidRPr="0098597A">
        <w:rPr>
          <w:lang w:val="en-CA"/>
        </w:rPr>
        <w:t>Does the proposal comply with policy B.4.2.4.2 (b) in the North Waterdown (</w:t>
      </w:r>
      <w:r w:rsidRPr="00B94D84">
        <w:rPr>
          <w:i/>
          <w:iCs/>
          <w:lang w:val="en-CA"/>
        </w:rPr>
        <w:t>sic</w:t>
      </w:r>
      <w:r w:rsidRPr="0098597A">
        <w:rPr>
          <w:lang w:val="en-CA"/>
        </w:rPr>
        <w:t>) Secondary Plan in terms of providing a broad range of housing with in the North Waterdown (</w:t>
      </w:r>
      <w:r w:rsidRPr="00B94D84">
        <w:rPr>
          <w:i/>
          <w:iCs/>
          <w:lang w:val="en-CA"/>
        </w:rPr>
        <w:t>sic</w:t>
      </w:r>
      <w:r w:rsidRPr="0098597A">
        <w:rPr>
          <w:lang w:val="en-CA"/>
        </w:rPr>
        <w:t>) Secondary Plan?</w:t>
      </w:r>
      <w:r w:rsidR="00B94D84">
        <w:rPr>
          <w:lang w:val="en-CA"/>
        </w:rPr>
        <w:t>”</w:t>
      </w:r>
    </w:p>
    <w:p w14:paraId="3B94F6A9" w14:textId="2ED82437" w:rsidR="00CC0BC5" w:rsidRDefault="00CC0BC5" w:rsidP="00B822D9">
      <w:pPr>
        <w:rPr>
          <w:lang w:val="en-CA"/>
        </w:rPr>
      </w:pPr>
    </w:p>
    <w:p w14:paraId="5C2EC57F" w14:textId="520983ED" w:rsidR="00B822D9" w:rsidRPr="0098597A" w:rsidRDefault="00B822D9" w:rsidP="00B822D9">
      <w:pPr>
        <w:rPr>
          <w:lang w:val="en-CA"/>
        </w:rPr>
      </w:pPr>
      <w:r w:rsidRPr="0098597A">
        <w:rPr>
          <w:b/>
          <w:lang w:val="en-CA"/>
        </w:rPr>
        <w:t xml:space="preserve">Urban </w:t>
      </w:r>
      <w:r w:rsidR="00734186" w:rsidRPr="0098597A">
        <w:rPr>
          <w:b/>
          <w:lang w:val="en-CA"/>
        </w:rPr>
        <w:t xml:space="preserve">Hamilton </w:t>
      </w:r>
      <w:r w:rsidRPr="0098597A">
        <w:rPr>
          <w:b/>
          <w:lang w:val="en-CA"/>
        </w:rPr>
        <w:t>Official Plan (2013)</w:t>
      </w:r>
    </w:p>
    <w:p w14:paraId="16A1181D" w14:textId="77777777" w:rsidR="00B822D9" w:rsidRPr="0098597A" w:rsidRDefault="00B822D9" w:rsidP="00B822D9">
      <w:pPr>
        <w:rPr>
          <w:rFonts w:cs="Arial"/>
          <w:lang w:val="en-CA"/>
        </w:rPr>
      </w:pPr>
    </w:p>
    <w:p w14:paraId="4B0F4AEA" w14:textId="73CA2317" w:rsidR="00B822D9" w:rsidRPr="0098597A" w:rsidRDefault="00B822D9" w:rsidP="00907785">
      <w:pPr>
        <w:numPr>
          <w:ilvl w:val="0"/>
          <w:numId w:val="1"/>
        </w:numPr>
        <w:ind w:left="0" w:firstLine="0"/>
        <w:rPr>
          <w:rFonts w:cs="Arial"/>
          <w:lang w:val="en-CA"/>
        </w:rPr>
      </w:pPr>
      <w:r w:rsidRPr="0098597A">
        <w:rPr>
          <w:lang w:val="en-CA"/>
        </w:rPr>
        <w:t>The UHOP was adopted by City Council in July 2009 and provides a policy basis and vision for the City with respect to the designation of land use and complementary city building policies related to such matters as natural environment, transportation, infrastructure, and cultural heritage.</w:t>
      </w:r>
    </w:p>
    <w:p w14:paraId="2CB12810" w14:textId="77777777" w:rsidR="00B822D9" w:rsidRPr="0098597A" w:rsidRDefault="00B822D9" w:rsidP="00B822D9">
      <w:pPr>
        <w:rPr>
          <w:rFonts w:cs="Arial"/>
          <w:lang w:val="en-CA"/>
        </w:rPr>
      </w:pPr>
    </w:p>
    <w:p w14:paraId="0B256C7A" w14:textId="5216F263" w:rsidR="00B822D9" w:rsidRPr="0098597A" w:rsidRDefault="00B822D9" w:rsidP="00907785">
      <w:pPr>
        <w:numPr>
          <w:ilvl w:val="0"/>
          <w:numId w:val="1"/>
        </w:numPr>
        <w:ind w:left="0" w:firstLine="0"/>
        <w:rPr>
          <w:rFonts w:cs="Arial"/>
          <w:lang w:val="en-CA"/>
        </w:rPr>
      </w:pPr>
      <w:r w:rsidRPr="0098597A">
        <w:rPr>
          <w:lang w:val="en-CA"/>
        </w:rPr>
        <w:t xml:space="preserve">The subject lands are designated as Neighbourhoods and Open Space on Schedule E-1 – Urban Land Use Designations in the UHOP.  A portion of the lands are designated Core Area and Stream on Schedule B – Natural Heritage System. </w:t>
      </w:r>
      <w:r w:rsidR="001D46B7">
        <w:rPr>
          <w:lang w:val="en-CA"/>
        </w:rPr>
        <w:t xml:space="preserve"> </w:t>
      </w:r>
      <w:r w:rsidRPr="0098597A">
        <w:rPr>
          <w:lang w:val="en-CA"/>
        </w:rPr>
        <w:t xml:space="preserve">They are located within the City’s Urban Area but are outside the built-up urban area and therefore considered as Greenfield Lands.  Chapter A of this plan establishes strategic </w:t>
      </w:r>
      <w:r w:rsidR="001D46B7">
        <w:rPr>
          <w:lang w:val="en-CA"/>
        </w:rPr>
        <w:t>d</w:t>
      </w:r>
      <w:r w:rsidRPr="0098597A">
        <w:rPr>
          <w:lang w:val="en-CA"/>
        </w:rPr>
        <w:t>irections and principles for the urban parts of the City and Section B speaks to achieving complete communities.</w:t>
      </w:r>
    </w:p>
    <w:p w14:paraId="2C0B4853" w14:textId="77777777" w:rsidR="00B822D9" w:rsidRPr="0098597A" w:rsidRDefault="00B822D9" w:rsidP="00B822D9">
      <w:pPr>
        <w:pStyle w:val="ListParagraph"/>
        <w:rPr>
          <w:rFonts w:cs="Arial"/>
          <w:lang w:val="en-CA"/>
        </w:rPr>
      </w:pPr>
    </w:p>
    <w:p w14:paraId="7CA6F4D3" w14:textId="16423C18" w:rsidR="00B822D9" w:rsidRPr="0098597A" w:rsidRDefault="00B822D9" w:rsidP="00907785">
      <w:pPr>
        <w:numPr>
          <w:ilvl w:val="0"/>
          <w:numId w:val="1"/>
        </w:numPr>
        <w:ind w:left="0" w:firstLine="0"/>
        <w:rPr>
          <w:rFonts w:cs="Arial"/>
          <w:lang w:val="en-CA"/>
        </w:rPr>
      </w:pPr>
      <w:r w:rsidRPr="0098597A">
        <w:rPr>
          <w:lang w:val="en-CA"/>
        </w:rPr>
        <w:t>In evidence from the planning witnesses, the Tribunal was led to the following policy sections: s. 2.3.3.3 – Greenfield Density Targets</w:t>
      </w:r>
      <w:r w:rsidR="001D46B7">
        <w:rPr>
          <w:lang w:val="en-CA"/>
        </w:rPr>
        <w:t>;</w:t>
      </w:r>
      <w:r w:rsidRPr="0098597A">
        <w:rPr>
          <w:lang w:val="en-CA"/>
        </w:rPr>
        <w:t xml:space="preserve"> </w:t>
      </w:r>
      <w:r w:rsidR="001D46B7">
        <w:rPr>
          <w:lang w:val="en-CA"/>
        </w:rPr>
        <w:t xml:space="preserve">s. </w:t>
      </w:r>
      <w:r w:rsidRPr="0098597A">
        <w:rPr>
          <w:lang w:val="en-CA"/>
        </w:rPr>
        <w:t>2.2.1.4</w:t>
      </w:r>
      <w:r w:rsidR="001D46B7">
        <w:rPr>
          <w:lang w:val="en-CA"/>
        </w:rPr>
        <w:t xml:space="preserve"> – </w:t>
      </w:r>
      <w:r w:rsidRPr="0098597A">
        <w:rPr>
          <w:lang w:val="en-CA"/>
        </w:rPr>
        <w:t>Communities</w:t>
      </w:r>
      <w:r w:rsidR="001D46B7">
        <w:rPr>
          <w:lang w:val="en-CA"/>
        </w:rPr>
        <w:t>; and</w:t>
      </w:r>
      <w:r w:rsidRPr="0098597A">
        <w:rPr>
          <w:lang w:val="en-CA"/>
        </w:rPr>
        <w:t xml:space="preserve"> s. 3.2.1, 3.2.6, 3.2.7, 3.7.5 – Quality of Life and Complete Communities.</w:t>
      </w:r>
    </w:p>
    <w:p w14:paraId="5FA9302F" w14:textId="77777777" w:rsidR="00B822D9" w:rsidRPr="0098597A" w:rsidRDefault="00B822D9" w:rsidP="00B822D9">
      <w:pPr>
        <w:pStyle w:val="ListParagraph"/>
        <w:rPr>
          <w:rFonts w:cs="Arial"/>
          <w:lang w:val="en-CA"/>
        </w:rPr>
      </w:pPr>
    </w:p>
    <w:p w14:paraId="57291F78" w14:textId="5F843EDF" w:rsidR="00B822D9" w:rsidRPr="0098597A" w:rsidRDefault="00B822D9" w:rsidP="00907785">
      <w:pPr>
        <w:numPr>
          <w:ilvl w:val="0"/>
          <w:numId w:val="1"/>
        </w:numPr>
        <w:ind w:left="0" w:firstLine="0"/>
        <w:rPr>
          <w:rFonts w:cs="Arial"/>
          <w:lang w:val="en-CA"/>
        </w:rPr>
      </w:pPr>
      <w:r w:rsidRPr="0098597A">
        <w:rPr>
          <w:lang w:val="en-CA"/>
        </w:rPr>
        <w:lastRenderedPageBreak/>
        <w:t>Mr. Corbett is of the opinion that the proposed development conforms to the policies of the UHOP for the following reasons:</w:t>
      </w:r>
    </w:p>
    <w:p w14:paraId="3E8EBDC3" w14:textId="0512A834" w:rsidR="00B822D9" w:rsidRPr="0098597A" w:rsidRDefault="00B822D9" w:rsidP="00B822D9">
      <w:pPr>
        <w:pStyle w:val="ListParagraph"/>
        <w:rPr>
          <w:rFonts w:cs="Arial"/>
          <w:lang w:val="en-CA"/>
        </w:rPr>
      </w:pPr>
    </w:p>
    <w:p w14:paraId="75577578" w14:textId="06081461" w:rsidR="00B822D9" w:rsidRPr="0098597A" w:rsidRDefault="00B822D9" w:rsidP="00845E55">
      <w:pPr>
        <w:pStyle w:val="ListParagraph"/>
        <w:numPr>
          <w:ilvl w:val="1"/>
          <w:numId w:val="1"/>
        </w:numPr>
        <w:spacing w:after="120"/>
        <w:ind w:hanging="720"/>
        <w:rPr>
          <w:lang w:val="en-CA"/>
        </w:rPr>
      </w:pPr>
      <w:r w:rsidRPr="0098597A">
        <w:rPr>
          <w:lang w:val="en-CA"/>
        </w:rPr>
        <w:t xml:space="preserve">the Neighbourhood designation states that proposed development shall be evaluated against its compatibility with the surrounding area in terms of scale, massing, height, siting, orientation, setbacks, parking, and landscaping.  The proposal “will provide a supportive scale and height based on the existing residential development…there will be sufficient parking for residents and appropriate setbacks based on the competed Environmental Impact Assessment…”  The OPA and ZBA will provide an appropriate density for the subject lands which are not conducive to a higher built </w:t>
      </w:r>
      <w:proofErr w:type="gramStart"/>
      <w:r w:rsidRPr="0098597A">
        <w:rPr>
          <w:lang w:val="en-CA"/>
        </w:rPr>
        <w:t>form</w:t>
      </w:r>
      <w:r w:rsidR="00DD0E14">
        <w:rPr>
          <w:lang w:val="en-CA"/>
        </w:rPr>
        <w:t>;</w:t>
      </w:r>
      <w:proofErr w:type="gramEnd"/>
    </w:p>
    <w:p w14:paraId="37426798" w14:textId="7F026E6E" w:rsidR="00B822D9" w:rsidRPr="0098597A" w:rsidRDefault="00B822D9" w:rsidP="00845E55">
      <w:pPr>
        <w:pStyle w:val="ListParagraph"/>
        <w:numPr>
          <w:ilvl w:val="1"/>
          <w:numId w:val="1"/>
        </w:numPr>
        <w:spacing w:after="120"/>
        <w:ind w:hanging="720"/>
        <w:rPr>
          <w:lang w:val="en-CA"/>
        </w:rPr>
      </w:pPr>
      <w:r w:rsidRPr="0098597A">
        <w:rPr>
          <w:lang w:val="en-CA"/>
        </w:rPr>
        <w:t xml:space="preserve">the proposal has access to a minor arterial </w:t>
      </w:r>
      <w:proofErr w:type="gramStart"/>
      <w:r w:rsidRPr="0098597A">
        <w:rPr>
          <w:lang w:val="en-CA"/>
        </w:rPr>
        <w:t>road</w:t>
      </w:r>
      <w:r w:rsidR="00DD0E14">
        <w:rPr>
          <w:lang w:val="en-CA"/>
        </w:rPr>
        <w:t>;</w:t>
      </w:r>
      <w:proofErr w:type="gramEnd"/>
    </w:p>
    <w:p w14:paraId="098CF462" w14:textId="1B535DB6" w:rsidR="00B822D9" w:rsidRPr="0098597A" w:rsidRDefault="00B822D9" w:rsidP="00845E55">
      <w:pPr>
        <w:pStyle w:val="ListParagraph"/>
        <w:numPr>
          <w:ilvl w:val="1"/>
          <w:numId w:val="1"/>
        </w:numPr>
        <w:spacing w:after="120"/>
        <w:ind w:hanging="720"/>
        <w:rPr>
          <w:lang w:val="en-CA"/>
        </w:rPr>
      </w:pPr>
      <w:r w:rsidRPr="0098597A">
        <w:rPr>
          <w:lang w:val="en-CA"/>
        </w:rPr>
        <w:t xml:space="preserve">appropriate buffering and landscaping will be provided to help shape a residential </w:t>
      </w:r>
      <w:proofErr w:type="gramStart"/>
      <w:r w:rsidRPr="0098597A">
        <w:rPr>
          <w:lang w:val="en-CA"/>
        </w:rPr>
        <w:t>streetscape</w:t>
      </w:r>
      <w:r w:rsidR="00DD0E14">
        <w:rPr>
          <w:lang w:val="en-CA"/>
        </w:rPr>
        <w:t>;</w:t>
      </w:r>
      <w:proofErr w:type="gramEnd"/>
    </w:p>
    <w:p w14:paraId="7F8815FC" w14:textId="787108F5" w:rsidR="00B822D9" w:rsidRPr="0098597A" w:rsidRDefault="00B822D9" w:rsidP="00845E55">
      <w:pPr>
        <w:pStyle w:val="ListParagraph"/>
        <w:numPr>
          <w:ilvl w:val="1"/>
          <w:numId w:val="1"/>
        </w:numPr>
        <w:spacing w:after="120"/>
        <w:ind w:hanging="720"/>
        <w:rPr>
          <w:lang w:val="en-CA"/>
        </w:rPr>
      </w:pPr>
      <w:r w:rsidRPr="0098597A">
        <w:rPr>
          <w:lang w:val="en-CA"/>
        </w:rPr>
        <w:t xml:space="preserve">The lands are classified as ‘Greenfield Area’ as they are outside the City’s built-up area.  Growth Plan targets </w:t>
      </w:r>
      <w:r w:rsidR="00B26C0E">
        <w:rPr>
          <w:lang w:val="en-CA"/>
        </w:rPr>
        <w:t>anticipate</w:t>
      </w:r>
      <w:r w:rsidR="00B26C0E" w:rsidRPr="0098597A">
        <w:rPr>
          <w:lang w:val="en-CA"/>
        </w:rPr>
        <w:t xml:space="preserve"> </w:t>
      </w:r>
      <w:r w:rsidRPr="0098597A">
        <w:rPr>
          <w:lang w:val="en-CA"/>
        </w:rPr>
        <w:t xml:space="preserve">a minimum of 50 percent of the residential development shall occur annually within the City and other selective surrounding cities or </w:t>
      </w:r>
      <w:proofErr w:type="gramStart"/>
      <w:r w:rsidRPr="0098597A">
        <w:rPr>
          <w:lang w:val="en-CA"/>
        </w:rPr>
        <w:t>regions</w:t>
      </w:r>
      <w:r w:rsidR="00DD0E14">
        <w:rPr>
          <w:lang w:val="en-CA"/>
        </w:rPr>
        <w:t>;</w:t>
      </w:r>
      <w:proofErr w:type="gramEnd"/>
    </w:p>
    <w:p w14:paraId="22C06234" w14:textId="78C892D8" w:rsidR="00B822D9" w:rsidRPr="0098597A" w:rsidRDefault="00B822D9" w:rsidP="00845E55">
      <w:pPr>
        <w:pStyle w:val="ListParagraph"/>
        <w:numPr>
          <w:ilvl w:val="1"/>
          <w:numId w:val="1"/>
        </w:numPr>
        <w:spacing w:after="120"/>
        <w:ind w:hanging="720"/>
        <w:rPr>
          <w:lang w:val="en-CA"/>
        </w:rPr>
      </w:pPr>
      <w:r w:rsidRPr="0098597A">
        <w:rPr>
          <w:lang w:val="en-CA"/>
        </w:rPr>
        <w:t>Greenfield Areas are to achieve an overall minimum density of 50 people and jobs per ha.  On non-employment lands, densities must achieve a minimum average density of 70 persons and jobs per ha to meet the overall density target.  The OPA and ZBA will meet the Province</w:t>
      </w:r>
      <w:r w:rsidR="00BD42DF">
        <w:rPr>
          <w:lang w:val="en-CA"/>
        </w:rPr>
        <w:t>’</w:t>
      </w:r>
      <w:r w:rsidRPr="0098597A">
        <w:rPr>
          <w:lang w:val="en-CA"/>
        </w:rPr>
        <w:t>s and City’s minimum density requirements in a building form that better fits into the existing neighbourhood character</w:t>
      </w:r>
      <w:r w:rsidR="00BD42DF">
        <w:rPr>
          <w:lang w:val="en-CA"/>
        </w:rPr>
        <w:t>; and</w:t>
      </w:r>
    </w:p>
    <w:p w14:paraId="49842FE5" w14:textId="0C764A64" w:rsidR="00B822D9" w:rsidRPr="0098597A" w:rsidRDefault="00B822D9" w:rsidP="00B822D9">
      <w:pPr>
        <w:pStyle w:val="ListParagraph"/>
        <w:numPr>
          <w:ilvl w:val="1"/>
          <w:numId w:val="1"/>
        </w:numPr>
        <w:ind w:hanging="720"/>
        <w:rPr>
          <w:lang w:val="en-CA"/>
        </w:rPr>
      </w:pPr>
      <w:r w:rsidRPr="0098597A">
        <w:rPr>
          <w:lang w:val="en-CA"/>
        </w:rPr>
        <w:t>the proposed OPA implements the intent of the UHOP by correctly aligning the location of the North Waterdown Dr</w:t>
      </w:r>
      <w:r w:rsidR="00BD42DF">
        <w:rPr>
          <w:lang w:val="en-CA"/>
        </w:rPr>
        <w:t>ive</w:t>
      </w:r>
      <w:r w:rsidRPr="0098597A">
        <w:rPr>
          <w:lang w:val="en-CA"/>
        </w:rPr>
        <w:t xml:space="preserve"> and correctly illustrates its connection to Mosaic Dr</w:t>
      </w:r>
      <w:r w:rsidR="00BD42DF">
        <w:rPr>
          <w:lang w:val="en-CA"/>
        </w:rPr>
        <w:t>ive</w:t>
      </w:r>
      <w:r w:rsidRPr="0098597A">
        <w:rPr>
          <w:lang w:val="en-CA"/>
        </w:rPr>
        <w:t>.</w:t>
      </w:r>
    </w:p>
    <w:p w14:paraId="11136148" w14:textId="77777777" w:rsidR="00B822D9" w:rsidRPr="0098597A" w:rsidRDefault="00B822D9" w:rsidP="00B822D9">
      <w:pPr>
        <w:pStyle w:val="ListParagraph"/>
        <w:rPr>
          <w:rFonts w:cs="Arial"/>
          <w:lang w:val="en-CA"/>
        </w:rPr>
      </w:pPr>
    </w:p>
    <w:p w14:paraId="6F6CDE08" w14:textId="59ECBAE1" w:rsidR="00B822D9" w:rsidRPr="0098597A" w:rsidRDefault="002B21FD" w:rsidP="00907785">
      <w:pPr>
        <w:numPr>
          <w:ilvl w:val="0"/>
          <w:numId w:val="1"/>
        </w:numPr>
        <w:ind w:left="0" w:firstLine="0"/>
        <w:rPr>
          <w:rFonts w:cs="Arial"/>
          <w:lang w:val="en-CA"/>
        </w:rPr>
      </w:pPr>
      <w:r>
        <w:rPr>
          <w:lang w:val="en-CA"/>
        </w:rPr>
        <w:lastRenderedPageBreak/>
        <w:t>The r</w:t>
      </w:r>
      <w:r w:rsidR="003A69F6" w:rsidRPr="0098597A">
        <w:rPr>
          <w:lang w:val="en-CA"/>
        </w:rPr>
        <w:t xml:space="preserve">easons </w:t>
      </w:r>
      <w:r w:rsidR="00B26C0E">
        <w:rPr>
          <w:lang w:val="en-CA"/>
        </w:rPr>
        <w:t>why</w:t>
      </w:r>
      <w:r w:rsidR="003A69F6" w:rsidRPr="0098597A">
        <w:rPr>
          <w:lang w:val="en-CA"/>
        </w:rPr>
        <w:t xml:space="preserve"> reducing the planned density on the subject lands results in a lack of conformity to the UHOP are described in Mr. </w:t>
      </w:r>
      <w:proofErr w:type="spellStart"/>
      <w:r w:rsidR="003A69F6" w:rsidRPr="0098597A">
        <w:rPr>
          <w:lang w:val="en-CA"/>
        </w:rPr>
        <w:t>Sajecki’s</w:t>
      </w:r>
      <w:proofErr w:type="spellEnd"/>
      <w:r w:rsidR="003A69F6" w:rsidRPr="0098597A">
        <w:rPr>
          <w:lang w:val="en-CA"/>
        </w:rPr>
        <w:t xml:space="preserve"> evidence and WS as follows:</w:t>
      </w:r>
    </w:p>
    <w:p w14:paraId="3EF3DF45" w14:textId="2CC936AE" w:rsidR="003A69F6" w:rsidRPr="0098597A" w:rsidRDefault="003A69F6" w:rsidP="003A69F6">
      <w:pPr>
        <w:rPr>
          <w:lang w:val="en-CA"/>
        </w:rPr>
      </w:pPr>
    </w:p>
    <w:p w14:paraId="342441D7" w14:textId="0C33D32C" w:rsidR="003A69F6" w:rsidRPr="0098597A" w:rsidRDefault="003A69F6" w:rsidP="003A69F6">
      <w:pPr>
        <w:pStyle w:val="ListParagraph"/>
        <w:numPr>
          <w:ilvl w:val="1"/>
          <w:numId w:val="1"/>
        </w:numPr>
        <w:ind w:hanging="720"/>
        <w:rPr>
          <w:lang w:val="en-CA"/>
        </w:rPr>
      </w:pPr>
      <w:r w:rsidRPr="0098597A">
        <w:rPr>
          <w:lang w:val="en-CA"/>
        </w:rPr>
        <w:t xml:space="preserve">the City took great care in the implementation of Provincial Policy with respect to density targets for Greenfield Areas.  Established targets are: 50 people and jobs per ha with a greater target of 70 persons and jobs per ha for non-employment lands across </w:t>
      </w:r>
      <w:proofErr w:type="gramStart"/>
      <w:r w:rsidRPr="0098597A">
        <w:rPr>
          <w:lang w:val="en-CA"/>
        </w:rPr>
        <w:t>all of</w:t>
      </w:r>
      <w:proofErr w:type="gramEnd"/>
      <w:r w:rsidRPr="0098597A">
        <w:rPr>
          <w:lang w:val="en-CA"/>
        </w:rPr>
        <w:t xml:space="preserve"> the City’s Greenfield areas.  Section 2.3.3.3 establishes </w:t>
      </w:r>
      <w:r w:rsidR="004D43AB">
        <w:rPr>
          <w:lang w:val="en-CA"/>
        </w:rPr>
        <w:t>G</w:t>
      </w:r>
      <w:r w:rsidRPr="0098597A">
        <w:rPr>
          <w:lang w:val="en-CA"/>
        </w:rPr>
        <w:t>reenfield targets as follows:</w:t>
      </w:r>
    </w:p>
    <w:p w14:paraId="6DFE9444" w14:textId="033540B3" w:rsidR="003A69F6" w:rsidRPr="0098597A" w:rsidRDefault="003A69F6" w:rsidP="003A69F6">
      <w:pPr>
        <w:pStyle w:val="ListParagraph"/>
        <w:spacing w:before="120" w:line="240" w:lineRule="auto"/>
        <w:ind w:left="2160" w:right="1440"/>
        <w:rPr>
          <w:sz w:val="20"/>
          <w:szCs w:val="20"/>
          <w:lang w:val="en-CA"/>
        </w:rPr>
      </w:pPr>
      <w:r w:rsidRPr="0098597A">
        <w:rPr>
          <w:sz w:val="20"/>
          <w:szCs w:val="20"/>
          <w:lang w:val="en-CA"/>
        </w:rPr>
        <w:t>Greenfield areas shall be planned to achieve an overall minimum density of 50 people and jobs per hectare.  The greenfield density target shall be measured over Hamilton’s greenfield area, excluding natural heritage features designated in this Plan. The greenfield area includes designated employment areas.  On employment lands, the City shall plan to meet a density target of 37 people and jobs per hectare. on non-employment lands densities will need to achieve a minimum average density of 70 persons and jobs per hectare.</w:t>
      </w:r>
    </w:p>
    <w:p w14:paraId="5A8AF9A0" w14:textId="22789665" w:rsidR="003A69F6" w:rsidRPr="0098597A" w:rsidRDefault="003A69F6" w:rsidP="00845E55">
      <w:pPr>
        <w:pStyle w:val="ListParagraph"/>
        <w:numPr>
          <w:ilvl w:val="1"/>
          <w:numId w:val="1"/>
        </w:numPr>
        <w:spacing w:before="240" w:after="120"/>
        <w:ind w:hanging="720"/>
        <w:rPr>
          <w:lang w:val="en-CA"/>
        </w:rPr>
      </w:pPr>
      <w:r w:rsidRPr="0098597A">
        <w:rPr>
          <w:lang w:val="en-CA"/>
        </w:rPr>
        <w:t xml:space="preserve">If density targets are not met within individual neighbourhoods or communities, there </w:t>
      </w:r>
      <w:r w:rsidR="006C36AB">
        <w:rPr>
          <w:lang w:val="en-CA"/>
        </w:rPr>
        <w:t>are</w:t>
      </w:r>
      <w:r w:rsidRPr="0098597A">
        <w:rPr>
          <w:lang w:val="en-CA"/>
        </w:rPr>
        <w:t xml:space="preserve"> additional pressures placed on other areas of the City to make up the difference or the need for additional unnecessary boundary expansions.  The UHOP requires areas for </w:t>
      </w:r>
      <w:r w:rsidR="00025727">
        <w:rPr>
          <w:lang w:val="en-CA"/>
        </w:rPr>
        <w:t>h</w:t>
      </w:r>
      <w:r w:rsidRPr="0098597A">
        <w:rPr>
          <w:lang w:val="en-CA"/>
        </w:rPr>
        <w:t xml:space="preserve">igh </w:t>
      </w:r>
      <w:r w:rsidR="00025727">
        <w:rPr>
          <w:lang w:val="en-CA"/>
        </w:rPr>
        <w:t>d</w:t>
      </w:r>
      <w:r w:rsidRPr="0098597A">
        <w:rPr>
          <w:lang w:val="en-CA"/>
        </w:rPr>
        <w:t xml:space="preserve">ensity </w:t>
      </w:r>
      <w:r w:rsidR="00025727">
        <w:rPr>
          <w:lang w:val="en-CA"/>
        </w:rPr>
        <w:t>r</w:t>
      </w:r>
      <w:r w:rsidRPr="0098597A">
        <w:rPr>
          <w:lang w:val="en-CA"/>
        </w:rPr>
        <w:t xml:space="preserve">esidential development to accommodate between 100 and 200 units per ha and the subject lands are appropriate to be in the lower end of this </w:t>
      </w:r>
      <w:proofErr w:type="gramStart"/>
      <w:r w:rsidRPr="0098597A">
        <w:rPr>
          <w:lang w:val="en-CA"/>
        </w:rPr>
        <w:t>continuum</w:t>
      </w:r>
      <w:r w:rsidR="00F52F07">
        <w:rPr>
          <w:lang w:val="en-CA"/>
        </w:rPr>
        <w:t>;</w:t>
      </w:r>
      <w:proofErr w:type="gramEnd"/>
    </w:p>
    <w:p w14:paraId="209751F5" w14:textId="6487C450" w:rsidR="003A69F6" w:rsidRPr="0098597A" w:rsidRDefault="003A69F6" w:rsidP="00845E55">
      <w:pPr>
        <w:pStyle w:val="ListParagraph"/>
        <w:numPr>
          <w:ilvl w:val="1"/>
          <w:numId w:val="1"/>
        </w:numPr>
        <w:spacing w:after="120"/>
        <w:ind w:hanging="720"/>
        <w:rPr>
          <w:lang w:val="en-CA"/>
        </w:rPr>
      </w:pPr>
      <w:r w:rsidRPr="0098597A">
        <w:rPr>
          <w:lang w:val="en-CA"/>
        </w:rPr>
        <w:t>“minimum density targets</w:t>
      </w:r>
      <w:r w:rsidR="00F52F07">
        <w:rPr>
          <w:lang w:val="en-CA"/>
        </w:rPr>
        <w:t>”</w:t>
      </w:r>
      <w:r w:rsidRPr="0098597A">
        <w:rPr>
          <w:lang w:val="en-CA"/>
        </w:rPr>
        <w:t xml:space="preserve"> are a tool utilised by the </w:t>
      </w:r>
      <w:r w:rsidR="00F52F07">
        <w:rPr>
          <w:lang w:val="en-CA"/>
        </w:rPr>
        <w:t>P</w:t>
      </w:r>
      <w:r w:rsidRPr="0098597A">
        <w:rPr>
          <w:lang w:val="en-CA"/>
        </w:rPr>
        <w:t xml:space="preserve">rovince and municipalities to achieve a range of goals that together constitute </w:t>
      </w:r>
      <w:r w:rsidR="00F52F07">
        <w:rPr>
          <w:lang w:val="en-CA"/>
        </w:rPr>
        <w:t>“</w:t>
      </w:r>
      <w:r w:rsidRPr="0098597A">
        <w:rPr>
          <w:lang w:val="en-CA"/>
        </w:rPr>
        <w:t>good planning</w:t>
      </w:r>
      <w:proofErr w:type="gramStart"/>
      <w:r w:rsidRPr="0098597A">
        <w:rPr>
          <w:lang w:val="en-CA"/>
        </w:rPr>
        <w:t>”</w:t>
      </w:r>
      <w:r w:rsidR="00F52F07">
        <w:rPr>
          <w:lang w:val="en-CA"/>
        </w:rPr>
        <w:t>;</w:t>
      </w:r>
      <w:proofErr w:type="gramEnd"/>
    </w:p>
    <w:p w14:paraId="682FEDE2" w14:textId="6D6066E9" w:rsidR="003A69F6" w:rsidRPr="0098597A" w:rsidRDefault="003A69F6" w:rsidP="00845E55">
      <w:pPr>
        <w:pStyle w:val="ListParagraph"/>
        <w:numPr>
          <w:ilvl w:val="1"/>
          <w:numId w:val="1"/>
        </w:numPr>
        <w:spacing w:after="120"/>
        <w:ind w:hanging="720"/>
        <w:rPr>
          <w:lang w:val="en-CA"/>
        </w:rPr>
      </w:pPr>
      <w:bookmarkStart w:id="5" w:name="_Hlk84945129"/>
      <w:r w:rsidRPr="0098597A">
        <w:rPr>
          <w:lang w:val="en-CA"/>
        </w:rPr>
        <w:t xml:space="preserve">strategic directions and principles are intended to create a compact and health community providing the opportunity to live, work and play thereby achieving complete communities.  Policy goes on to state that a full range of housing types, forms, and densities to meet the social, health and well-being requirements of all current and future residents throughout the </w:t>
      </w:r>
      <w:r w:rsidRPr="0098597A">
        <w:rPr>
          <w:lang w:val="en-CA"/>
        </w:rPr>
        <w:lastRenderedPageBreak/>
        <w:t xml:space="preserve">urban areas of the City.  The subject lands are part of the only </w:t>
      </w:r>
      <w:proofErr w:type="gramStart"/>
      <w:r w:rsidRPr="0098597A">
        <w:rPr>
          <w:lang w:val="en-CA"/>
        </w:rPr>
        <w:t>high density</w:t>
      </w:r>
      <w:proofErr w:type="gramEnd"/>
      <w:r w:rsidRPr="0098597A">
        <w:rPr>
          <w:lang w:val="en-CA"/>
        </w:rPr>
        <w:t xml:space="preserve"> designated lands in Waterdown </w:t>
      </w:r>
      <w:r w:rsidR="00E20BC1">
        <w:rPr>
          <w:lang w:val="en-CA"/>
        </w:rPr>
        <w:t xml:space="preserve">North </w:t>
      </w:r>
      <w:r w:rsidRPr="0098597A">
        <w:rPr>
          <w:lang w:val="en-CA"/>
        </w:rPr>
        <w:t>and should be preserved for higher density development to allow for a greater range of housing options in the community</w:t>
      </w:r>
      <w:r w:rsidR="00B804F1">
        <w:rPr>
          <w:lang w:val="en-CA"/>
        </w:rPr>
        <w:t>;</w:t>
      </w:r>
    </w:p>
    <w:p w14:paraId="11C5D4B1" w14:textId="0D73617C" w:rsidR="003A69F6" w:rsidRPr="0098597A" w:rsidRDefault="003A69F6" w:rsidP="00845E55">
      <w:pPr>
        <w:pStyle w:val="ListParagraph"/>
        <w:numPr>
          <w:ilvl w:val="1"/>
          <w:numId w:val="1"/>
        </w:numPr>
        <w:spacing w:after="120"/>
        <w:ind w:hanging="720"/>
        <w:rPr>
          <w:lang w:val="en-CA"/>
        </w:rPr>
      </w:pPr>
      <w:r w:rsidRPr="0098597A">
        <w:rPr>
          <w:lang w:val="en-CA"/>
        </w:rPr>
        <w:t xml:space="preserve">providing affordable housing is an important consideration of the UHOP and apartment style residential development tend to be more </w:t>
      </w:r>
      <w:proofErr w:type="gramStart"/>
      <w:r w:rsidRPr="0098597A">
        <w:rPr>
          <w:lang w:val="en-CA"/>
        </w:rPr>
        <w:t>affordable</w:t>
      </w:r>
      <w:r w:rsidR="00B804F1">
        <w:rPr>
          <w:lang w:val="en-CA"/>
        </w:rPr>
        <w:t>;</w:t>
      </w:r>
      <w:proofErr w:type="gramEnd"/>
    </w:p>
    <w:bookmarkEnd w:id="5"/>
    <w:p w14:paraId="6D7D38C1" w14:textId="1F1F6BEF" w:rsidR="003A69F6" w:rsidRPr="0098597A" w:rsidRDefault="003A69F6" w:rsidP="00845E55">
      <w:pPr>
        <w:pStyle w:val="ListParagraph"/>
        <w:numPr>
          <w:ilvl w:val="1"/>
          <w:numId w:val="1"/>
        </w:numPr>
        <w:spacing w:after="120"/>
        <w:ind w:hanging="720"/>
        <w:rPr>
          <w:lang w:val="en-CA"/>
        </w:rPr>
      </w:pPr>
      <w:r w:rsidRPr="0098597A">
        <w:rPr>
          <w:lang w:val="en-CA"/>
        </w:rPr>
        <w:t>Neighbourhood policy states that “High Density residential areas are characterised by multiple dwelling forms on the periphery of neighbourhoods in proximity to major or minor arterial roads”.  The subject lands appropriately designated meet</w:t>
      </w:r>
      <w:r w:rsidR="0004299A">
        <w:rPr>
          <w:lang w:val="en-CA"/>
        </w:rPr>
        <w:t>s</w:t>
      </w:r>
      <w:r w:rsidRPr="0098597A">
        <w:rPr>
          <w:lang w:val="en-CA"/>
        </w:rPr>
        <w:t xml:space="preserve"> </w:t>
      </w:r>
      <w:proofErr w:type="gramStart"/>
      <w:r w:rsidRPr="0098597A">
        <w:rPr>
          <w:lang w:val="en-CA"/>
        </w:rPr>
        <w:t>this criteria</w:t>
      </w:r>
      <w:proofErr w:type="gramEnd"/>
      <w:r w:rsidRPr="0098597A">
        <w:rPr>
          <w:lang w:val="en-CA"/>
        </w:rPr>
        <w:t xml:space="preserve"> as they are located on the periphery of the neighbourhood and have access to a minor arterial road.  The proposal of entirely stacked townhomes does not meet the principle of multiple dwelling </w:t>
      </w:r>
      <w:proofErr w:type="gramStart"/>
      <w:r w:rsidRPr="0098597A">
        <w:rPr>
          <w:lang w:val="en-CA"/>
        </w:rPr>
        <w:t>forms</w:t>
      </w:r>
      <w:r w:rsidR="00B804F1">
        <w:rPr>
          <w:lang w:val="en-CA"/>
        </w:rPr>
        <w:t>;</w:t>
      </w:r>
      <w:proofErr w:type="gramEnd"/>
    </w:p>
    <w:p w14:paraId="77F735A0" w14:textId="378A758B" w:rsidR="003A69F6" w:rsidRPr="0098597A" w:rsidRDefault="003A69F6" w:rsidP="00845E55">
      <w:pPr>
        <w:pStyle w:val="ListParagraph"/>
        <w:numPr>
          <w:ilvl w:val="1"/>
          <w:numId w:val="1"/>
        </w:numPr>
        <w:spacing w:after="120"/>
        <w:ind w:hanging="720"/>
        <w:rPr>
          <w:lang w:val="en-CA"/>
        </w:rPr>
      </w:pPr>
      <w:r w:rsidRPr="0098597A">
        <w:rPr>
          <w:lang w:val="en-CA"/>
        </w:rPr>
        <w:t xml:space="preserve">reducing the planned densities within the urban area may result in unnecessary boundary expansions into rural areas and a less efficient use of infrastructure and </w:t>
      </w:r>
      <w:proofErr w:type="gramStart"/>
      <w:r w:rsidRPr="0098597A">
        <w:rPr>
          <w:lang w:val="en-CA"/>
        </w:rPr>
        <w:t>services</w:t>
      </w:r>
      <w:r w:rsidR="00B804F1">
        <w:rPr>
          <w:lang w:val="en-CA"/>
        </w:rPr>
        <w:t>;</w:t>
      </w:r>
      <w:proofErr w:type="gramEnd"/>
    </w:p>
    <w:p w14:paraId="61D14285" w14:textId="1249EA0F" w:rsidR="003A69F6" w:rsidRPr="0098597A" w:rsidRDefault="003A69F6" w:rsidP="00845E55">
      <w:pPr>
        <w:pStyle w:val="ListParagraph"/>
        <w:numPr>
          <w:ilvl w:val="1"/>
          <w:numId w:val="1"/>
        </w:numPr>
        <w:spacing w:after="120"/>
        <w:ind w:hanging="720"/>
        <w:rPr>
          <w:lang w:val="en-CA"/>
        </w:rPr>
      </w:pPr>
      <w:r w:rsidRPr="0098597A">
        <w:rPr>
          <w:lang w:val="en-CA"/>
        </w:rPr>
        <w:t>Plan Implementation is found in Chapter F where policy related to the consideration of amendments to the UHOP is located.  A series of criteria is established and the one that directly relates to the proposed OPA is</w:t>
      </w:r>
      <w:r w:rsidR="00B804F1">
        <w:rPr>
          <w:lang w:val="en-CA"/>
        </w:rPr>
        <w:t>:</w:t>
      </w:r>
      <w:r w:rsidRPr="0098597A">
        <w:rPr>
          <w:lang w:val="en-CA"/>
        </w:rPr>
        <w:t xml:space="preserve"> “the impact of the proposed change on the City’s vision for a sustainable community, as it relates to the objectives, policies and targets established in this Plan”.  The proposal negatively impacts the City’s vision for a sustainable community as defined in Plan policies</w:t>
      </w:r>
      <w:r w:rsidR="00B804F1">
        <w:rPr>
          <w:lang w:val="en-CA"/>
        </w:rPr>
        <w:t>; and</w:t>
      </w:r>
    </w:p>
    <w:p w14:paraId="33F1CAD9" w14:textId="6B3B8829" w:rsidR="003A69F6" w:rsidRPr="0098597A" w:rsidRDefault="003A69F6" w:rsidP="003A69F6">
      <w:pPr>
        <w:pStyle w:val="ListParagraph"/>
        <w:numPr>
          <w:ilvl w:val="1"/>
          <w:numId w:val="1"/>
        </w:numPr>
        <w:ind w:hanging="720"/>
        <w:rPr>
          <w:lang w:val="en-CA"/>
        </w:rPr>
      </w:pPr>
      <w:r w:rsidRPr="0098597A">
        <w:rPr>
          <w:lang w:val="en-CA"/>
        </w:rPr>
        <w:t xml:space="preserve">the City recognizes the need for growth and change reflected in its planned Urban Structure which considered a variety of factors that contribute to economic and physical changes that are occurring.  The UHOP is designed to effect positive change by taking advantage of opportunities to become a more sustainable community in the future.  Proper implementation of this Plan directs a concentration of growth within </w:t>
      </w:r>
      <w:r w:rsidRPr="0098597A">
        <w:rPr>
          <w:lang w:val="en-CA"/>
        </w:rPr>
        <w:lastRenderedPageBreak/>
        <w:t xml:space="preserve">a firm urban boundary to protect the viability of rural areas, agricultural resources, and defined sustainability outcomes.  A reduction in a planned </w:t>
      </w:r>
      <w:r w:rsidR="00B804F1">
        <w:rPr>
          <w:lang w:val="en-CA"/>
        </w:rPr>
        <w:t>h</w:t>
      </w:r>
      <w:r w:rsidRPr="0098597A">
        <w:rPr>
          <w:lang w:val="en-CA"/>
        </w:rPr>
        <w:t xml:space="preserve">igh </w:t>
      </w:r>
      <w:r w:rsidR="00B804F1">
        <w:rPr>
          <w:lang w:val="en-CA"/>
        </w:rPr>
        <w:t>d</w:t>
      </w:r>
      <w:r w:rsidRPr="0098597A">
        <w:rPr>
          <w:lang w:val="en-CA"/>
        </w:rPr>
        <w:t>ensity area</w:t>
      </w:r>
      <w:r w:rsidR="00DD08DE">
        <w:rPr>
          <w:lang w:val="en-CA"/>
        </w:rPr>
        <w:t>,</w:t>
      </w:r>
      <w:r w:rsidRPr="0098597A">
        <w:rPr>
          <w:lang w:val="en-CA"/>
        </w:rPr>
        <w:t xml:space="preserve"> and </w:t>
      </w:r>
      <w:r w:rsidR="00DD08DE">
        <w:rPr>
          <w:lang w:val="en-CA"/>
        </w:rPr>
        <w:t xml:space="preserve">by </w:t>
      </w:r>
      <w:r w:rsidRPr="0098597A">
        <w:rPr>
          <w:lang w:val="en-CA"/>
        </w:rPr>
        <w:t>not maximizing the use of undeveloped lands, one potentially contributes to compromising the achievement of the City’s vision to be a more sustainable community while having potential impacts on the rural areas of the City.</w:t>
      </w:r>
    </w:p>
    <w:p w14:paraId="3E43782B" w14:textId="3E9035B5" w:rsidR="003A69F6" w:rsidRPr="0098597A" w:rsidRDefault="003A69F6" w:rsidP="003A69F6">
      <w:pPr>
        <w:rPr>
          <w:lang w:val="en-CA"/>
        </w:rPr>
      </w:pPr>
    </w:p>
    <w:p w14:paraId="3D692504" w14:textId="6345FEE9" w:rsidR="003A69F6" w:rsidRPr="0098597A" w:rsidRDefault="003A69F6" w:rsidP="003A69F6">
      <w:pPr>
        <w:rPr>
          <w:lang w:val="en-CA"/>
        </w:rPr>
      </w:pPr>
      <w:r w:rsidRPr="0098597A">
        <w:rPr>
          <w:b/>
          <w:lang w:val="en-CA"/>
        </w:rPr>
        <w:t>Waterdown North Secondary Plan</w:t>
      </w:r>
    </w:p>
    <w:p w14:paraId="08E816A3" w14:textId="77777777" w:rsidR="003A69F6" w:rsidRPr="0098597A" w:rsidRDefault="003A69F6" w:rsidP="003A69F6">
      <w:pPr>
        <w:rPr>
          <w:rFonts w:cs="Arial"/>
          <w:lang w:val="en-CA"/>
        </w:rPr>
      </w:pPr>
    </w:p>
    <w:p w14:paraId="3BAF266A" w14:textId="29E86562" w:rsidR="003A69F6" w:rsidRPr="0098597A" w:rsidRDefault="003A69F6" w:rsidP="00907785">
      <w:pPr>
        <w:numPr>
          <w:ilvl w:val="0"/>
          <w:numId w:val="1"/>
        </w:numPr>
        <w:ind w:left="0" w:firstLine="0"/>
        <w:rPr>
          <w:rFonts w:cs="Arial"/>
          <w:lang w:val="en-CA"/>
        </w:rPr>
      </w:pPr>
      <w:r w:rsidRPr="0098597A">
        <w:rPr>
          <w:lang w:val="en-CA"/>
        </w:rPr>
        <w:t xml:space="preserve">Mr. </w:t>
      </w:r>
      <w:proofErr w:type="spellStart"/>
      <w:r w:rsidRPr="0098597A">
        <w:rPr>
          <w:lang w:val="en-CA"/>
        </w:rPr>
        <w:t>Sajecki</w:t>
      </w:r>
      <w:proofErr w:type="spellEnd"/>
      <w:r w:rsidRPr="0098597A">
        <w:rPr>
          <w:lang w:val="en-CA"/>
        </w:rPr>
        <w:t xml:space="preserve"> in his evidence described the process used to develop the Urban Structure and policies of the WNSP.  This plan</w:t>
      </w:r>
      <w:r w:rsidR="00DD08DE">
        <w:rPr>
          <w:lang w:val="en-CA"/>
        </w:rPr>
        <w:t>-</w:t>
      </w:r>
      <w:r w:rsidRPr="0098597A">
        <w:rPr>
          <w:lang w:val="en-CA"/>
        </w:rPr>
        <w:t xml:space="preserve">making process is important to the Tribunal’s consideration of the OPA and ZBA.  </w:t>
      </w:r>
    </w:p>
    <w:p w14:paraId="4AA3C2F9" w14:textId="77777777" w:rsidR="003A69F6" w:rsidRPr="0098597A" w:rsidRDefault="003A69F6" w:rsidP="003A69F6">
      <w:pPr>
        <w:rPr>
          <w:rFonts w:cs="Arial"/>
          <w:lang w:val="en-CA"/>
        </w:rPr>
      </w:pPr>
    </w:p>
    <w:p w14:paraId="32BBF07D" w14:textId="3DC9B358" w:rsidR="003A69F6" w:rsidRPr="0098597A" w:rsidRDefault="003A69F6" w:rsidP="00907785">
      <w:pPr>
        <w:numPr>
          <w:ilvl w:val="0"/>
          <w:numId w:val="1"/>
        </w:numPr>
        <w:ind w:left="0" w:firstLine="0"/>
        <w:rPr>
          <w:rFonts w:cs="Arial"/>
          <w:lang w:val="en-CA"/>
        </w:rPr>
      </w:pPr>
      <w:r w:rsidRPr="0098597A">
        <w:rPr>
          <w:lang w:val="en-CA"/>
        </w:rPr>
        <w:t>The subject lands were part of an urban expansion initiated in 1991</w:t>
      </w:r>
      <w:r w:rsidR="002D5473">
        <w:rPr>
          <w:lang w:val="en-CA"/>
        </w:rPr>
        <w:t>,</w:t>
      </w:r>
      <w:r w:rsidRPr="0098597A">
        <w:rPr>
          <w:lang w:val="en-CA"/>
        </w:rPr>
        <w:t xml:space="preserve"> which required that a secondary plan for Waterdown North along with a Transportation Master Plan be completed for the entire Waterdown Community prior to the development of lands within North Waterdown. </w:t>
      </w:r>
      <w:r w:rsidR="003E7DA4">
        <w:rPr>
          <w:lang w:val="en-CA"/>
        </w:rPr>
        <w:t xml:space="preserve"> </w:t>
      </w:r>
      <w:r w:rsidRPr="0098597A">
        <w:rPr>
          <w:lang w:val="en-CA"/>
        </w:rPr>
        <w:t>The Transportation Master Plan was finalized in 2008 and informed the WNSP.</w:t>
      </w:r>
    </w:p>
    <w:p w14:paraId="2CB3BBA6" w14:textId="77777777" w:rsidR="003A69F6" w:rsidRPr="0098597A" w:rsidRDefault="003A69F6" w:rsidP="003A69F6">
      <w:pPr>
        <w:pStyle w:val="ListParagraph"/>
        <w:rPr>
          <w:rFonts w:cs="Arial"/>
          <w:lang w:val="en-CA"/>
        </w:rPr>
      </w:pPr>
    </w:p>
    <w:p w14:paraId="48F2FBD3" w14:textId="42B8AD19" w:rsidR="003A69F6" w:rsidRPr="0098597A" w:rsidRDefault="003A69F6" w:rsidP="00907785">
      <w:pPr>
        <w:numPr>
          <w:ilvl w:val="0"/>
          <w:numId w:val="1"/>
        </w:numPr>
        <w:ind w:left="0" w:firstLine="0"/>
        <w:rPr>
          <w:rFonts w:cs="Arial"/>
          <w:lang w:val="en-CA"/>
        </w:rPr>
      </w:pPr>
      <w:r w:rsidRPr="0098597A">
        <w:rPr>
          <w:lang w:val="en-CA"/>
        </w:rPr>
        <w:t>Other studies that informed the construct of the WNSP included a comprehensive background study, an issues and opportunities paper and a study to determine the existing condition of the Borer’s Creek Watershed.  To ensure the planning process was fully integrated, three municipal Environmental Assessments were completed relating to Municipal Collector Roads, Water/Wastewater, and a Master Drainage Plan.  Finally, the Waterdown North Urban Design Guidelines were adopted by Council in support of the WNSP.</w:t>
      </w:r>
    </w:p>
    <w:p w14:paraId="36C4E249" w14:textId="77777777" w:rsidR="003A69F6" w:rsidRPr="0098597A" w:rsidRDefault="003A69F6" w:rsidP="003A69F6">
      <w:pPr>
        <w:pStyle w:val="ListParagraph"/>
        <w:rPr>
          <w:rFonts w:cs="Arial"/>
          <w:lang w:val="en-CA"/>
        </w:rPr>
      </w:pPr>
    </w:p>
    <w:p w14:paraId="41D5810F" w14:textId="25815EDF" w:rsidR="003A69F6" w:rsidRPr="0098597A" w:rsidRDefault="003A69F6" w:rsidP="00907785">
      <w:pPr>
        <w:numPr>
          <w:ilvl w:val="0"/>
          <w:numId w:val="1"/>
        </w:numPr>
        <w:ind w:left="0" w:firstLine="0"/>
        <w:rPr>
          <w:rFonts w:cs="Arial"/>
          <w:lang w:val="en-CA"/>
        </w:rPr>
      </w:pPr>
      <w:r w:rsidRPr="0098597A">
        <w:rPr>
          <w:lang w:val="en-CA"/>
        </w:rPr>
        <w:t xml:space="preserve">With the consideration of all the background studies, City Council adopted the WNSP in March 2007.  The WNSP is designed to guide the development of Waterdown North for a period of 20 years as it established land uses, a transportation network, community facilities, infrastructure, and standards for the community.  The </w:t>
      </w:r>
      <w:r w:rsidR="004662EE">
        <w:rPr>
          <w:lang w:val="en-CA"/>
        </w:rPr>
        <w:t>S</w:t>
      </w:r>
      <w:r w:rsidRPr="0098597A">
        <w:rPr>
          <w:lang w:val="en-CA"/>
        </w:rPr>
        <w:t xml:space="preserve">econdary </w:t>
      </w:r>
      <w:r w:rsidR="004662EE">
        <w:rPr>
          <w:lang w:val="en-CA"/>
        </w:rPr>
        <w:lastRenderedPageBreak/>
        <w:t>P</w:t>
      </w:r>
      <w:r w:rsidRPr="0098597A">
        <w:rPr>
          <w:lang w:val="en-CA"/>
        </w:rPr>
        <w:t>lan area is planned to accommodate approximately 2,000 dwelling units and 5,000</w:t>
      </w:r>
      <w:r w:rsidR="00BA640C">
        <w:rPr>
          <w:lang w:val="en-CA"/>
        </w:rPr>
        <w:t> </w:t>
      </w:r>
      <w:r w:rsidRPr="0098597A">
        <w:rPr>
          <w:lang w:val="en-CA"/>
        </w:rPr>
        <w:t>residents along with employment, institutional and commercial uses.  The two high density areas on the north side of North Waterdown Dr</w:t>
      </w:r>
      <w:r w:rsidR="00A11331">
        <w:rPr>
          <w:lang w:val="en-CA"/>
        </w:rPr>
        <w:t>ive</w:t>
      </w:r>
      <w:r w:rsidRPr="0098597A">
        <w:rPr>
          <w:lang w:val="en-CA"/>
        </w:rPr>
        <w:t xml:space="preserve"> were planned in keeping with the policies of the UHOP.</w:t>
      </w:r>
    </w:p>
    <w:p w14:paraId="432F4450" w14:textId="77777777" w:rsidR="003A69F6" w:rsidRPr="0098597A" w:rsidRDefault="003A69F6" w:rsidP="003A69F6">
      <w:pPr>
        <w:pStyle w:val="ListParagraph"/>
        <w:rPr>
          <w:rFonts w:cs="Arial"/>
          <w:lang w:val="en-CA"/>
        </w:rPr>
      </w:pPr>
    </w:p>
    <w:p w14:paraId="590C2D36" w14:textId="2613D102" w:rsidR="003A69F6" w:rsidRPr="0098597A" w:rsidRDefault="003A69F6" w:rsidP="00907785">
      <w:pPr>
        <w:numPr>
          <w:ilvl w:val="0"/>
          <w:numId w:val="1"/>
        </w:numPr>
        <w:ind w:left="0" w:firstLine="0"/>
        <w:rPr>
          <w:rFonts w:cs="Arial"/>
          <w:lang w:val="en-CA"/>
        </w:rPr>
      </w:pPr>
      <w:r w:rsidRPr="0098597A">
        <w:rPr>
          <w:lang w:val="en-CA"/>
        </w:rPr>
        <w:t>Evidence demonstrated that development within the boundaries of the WNSP to date has been in keeping with planning policy and principles found in the Urban Design Guidelines.</w:t>
      </w:r>
    </w:p>
    <w:p w14:paraId="5586B495" w14:textId="77777777" w:rsidR="003A69F6" w:rsidRPr="0098597A" w:rsidRDefault="003A69F6" w:rsidP="003A69F6">
      <w:pPr>
        <w:pStyle w:val="ListParagraph"/>
        <w:rPr>
          <w:rFonts w:cs="Arial"/>
          <w:lang w:val="en-CA"/>
        </w:rPr>
      </w:pPr>
    </w:p>
    <w:p w14:paraId="6146004F" w14:textId="3A8D91A6" w:rsidR="003A69F6" w:rsidRPr="0098597A" w:rsidRDefault="003A69F6" w:rsidP="00907785">
      <w:pPr>
        <w:numPr>
          <w:ilvl w:val="0"/>
          <w:numId w:val="1"/>
        </w:numPr>
        <w:ind w:left="0" w:firstLine="0"/>
        <w:rPr>
          <w:rFonts w:cs="Arial"/>
          <w:lang w:val="en-CA"/>
        </w:rPr>
      </w:pPr>
      <w:r w:rsidRPr="0098597A">
        <w:rPr>
          <w:lang w:val="en-CA"/>
        </w:rPr>
        <w:t>Evidence from the planning witnesses took the Tribunal through the following policy sections: s. 4.2.1</w:t>
      </w:r>
      <w:r w:rsidR="00A11331">
        <w:rPr>
          <w:lang w:val="en-CA"/>
        </w:rPr>
        <w:t xml:space="preserve"> – </w:t>
      </w:r>
      <w:r w:rsidRPr="0098597A">
        <w:rPr>
          <w:lang w:val="en-CA"/>
        </w:rPr>
        <w:t>Principles, s. 4.2.2.1 – Residential Objectives, s. 4.2.4 – Residential Designations, s. 4.2.4.2 – General Residential Policies, and s. 4.2.4.7 – High Density Residential 1 Designation.</w:t>
      </w:r>
    </w:p>
    <w:p w14:paraId="317F99BB" w14:textId="77777777" w:rsidR="003A69F6" w:rsidRPr="0098597A" w:rsidRDefault="003A69F6" w:rsidP="003A69F6">
      <w:pPr>
        <w:pStyle w:val="ListParagraph"/>
        <w:rPr>
          <w:rFonts w:cs="Arial"/>
          <w:lang w:val="en-CA"/>
        </w:rPr>
      </w:pPr>
    </w:p>
    <w:p w14:paraId="1646B44D" w14:textId="25BA6F10" w:rsidR="003A69F6" w:rsidRPr="0098597A" w:rsidRDefault="003A69F6" w:rsidP="00907785">
      <w:pPr>
        <w:numPr>
          <w:ilvl w:val="0"/>
          <w:numId w:val="1"/>
        </w:numPr>
        <w:ind w:left="0" w:firstLine="0"/>
        <w:rPr>
          <w:rFonts w:cs="Arial"/>
          <w:lang w:val="en-CA"/>
        </w:rPr>
      </w:pPr>
      <w:r w:rsidRPr="0098597A">
        <w:rPr>
          <w:lang w:val="en-CA"/>
        </w:rPr>
        <w:t>The subject lands are designated in the WNSP as “High Density Residential 1</w:t>
      </w:r>
      <w:r w:rsidR="00760988">
        <w:rPr>
          <w:lang w:val="en-CA"/>
        </w:rPr>
        <w:t>”</w:t>
      </w:r>
      <w:r w:rsidRPr="0098597A">
        <w:rPr>
          <w:lang w:val="en-CA"/>
        </w:rPr>
        <w:t>, “Natural Open Space” and “Low Density Residential 2.  North Waterdown Dr</w:t>
      </w:r>
      <w:r w:rsidR="00760988">
        <w:rPr>
          <w:lang w:val="en-CA"/>
        </w:rPr>
        <w:t>ive</w:t>
      </w:r>
      <w:r w:rsidRPr="0098597A">
        <w:rPr>
          <w:lang w:val="en-CA"/>
        </w:rPr>
        <w:t xml:space="preserve"> is located south of the subject lands.  The proposed OPA would designate </w:t>
      </w:r>
      <w:proofErr w:type="gramStart"/>
      <w:r w:rsidRPr="0098597A">
        <w:rPr>
          <w:lang w:val="en-CA"/>
        </w:rPr>
        <w:t>all of</w:t>
      </w:r>
      <w:proofErr w:type="gramEnd"/>
      <w:r w:rsidRPr="0098597A">
        <w:rPr>
          <w:lang w:val="en-CA"/>
        </w:rPr>
        <w:t xml:space="preserve"> the subject lands </w:t>
      </w:r>
      <w:r w:rsidR="00760988">
        <w:rPr>
          <w:lang w:val="en-CA"/>
        </w:rPr>
        <w:t>“</w:t>
      </w:r>
      <w:r w:rsidRPr="0098597A">
        <w:rPr>
          <w:lang w:val="en-CA"/>
        </w:rPr>
        <w:t>Medium Density Residential 3</w:t>
      </w:r>
      <w:r w:rsidR="00760988">
        <w:rPr>
          <w:lang w:val="en-CA"/>
        </w:rPr>
        <w:t>”</w:t>
      </w:r>
      <w:r w:rsidRPr="0098597A">
        <w:rPr>
          <w:lang w:val="en-CA"/>
        </w:rPr>
        <w:t>.</w:t>
      </w:r>
    </w:p>
    <w:p w14:paraId="0022E094" w14:textId="77777777" w:rsidR="003A69F6" w:rsidRPr="0098597A" w:rsidRDefault="003A69F6" w:rsidP="003A69F6">
      <w:pPr>
        <w:pStyle w:val="ListParagraph"/>
        <w:rPr>
          <w:rFonts w:cs="Arial"/>
          <w:lang w:val="en-CA"/>
        </w:rPr>
      </w:pPr>
    </w:p>
    <w:p w14:paraId="3D6C55C3" w14:textId="3630F3C9" w:rsidR="003A69F6" w:rsidRPr="0098597A" w:rsidRDefault="003A69F6" w:rsidP="00907785">
      <w:pPr>
        <w:numPr>
          <w:ilvl w:val="0"/>
          <w:numId w:val="1"/>
        </w:numPr>
        <w:ind w:left="0" w:firstLine="0"/>
        <w:rPr>
          <w:rFonts w:cs="Arial"/>
          <w:lang w:val="en-CA"/>
        </w:rPr>
      </w:pPr>
      <w:r w:rsidRPr="0098597A">
        <w:rPr>
          <w:lang w:val="en-CA"/>
        </w:rPr>
        <w:t>Mr. Corbett is of the opinion that the proposal conforms to the WNSP for the following reasons:</w:t>
      </w:r>
    </w:p>
    <w:p w14:paraId="53481C72" w14:textId="10781111" w:rsidR="003A69F6" w:rsidRPr="0098597A" w:rsidRDefault="003A69F6" w:rsidP="003A69F6">
      <w:pPr>
        <w:pStyle w:val="ListParagraph"/>
        <w:rPr>
          <w:rFonts w:cs="Arial"/>
          <w:lang w:val="en-CA"/>
        </w:rPr>
      </w:pPr>
    </w:p>
    <w:p w14:paraId="3458C526" w14:textId="6A7E1EE2" w:rsidR="003A69F6" w:rsidRPr="0098597A" w:rsidRDefault="003A69F6" w:rsidP="00845E55">
      <w:pPr>
        <w:pStyle w:val="ListParagraph"/>
        <w:numPr>
          <w:ilvl w:val="1"/>
          <w:numId w:val="1"/>
        </w:numPr>
        <w:spacing w:after="120"/>
        <w:ind w:hanging="720"/>
        <w:rPr>
          <w:lang w:val="en-CA"/>
        </w:rPr>
      </w:pPr>
      <w:bookmarkStart w:id="6" w:name="_Hlk84945527"/>
      <w:r w:rsidRPr="0098597A">
        <w:rPr>
          <w:lang w:val="en-CA"/>
        </w:rPr>
        <w:t xml:space="preserve">it will create a safe functional and attractive residential neighbourhood and a continuous built form consistent with the character of the community that exists to the </w:t>
      </w:r>
      <w:proofErr w:type="gramStart"/>
      <w:r w:rsidRPr="0098597A">
        <w:rPr>
          <w:lang w:val="en-CA"/>
        </w:rPr>
        <w:t>south</w:t>
      </w:r>
      <w:r w:rsidR="00923FD2">
        <w:rPr>
          <w:lang w:val="en-CA"/>
        </w:rPr>
        <w:t>;</w:t>
      </w:r>
      <w:proofErr w:type="gramEnd"/>
    </w:p>
    <w:p w14:paraId="4C900963" w14:textId="0373A43D" w:rsidR="003A69F6" w:rsidRPr="0098597A" w:rsidRDefault="003A69F6" w:rsidP="00845E55">
      <w:pPr>
        <w:pStyle w:val="ListParagraph"/>
        <w:numPr>
          <w:ilvl w:val="1"/>
          <w:numId w:val="1"/>
        </w:numPr>
        <w:spacing w:after="120"/>
        <w:ind w:hanging="720"/>
        <w:rPr>
          <w:lang w:val="en-CA"/>
        </w:rPr>
      </w:pPr>
      <w:r w:rsidRPr="0098597A">
        <w:rPr>
          <w:lang w:val="en-CA"/>
        </w:rPr>
        <w:t xml:space="preserve">a mix of ground related housing types will be provided in a compact urban form with an appropriate density and help deliver a complete </w:t>
      </w:r>
      <w:proofErr w:type="gramStart"/>
      <w:r w:rsidRPr="0098597A">
        <w:rPr>
          <w:lang w:val="en-CA"/>
        </w:rPr>
        <w:t>community</w:t>
      </w:r>
      <w:r w:rsidR="00923FD2">
        <w:rPr>
          <w:lang w:val="en-CA"/>
        </w:rPr>
        <w:t>;</w:t>
      </w:r>
      <w:proofErr w:type="gramEnd"/>
    </w:p>
    <w:p w14:paraId="4CC4F8D9" w14:textId="06706D5D" w:rsidR="003A69F6" w:rsidRPr="0098597A" w:rsidRDefault="003A69F6" w:rsidP="00845E55">
      <w:pPr>
        <w:pStyle w:val="ListParagraph"/>
        <w:numPr>
          <w:ilvl w:val="1"/>
          <w:numId w:val="1"/>
        </w:numPr>
        <w:spacing w:after="120"/>
        <w:ind w:hanging="720"/>
        <w:rPr>
          <w:lang w:val="en-CA"/>
        </w:rPr>
      </w:pPr>
      <w:r w:rsidRPr="0098597A">
        <w:rPr>
          <w:lang w:val="en-CA"/>
        </w:rPr>
        <w:t xml:space="preserve">both the existing </w:t>
      </w:r>
      <w:r w:rsidR="00923FD2">
        <w:rPr>
          <w:lang w:val="en-CA"/>
        </w:rPr>
        <w:t>“</w:t>
      </w:r>
      <w:r w:rsidRPr="0098597A">
        <w:rPr>
          <w:lang w:val="en-CA"/>
        </w:rPr>
        <w:t>High Density Residential 1</w:t>
      </w:r>
      <w:r w:rsidR="00923FD2">
        <w:rPr>
          <w:lang w:val="en-CA"/>
        </w:rPr>
        <w:t>”</w:t>
      </w:r>
      <w:r w:rsidRPr="0098597A">
        <w:rPr>
          <w:lang w:val="en-CA"/>
        </w:rPr>
        <w:t xml:space="preserve"> and proposed </w:t>
      </w:r>
      <w:r w:rsidR="00923FD2">
        <w:rPr>
          <w:lang w:val="en-CA"/>
        </w:rPr>
        <w:t>“</w:t>
      </w:r>
      <w:r w:rsidRPr="0098597A">
        <w:rPr>
          <w:lang w:val="en-CA"/>
        </w:rPr>
        <w:t>Medium Density Residential 3</w:t>
      </w:r>
      <w:r w:rsidR="00923FD2">
        <w:rPr>
          <w:lang w:val="en-CA"/>
        </w:rPr>
        <w:t>”</w:t>
      </w:r>
      <w:r w:rsidRPr="0098597A">
        <w:rPr>
          <w:lang w:val="en-CA"/>
        </w:rPr>
        <w:t xml:space="preserve"> designations support townhomes as well as other forms of multiple </w:t>
      </w:r>
      <w:proofErr w:type="gramStart"/>
      <w:r w:rsidRPr="0098597A">
        <w:rPr>
          <w:lang w:val="en-CA"/>
        </w:rPr>
        <w:t>dwellings</w:t>
      </w:r>
      <w:r w:rsidR="00923FD2">
        <w:rPr>
          <w:lang w:val="en-CA"/>
        </w:rPr>
        <w:t>;</w:t>
      </w:r>
      <w:proofErr w:type="gramEnd"/>
    </w:p>
    <w:p w14:paraId="3B8B8D86" w14:textId="22203AEA" w:rsidR="003A69F6" w:rsidRPr="0098597A" w:rsidRDefault="003A69F6" w:rsidP="00845E55">
      <w:pPr>
        <w:pStyle w:val="ListParagraph"/>
        <w:numPr>
          <w:ilvl w:val="1"/>
          <w:numId w:val="1"/>
        </w:numPr>
        <w:spacing w:after="120"/>
        <w:ind w:hanging="720"/>
        <w:rPr>
          <w:lang w:val="en-CA"/>
        </w:rPr>
      </w:pPr>
      <w:r w:rsidRPr="0098597A">
        <w:rPr>
          <w:lang w:val="en-CA"/>
        </w:rPr>
        <w:lastRenderedPageBreak/>
        <w:t xml:space="preserve">a 15-storey height does not conform to the existing built form and remaining in a </w:t>
      </w:r>
      <w:proofErr w:type="gramStart"/>
      <w:r w:rsidRPr="0098597A">
        <w:rPr>
          <w:lang w:val="en-CA"/>
        </w:rPr>
        <w:t>High Density</w:t>
      </w:r>
      <w:proofErr w:type="gramEnd"/>
      <w:r w:rsidRPr="0098597A">
        <w:rPr>
          <w:lang w:val="en-CA"/>
        </w:rPr>
        <w:t xml:space="preserve"> designation may not provide immediate housing opportunities</w:t>
      </w:r>
      <w:r w:rsidR="00923FD2">
        <w:rPr>
          <w:lang w:val="en-CA"/>
        </w:rPr>
        <w:t>,</w:t>
      </w:r>
      <w:r w:rsidRPr="0098597A">
        <w:rPr>
          <w:lang w:val="en-CA"/>
        </w:rPr>
        <w:t xml:space="preserve"> whereas the proposal is more congruent with the area and provides different unit types and housing opportunities</w:t>
      </w:r>
      <w:r w:rsidR="00923FD2">
        <w:rPr>
          <w:lang w:val="en-CA"/>
        </w:rPr>
        <w:t>;</w:t>
      </w:r>
    </w:p>
    <w:bookmarkEnd w:id="6"/>
    <w:p w14:paraId="73C12EB6" w14:textId="28578E05" w:rsidR="003A69F6" w:rsidRPr="0098597A" w:rsidRDefault="003A69F6" w:rsidP="00845E55">
      <w:pPr>
        <w:pStyle w:val="ListParagraph"/>
        <w:numPr>
          <w:ilvl w:val="1"/>
          <w:numId w:val="1"/>
        </w:numPr>
        <w:spacing w:after="120"/>
        <w:ind w:hanging="720"/>
        <w:rPr>
          <w:lang w:val="en-CA"/>
        </w:rPr>
      </w:pPr>
      <w:r w:rsidRPr="0098597A">
        <w:rPr>
          <w:lang w:val="en-CA"/>
        </w:rPr>
        <w:t xml:space="preserve">the development area is reduced to meet Provincial and City policies related to the maintenance and enhancement of a Provincially Significant Wetland and existing wildlife habitats. </w:t>
      </w:r>
      <w:r w:rsidR="00923FD2">
        <w:rPr>
          <w:lang w:val="en-CA"/>
        </w:rPr>
        <w:t xml:space="preserve"> </w:t>
      </w:r>
      <w:r w:rsidRPr="0098597A">
        <w:rPr>
          <w:lang w:val="en-CA"/>
        </w:rPr>
        <w:t xml:space="preserve">Therefore, it </w:t>
      </w:r>
      <w:r w:rsidR="006002E4">
        <w:rPr>
          <w:lang w:val="en-CA"/>
        </w:rPr>
        <w:t xml:space="preserve">is </w:t>
      </w:r>
      <w:r w:rsidRPr="0098597A">
        <w:rPr>
          <w:lang w:val="en-CA"/>
        </w:rPr>
        <w:t>more conducive to a medium density rather than a high</w:t>
      </w:r>
      <w:r w:rsidR="00923FD2">
        <w:rPr>
          <w:lang w:val="en-CA"/>
        </w:rPr>
        <w:t>-</w:t>
      </w:r>
      <w:r w:rsidRPr="0098597A">
        <w:rPr>
          <w:lang w:val="en-CA"/>
        </w:rPr>
        <w:t xml:space="preserve">rise built form. </w:t>
      </w:r>
      <w:r w:rsidR="00923FD2">
        <w:rPr>
          <w:lang w:val="en-CA"/>
        </w:rPr>
        <w:t xml:space="preserve"> </w:t>
      </w:r>
      <w:r w:rsidRPr="0098597A">
        <w:rPr>
          <w:lang w:val="en-CA"/>
        </w:rPr>
        <w:t>The subject lands are not physically appropriate for high density development and will provide a mix of housing types that are more compatible to the character of the existing community</w:t>
      </w:r>
      <w:r w:rsidR="00923FD2">
        <w:rPr>
          <w:lang w:val="en-CA"/>
        </w:rPr>
        <w:t>;</w:t>
      </w:r>
      <w:r w:rsidR="004E2D71">
        <w:rPr>
          <w:lang w:val="en-CA"/>
        </w:rPr>
        <w:t xml:space="preserve"> and</w:t>
      </w:r>
    </w:p>
    <w:p w14:paraId="5529DE92" w14:textId="76A6A636" w:rsidR="003A69F6" w:rsidRPr="0098597A" w:rsidRDefault="003A69F6" w:rsidP="003A69F6">
      <w:pPr>
        <w:pStyle w:val="ListParagraph"/>
        <w:numPr>
          <w:ilvl w:val="1"/>
          <w:numId w:val="1"/>
        </w:numPr>
        <w:ind w:hanging="720"/>
        <w:rPr>
          <w:lang w:val="en-CA"/>
        </w:rPr>
      </w:pPr>
      <w:r w:rsidRPr="0098597A">
        <w:rPr>
          <w:lang w:val="en-CA"/>
        </w:rPr>
        <w:t xml:space="preserve">the </w:t>
      </w:r>
      <w:r w:rsidR="00923FD2">
        <w:rPr>
          <w:lang w:val="en-CA"/>
        </w:rPr>
        <w:t>“</w:t>
      </w:r>
      <w:r w:rsidRPr="0098597A">
        <w:rPr>
          <w:lang w:val="en-CA"/>
        </w:rPr>
        <w:t>High Density Residential 1</w:t>
      </w:r>
      <w:r w:rsidR="00923FD2">
        <w:rPr>
          <w:lang w:val="en-CA"/>
        </w:rPr>
        <w:t>”</w:t>
      </w:r>
      <w:r w:rsidRPr="0098597A">
        <w:rPr>
          <w:lang w:val="en-CA"/>
        </w:rPr>
        <w:t xml:space="preserve"> designation permits townhouse dwellings.  Hence, the OPA only</w:t>
      </w:r>
      <w:r w:rsidR="00942884">
        <w:rPr>
          <w:lang w:val="en-CA"/>
        </w:rPr>
        <w:t xml:space="preserve"> makes a </w:t>
      </w:r>
      <w:r w:rsidRPr="0098597A">
        <w:rPr>
          <w:lang w:val="en-CA"/>
        </w:rPr>
        <w:t>modif</w:t>
      </w:r>
      <w:r w:rsidR="00942884">
        <w:rPr>
          <w:lang w:val="en-CA"/>
        </w:rPr>
        <w:t>ication to</w:t>
      </w:r>
      <w:r w:rsidRPr="0098597A">
        <w:rPr>
          <w:lang w:val="en-CA"/>
        </w:rPr>
        <w:t xml:space="preserve"> the density </w:t>
      </w:r>
      <w:r w:rsidR="004E1DC0" w:rsidRPr="0098597A">
        <w:rPr>
          <w:lang w:val="en-CA"/>
        </w:rPr>
        <w:t>provisions</w:t>
      </w:r>
      <w:r w:rsidR="004E1DC0">
        <w:rPr>
          <w:lang w:val="en-CA"/>
        </w:rPr>
        <w:t xml:space="preserve"> to be</w:t>
      </w:r>
      <w:r w:rsidRPr="0098597A">
        <w:rPr>
          <w:lang w:val="en-CA"/>
        </w:rPr>
        <w:t xml:space="preserve"> in keeping with the proposal.  </w:t>
      </w:r>
      <w:r w:rsidR="004E2D71" w:rsidRPr="0098597A">
        <w:rPr>
          <w:lang w:val="en-CA"/>
        </w:rPr>
        <w:t>Mr. Corbett</w:t>
      </w:r>
      <w:r w:rsidR="004E2D71">
        <w:rPr>
          <w:lang w:val="en-CA"/>
        </w:rPr>
        <w:t>’s</w:t>
      </w:r>
      <w:r w:rsidRPr="0098597A">
        <w:rPr>
          <w:lang w:val="en-CA"/>
        </w:rPr>
        <w:t xml:space="preserve"> evidence demonstrated that the proposed townhouse development will accommodate almost the same residential population when compared with the construction of a multi-storey building.  Both are significantly higher than “the City’s minimum density target of 70 persons and jobs per hectare”.</w:t>
      </w:r>
    </w:p>
    <w:p w14:paraId="3FD8F04B" w14:textId="77777777" w:rsidR="003A69F6" w:rsidRPr="0098597A" w:rsidRDefault="003A69F6" w:rsidP="003A69F6">
      <w:pPr>
        <w:pStyle w:val="ListParagraph"/>
        <w:rPr>
          <w:rFonts w:cs="Arial"/>
          <w:lang w:val="en-CA"/>
        </w:rPr>
      </w:pPr>
    </w:p>
    <w:p w14:paraId="0F052423" w14:textId="2C358496" w:rsidR="003A69F6" w:rsidRPr="0098597A" w:rsidRDefault="00E36772" w:rsidP="00907785">
      <w:pPr>
        <w:numPr>
          <w:ilvl w:val="0"/>
          <w:numId w:val="1"/>
        </w:numPr>
        <w:ind w:left="0" w:firstLine="0"/>
        <w:rPr>
          <w:rFonts w:cs="Arial"/>
          <w:lang w:val="en-CA"/>
        </w:rPr>
      </w:pPr>
      <w:r w:rsidRPr="0098597A">
        <w:rPr>
          <w:lang w:val="en-CA"/>
        </w:rPr>
        <w:t xml:space="preserve">Mr. </w:t>
      </w:r>
      <w:proofErr w:type="spellStart"/>
      <w:r w:rsidRPr="0098597A">
        <w:rPr>
          <w:lang w:val="en-CA"/>
        </w:rPr>
        <w:t>Sajecki</w:t>
      </w:r>
      <w:proofErr w:type="spellEnd"/>
      <w:r w:rsidRPr="0098597A">
        <w:rPr>
          <w:lang w:val="en-CA"/>
        </w:rPr>
        <w:t xml:space="preserve"> opined that the proposal does not conform to the WNSP for the following reasons:</w:t>
      </w:r>
    </w:p>
    <w:p w14:paraId="1C2C45A3" w14:textId="69783B34" w:rsidR="00E36772" w:rsidRPr="0098597A" w:rsidRDefault="00E36772" w:rsidP="00E36772">
      <w:pPr>
        <w:rPr>
          <w:lang w:val="en-CA"/>
        </w:rPr>
      </w:pPr>
    </w:p>
    <w:p w14:paraId="7E2FE93B" w14:textId="3EED2A06" w:rsidR="00E36772" w:rsidRPr="0098597A" w:rsidRDefault="00E36772" w:rsidP="00845E55">
      <w:pPr>
        <w:pStyle w:val="ListParagraph"/>
        <w:numPr>
          <w:ilvl w:val="1"/>
          <w:numId w:val="1"/>
        </w:numPr>
        <w:spacing w:after="120"/>
        <w:ind w:hanging="720"/>
        <w:rPr>
          <w:lang w:val="en-CA"/>
        </w:rPr>
      </w:pPr>
      <w:r w:rsidRPr="0098597A">
        <w:rPr>
          <w:lang w:val="en-CA"/>
        </w:rPr>
        <w:t>a hierarchy of residential densities w</w:t>
      </w:r>
      <w:r w:rsidR="00495F16">
        <w:rPr>
          <w:lang w:val="en-CA"/>
        </w:rPr>
        <w:t>as</w:t>
      </w:r>
      <w:r w:rsidRPr="0098597A">
        <w:rPr>
          <w:lang w:val="en-CA"/>
        </w:rPr>
        <w:t xml:space="preserve"> established in a comprehensive manner with </w:t>
      </w:r>
      <w:r w:rsidR="004662EE">
        <w:rPr>
          <w:lang w:val="en-CA"/>
        </w:rPr>
        <w:t>h</w:t>
      </w:r>
      <w:r w:rsidRPr="0098597A">
        <w:rPr>
          <w:lang w:val="en-CA"/>
        </w:rPr>
        <w:t xml:space="preserve">igh </w:t>
      </w:r>
      <w:r w:rsidR="004662EE">
        <w:rPr>
          <w:lang w:val="en-CA"/>
        </w:rPr>
        <w:t>d</w:t>
      </w:r>
      <w:r w:rsidRPr="0098597A">
        <w:rPr>
          <w:lang w:val="en-CA"/>
        </w:rPr>
        <w:t xml:space="preserve">ensity </w:t>
      </w:r>
      <w:r w:rsidR="006B01F6">
        <w:rPr>
          <w:lang w:val="en-CA"/>
        </w:rPr>
        <w:t>d</w:t>
      </w:r>
      <w:r w:rsidRPr="0098597A">
        <w:rPr>
          <w:lang w:val="en-CA"/>
        </w:rPr>
        <w:t xml:space="preserve">evelopments being expected to achieve between 100 – 125 units per net residential hectare.  Most of the low and medium density areas have been developed consistent with the Secondary Plan.  There are only two designated </w:t>
      </w:r>
      <w:proofErr w:type="gramStart"/>
      <w:r w:rsidRPr="0098597A">
        <w:rPr>
          <w:lang w:val="en-CA"/>
        </w:rPr>
        <w:t>high density</w:t>
      </w:r>
      <w:proofErr w:type="gramEnd"/>
      <w:r w:rsidRPr="0098597A">
        <w:rPr>
          <w:lang w:val="en-CA"/>
        </w:rPr>
        <w:t xml:space="preserve"> areas identified in the WNSP.  Amending the subject lands to medium density presents a risk that the overall density targets of the UHOP may not be met and the remaining </w:t>
      </w:r>
      <w:r w:rsidR="00B07626">
        <w:rPr>
          <w:lang w:val="en-CA"/>
        </w:rPr>
        <w:t>h</w:t>
      </w:r>
      <w:r w:rsidRPr="0098597A">
        <w:rPr>
          <w:lang w:val="en-CA"/>
        </w:rPr>
        <w:t xml:space="preserve">igh </w:t>
      </w:r>
      <w:r w:rsidR="00B07626">
        <w:rPr>
          <w:lang w:val="en-CA"/>
        </w:rPr>
        <w:t>d</w:t>
      </w:r>
      <w:r w:rsidRPr="0098597A">
        <w:rPr>
          <w:lang w:val="en-CA"/>
        </w:rPr>
        <w:t xml:space="preserve">ensity </w:t>
      </w:r>
      <w:r w:rsidR="00B07626">
        <w:rPr>
          <w:lang w:val="en-CA"/>
        </w:rPr>
        <w:t>a</w:t>
      </w:r>
      <w:r w:rsidRPr="0098597A">
        <w:rPr>
          <w:lang w:val="en-CA"/>
        </w:rPr>
        <w:t xml:space="preserve">reas in the WNSP may not be able to </w:t>
      </w:r>
      <w:r w:rsidRPr="0098597A">
        <w:rPr>
          <w:lang w:val="en-CA"/>
        </w:rPr>
        <w:lastRenderedPageBreak/>
        <w:t>meet the minimum density target requirements across the Secondary Plan area</w:t>
      </w:r>
      <w:r w:rsidR="004662EE">
        <w:rPr>
          <w:lang w:val="en-CA"/>
        </w:rPr>
        <w:t>;</w:t>
      </w:r>
    </w:p>
    <w:p w14:paraId="0F136796" w14:textId="2B71EC71" w:rsidR="00E36772" w:rsidRPr="0098597A" w:rsidRDefault="00E36772" w:rsidP="00845E55">
      <w:pPr>
        <w:pStyle w:val="ListParagraph"/>
        <w:numPr>
          <w:ilvl w:val="1"/>
          <w:numId w:val="1"/>
        </w:numPr>
        <w:spacing w:after="120"/>
        <w:ind w:hanging="720"/>
        <w:rPr>
          <w:lang w:val="en-CA"/>
        </w:rPr>
      </w:pPr>
      <w:r w:rsidRPr="0098597A">
        <w:rPr>
          <w:lang w:val="en-CA"/>
        </w:rPr>
        <w:t xml:space="preserve">a key principle is the “achievement of residential and employment densities that meet provincial policy requirements and support future transit networks”.  The Secondary Plan is designed to meet the minimum density targets </w:t>
      </w:r>
      <w:r w:rsidR="003649A9">
        <w:rPr>
          <w:lang w:val="en-CA"/>
        </w:rPr>
        <w:t>in,</w:t>
      </w:r>
      <w:r w:rsidRPr="0098597A">
        <w:rPr>
          <w:lang w:val="en-CA"/>
        </w:rPr>
        <w:t xml:space="preserve"> and support housing choice policies of</w:t>
      </w:r>
      <w:r w:rsidR="003649A9">
        <w:rPr>
          <w:lang w:val="en-CA"/>
        </w:rPr>
        <w:t>,</w:t>
      </w:r>
      <w:r w:rsidRPr="0098597A">
        <w:rPr>
          <w:lang w:val="en-CA"/>
        </w:rPr>
        <w:t xml:space="preserve"> the Growth Plan, UHOP and the WNSP.  By lowering the minimum densities, the proposal does not conform to either of these policy documents. </w:t>
      </w:r>
      <w:r w:rsidR="00B07626">
        <w:rPr>
          <w:lang w:val="en-CA"/>
        </w:rPr>
        <w:t xml:space="preserve"> </w:t>
      </w:r>
      <w:r w:rsidRPr="0098597A">
        <w:rPr>
          <w:lang w:val="en-CA"/>
        </w:rPr>
        <w:t xml:space="preserve">Proposed developments need to meet the minimum density </w:t>
      </w:r>
      <w:proofErr w:type="gramStart"/>
      <w:r w:rsidRPr="0098597A">
        <w:rPr>
          <w:lang w:val="en-CA"/>
        </w:rPr>
        <w:t>targets</w:t>
      </w:r>
      <w:r w:rsidR="00B07626">
        <w:rPr>
          <w:lang w:val="en-CA"/>
        </w:rPr>
        <w:t>;</w:t>
      </w:r>
      <w:proofErr w:type="gramEnd"/>
    </w:p>
    <w:p w14:paraId="76798F60" w14:textId="4C8870BC" w:rsidR="00E36772" w:rsidRPr="0098597A" w:rsidRDefault="00E36772" w:rsidP="00845E55">
      <w:pPr>
        <w:pStyle w:val="ListParagraph"/>
        <w:numPr>
          <w:ilvl w:val="1"/>
          <w:numId w:val="1"/>
        </w:numPr>
        <w:spacing w:after="120"/>
        <w:ind w:hanging="720"/>
        <w:rPr>
          <w:lang w:val="en-CA"/>
        </w:rPr>
      </w:pPr>
      <w:r w:rsidRPr="0098597A">
        <w:rPr>
          <w:lang w:val="en-CA"/>
        </w:rPr>
        <w:t xml:space="preserve">most of the WNSP has been developed with single and semi-detached dwellings and townhomes.  </w:t>
      </w:r>
      <w:r w:rsidR="00524885">
        <w:rPr>
          <w:lang w:val="en-CA"/>
        </w:rPr>
        <w:t>A</w:t>
      </w:r>
      <w:r w:rsidRPr="0098597A">
        <w:rPr>
          <w:lang w:val="en-CA"/>
        </w:rPr>
        <w:t xml:space="preserve">dding stacked townhomes to the mix does not provide the range and mix of housing that could be achieved with a building form consistent with high density development.  Hence the proposal compromises the goal of achieving complete </w:t>
      </w:r>
      <w:proofErr w:type="gramStart"/>
      <w:r w:rsidRPr="0098597A">
        <w:rPr>
          <w:lang w:val="en-CA"/>
        </w:rPr>
        <w:t>communities</w:t>
      </w:r>
      <w:r w:rsidR="00B07626">
        <w:rPr>
          <w:lang w:val="en-CA"/>
        </w:rPr>
        <w:t>;</w:t>
      </w:r>
      <w:proofErr w:type="gramEnd"/>
    </w:p>
    <w:p w14:paraId="307E4452" w14:textId="11C6926E" w:rsidR="00E36772" w:rsidRPr="0098597A" w:rsidRDefault="00E36772" w:rsidP="00845E55">
      <w:pPr>
        <w:pStyle w:val="ListParagraph"/>
        <w:numPr>
          <w:ilvl w:val="1"/>
          <w:numId w:val="1"/>
        </w:numPr>
        <w:spacing w:after="120"/>
        <w:ind w:hanging="720"/>
        <w:rPr>
          <w:lang w:val="en-CA"/>
        </w:rPr>
      </w:pPr>
      <w:r w:rsidRPr="0098597A">
        <w:rPr>
          <w:lang w:val="en-CA"/>
        </w:rPr>
        <w:t>High density housing forms are often more suited to single person households, seniors, people with disabilities, and those that cannot afford a larger dwelling.  Complete community objectives are compromised when an apartment housing form is not provided</w:t>
      </w:r>
      <w:r w:rsidR="00B07626">
        <w:rPr>
          <w:lang w:val="en-CA"/>
        </w:rPr>
        <w:t>; and</w:t>
      </w:r>
    </w:p>
    <w:p w14:paraId="770FCDBC" w14:textId="3D65AD82" w:rsidR="00E36772" w:rsidRPr="0098597A" w:rsidRDefault="00E36772" w:rsidP="00E36772">
      <w:pPr>
        <w:pStyle w:val="ListParagraph"/>
        <w:numPr>
          <w:ilvl w:val="1"/>
          <w:numId w:val="1"/>
        </w:numPr>
        <w:ind w:hanging="720"/>
        <w:rPr>
          <w:lang w:val="en-CA"/>
        </w:rPr>
      </w:pPr>
      <w:r w:rsidRPr="0098597A">
        <w:rPr>
          <w:lang w:val="en-CA"/>
        </w:rPr>
        <w:t xml:space="preserve">Provincial planning documents direct the City to establish minimum density targets within built up areas.  The City implemented this policy direction on a comprehensive basis with the adoption of the WNSP. </w:t>
      </w:r>
      <w:r w:rsidR="00B07626">
        <w:rPr>
          <w:lang w:val="en-CA"/>
        </w:rPr>
        <w:t xml:space="preserve"> </w:t>
      </w:r>
      <w:r w:rsidRPr="0098597A">
        <w:rPr>
          <w:lang w:val="en-CA"/>
        </w:rPr>
        <w:t xml:space="preserve">Making site specific changes to this urban structure results in: not providing a housing alternative that serves a segment of the current and future population; risks </w:t>
      </w:r>
      <w:r w:rsidR="001E26AE">
        <w:rPr>
          <w:lang w:val="en-CA"/>
        </w:rPr>
        <w:t xml:space="preserve">to </w:t>
      </w:r>
      <w:r w:rsidRPr="0098597A">
        <w:rPr>
          <w:lang w:val="en-CA"/>
        </w:rPr>
        <w:t>the provision of much needed affordable housing</w:t>
      </w:r>
      <w:r w:rsidR="00B07626">
        <w:rPr>
          <w:lang w:val="en-CA"/>
        </w:rPr>
        <w:t>;</w:t>
      </w:r>
      <w:r w:rsidRPr="0098597A">
        <w:rPr>
          <w:lang w:val="en-CA"/>
        </w:rPr>
        <w:t xml:space="preserve"> </w:t>
      </w:r>
      <w:r w:rsidR="00336826">
        <w:rPr>
          <w:lang w:val="en-CA"/>
        </w:rPr>
        <w:t xml:space="preserve">the </w:t>
      </w:r>
      <w:r w:rsidRPr="0098597A">
        <w:rPr>
          <w:lang w:val="en-CA"/>
        </w:rPr>
        <w:t>inefficient use of existing and planned infrastructure</w:t>
      </w:r>
      <w:r w:rsidR="00336826">
        <w:rPr>
          <w:lang w:val="en-CA"/>
        </w:rPr>
        <w:t xml:space="preserve">; </w:t>
      </w:r>
      <w:r w:rsidRPr="0098597A">
        <w:rPr>
          <w:lang w:val="en-CA"/>
        </w:rPr>
        <w:t xml:space="preserve"> and fewer housing options which may constrain the ability of segment of the population to reside in the City at certain stages of their life.</w:t>
      </w:r>
    </w:p>
    <w:p w14:paraId="774F5302" w14:textId="6423F2D0" w:rsidR="00845E55" w:rsidRDefault="00845E55" w:rsidP="00E36772">
      <w:pPr>
        <w:rPr>
          <w:lang w:val="en-CA"/>
        </w:rPr>
      </w:pPr>
    </w:p>
    <w:p w14:paraId="5227007C" w14:textId="77777777" w:rsidR="003D63B6" w:rsidRPr="0098597A" w:rsidRDefault="003D63B6" w:rsidP="00E36772">
      <w:pPr>
        <w:rPr>
          <w:lang w:val="en-CA"/>
        </w:rPr>
      </w:pPr>
    </w:p>
    <w:p w14:paraId="301745CF" w14:textId="51C49514" w:rsidR="00E36772" w:rsidRPr="0098597A" w:rsidRDefault="00E36772" w:rsidP="00E36772">
      <w:pPr>
        <w:rPr>
          <w:lang w:val="en-CA"/>
        </w:rPr>
      </w:pPr>
      <w:r w:rsidRPr="0098597A">
        <w:rPr>
          <w:b/>
          <w:lang w:val="en-CA"/>
        </w:rPr>
        <w:lastRenderedPageBreak/>
        <w:t>URBAN DESIGN OFFICIAL PLAN RELATED POLICY</w:t>
      </w:r>
    </w:p>
    <w:p w14:paraId="682922FC" w14:textId="77777777" w:rsidR="00E36772" w:rsidRPr="0098597A" w:rsidRDefault="00E36772" w:rsidP="00E36772">
      <w:pPr>
        <w:rPr>
          <w:rFonts w:cs="Arial"/>
          <w:lang w:val="en-CA"/>
        </w:rPr>
      </w:pPr>
    </w:p>
    <w:p w14:paraId="0D26FFF1" w14:textId="1A099AEC" w:rsidR="00E36772" w:rsidRPr="0098597A" w:rsidRDefault="00E36772" w:rsidP="00907785">
      <w:pPr>
        <w:numPr>
          <w:ilvl w:val="0"/>
          <w:numId w:val="1"/>
        </w:numPr>
        <w:ind w:left="0" w:firstLine="0"/>
        <w:rPr>
          <w:rFonts w:cs="Arial"/>
          <w:lang w:val="en-CA"/>
        </w:rPr>
      </w:pPr>
      <w:r w:rsidRPr="0098597A">
        <w:rPr>
          <w:lang w:val="en-CA"/>
        </w:rPr>
        <w:t xml:space="preserve">The Tribunal heard detailed urban design evidence from </w:t>
      </w:r>
      <w:r w:rsidR="00587886">
        <w:rPr>
          <w:lang w:val="en-CA"/>
        </w:rPr>
        <w:t>Mr.</w:t>
      </w:r>
      <w:r w:rsidR="00587886" w:rsidRPr="0098597A">
        <w:rPr>
          <w:lang w:val="en-CA"/>
        </w:rPr>
        <w:t xml:space="preserve"> </w:t>
      </w:r>
      <w:r w:rsidRPr="0098597A">
        <w:rPr>
          <w:lang w:val="en-CA"/>
        </w:rPr>
        <w:t xml:space="preserve">Richard for the Appellant and </w:t>
      </w:r>
      <w:r w:rsidR="00587886">
        <w:rPr>
          <w:lang w:val="en-CA"/>
        </w:rPr>
        <w:t>Mr.</w:t>
      </w:r>
      <w:r w:rsidR="00587886" w:rsidRPr="0098597A">
        <w:rPr>
          <w:lang w:val="en-CA"/>
        </w:rPr>
        <w:t xml:space="preserve"> </w:t>
      </w:r>
      <w:r w:rsidRPr="0098597A">
        <w:rPr>
          <w:lang w:val="en-CA"/>
        </w:rPr>
        <w:t>Gomez-Palacio for the City regarding the adequacy of the proposal’s design when evaluated against relevant planning policy.  It proved a challenge not to stray into those matters related to a more detailed Site Plan Control level of analysis not being adjudicated as part of this proceeding.  The evidence of both urban designers is generally related to the UHOP and the WNSP.  It is worthy of note that the Mr. Richard’s firm</w:t>
      </w:r>
      <w:r w:rsidR="00587886">
        <w:rPr>
          <w:lang w:val="en-CA"/>
        </w:rPr>
        <w:t>,</w:t>
      </w:r>
      <w:r w:rsidRPr="0098597A">
        <w:rPr>
          <w:lang w:val="en-CA"/>
        </w:rPr>
        <w:t xml:space="preserve"> NAK Design Strategies</w:t>
      </w:r>
      <w:r w:rsidR="00587886">
        <w:rPr>
          <w:lang w:val="en-CA"/>
        </w:rPr>
        <w:t>,</w:t>
      </w:r>
      <w:r w:rsidRPr="0098597A">
        <w:rPr>
          <w:lang w:val="en-CA"/>
        </w:rPr>
        <w:t xml:space="preserve"> had completed the Urban Design Guidelines for both previous Kaleidoscope Phases and prepared a comprehensive series of design guidelines for Kaleidoscope Phase 3 in support of the application.</w:t>
      </w:r>
    </w:p>
    <w:p w14:paraId="5C16439D" w14:textId="77777777" w:rsidR="00E36772" w:rsidRPr="0098597A" w:rsidRDefault="00E36772" w:rsidP="00E36772">
      <w:pPr>
        <w:rPr>
          <w:rFonts w:cs="Arial"/>
          <w:lang w:val="en-CA"/>
        </w:rPr>
      </w:pPr>
    </w:p>
    <w:p w14:paraId="70FDD9F4" w14:textId="51F3E59A" w:rsidR="00E36772" w:rsidRPr="0098597A" w:rsidRDefault="00E36772" w:rsidP="00907785">
      <w:pPr>
        <w:numPr>
          <w:ilvl w:val="0"/>
          <w:numId w:val="1"/>
        </w:numPr>
        <w:ind w:left="0" w:firstLine="0"/>
        <w:rPr>
          <w:rFonts w:cs="Arial"/>
          <w:lang w:val="en-CA"/>
        </w:rPr>
      </w:pPr>
      <w:r w:rsidRPr="0098597A">
        <w:rPr>
          <w:lang w:val="en-CA"/>
        </w:rPr>
        <w:t>Policy evaluation by the witnesses relates to s. 3.3 Chapter B – Urban Design Policies of the UHOP and s. 4.2.9 – Urban Design Policies of the WNSP</w:t>
      </w:r>
      <w:r w:rsidR="00587886">
        <w:rPr>
          <w:lang w:val="en-CA"/>
        </w:rPr>
        <w:t>,</w:t>
      </w:r>
      <w:r w:rsidRPr="0098597A">
        <w:rPr>
          <w:lang w:val="en-CA"/>
        </w:rPr>
        <w:t xml:space="preserve"> both of which recognized the importance of urban design as an essential component of city building.  Waterdown North Urban Design Guidelines are intended to provide a more detailed implementation framework.</w:t>
      </w:r>
    </w:p>
    <w:p w14:paraId="51B09E5A" w14:textId="77777777" w:rsidR="00E36772" w:rsidRPr="0098597A" w:rsidRDefault="00E36772" w:rsidP="00E36772">
      <w:pPr>
        <w:pStyle w:val="ListParagraph"/>
        <w:rPr>
          <w:rFonts w:cs="Arial"/>
          <w:lang w:val="en-CA"/>
        </w:rPr>
      </w:pPr>
    </w:p>
    <w:p w14:paraId="4FD8F80B" w14:textId="63A902D7" w:rsidR="00E36772" w:rsidRPr="0098597A" w:rsidRDefault="00E36772" w:rsidP="00907785">
      <w:pPr>
        <w:numPr>
          <w:ilvl w:val="0"/>
          <w:numId w:val="1"/>
        </w:numPr>
        <w:ind w:left="0" w:firstLine="0"/>
        <w:rPr>
          <w:rFonts w:cs="Arial"/>
          <w:lang w:val="en-CA"/>
        </w:rPr>
      </w:pPr>
      <w:r w:rsidRPr="0098597A">
        <w:rPr>
          <w:lang w:val="en-CA"/>
        </w:rPr>
        <w:t>Suffice to say, the City has detailed policies in place to guide built form and the public realm.  The design principles that the witnesses took the Tribunal to in their testimony specifically related to the following design</w:t>
      </w:r>
      <w:r w:rsidR="00F87E06">
        <w:rPr>
          <w:lang w:val="en-CA"/>
        </w:rPr>
        <w:t xml:space="preserve"> and built form</w:t>
      </w:r>
      <w:r w:rsidRPr="0098597A">
        <w:rPr>
          <w:lang w:val="en-CA"/>
        </w:rPr>
        <w:t xml:space="preserve"> principles </w:t>
      </w:r>
      <w:r w:rsidR="00F87E06">
        <w:rPr>
          <w:lang w:val="en-CA"/>
        </w:rPr>
        <w:t xml:space="preserve">arising from </w:t>
      </w:r>
      <w:r w:rsidRPr="0098597A">
        <w:rPr>
          <w:lang w:val="en-CA"/>
        </w:rPr>
        <w:t>the proposed design:</w:t>
      </w:r>
    </w:p>
    <w:p w14:paraId="492EEA6C" w14:textId="27E40588" w:rsidR="00E36772" w:rsidRPr="0098597A" w:rsidRDefault="00E36772" w:rsidP="00E36772">
      <w:pPr>
        <w:pStyle w:val="ListParagraph"/>
        <w:rPr>
          <w:rFonts w:cs="Arial"/>
          <w:lang w:val="en-CA"/>
        </w:rPr>
      </w:pPr>
    </w:p>
    <w:p w14:paraId="54FAE64A" w14:textId="7D892094" w:rsidR="00E36772" w:rsidRPr="0098597A" w:rsidRDefault="00E36772" w:rsidP="00845E55">
      <w:pPr>
        <w:pStyle w:val="ListParagraph"/>
        <w:numPr>
          <w:ilvl w:val="1"/>
          <w:numId w:val="1"/>
        </w:numPr>
        <w:spacing w:after="120"/>
        <w:ind w:hanging="720"/>
        <w:rPr>
          <w:lang w:val="en-CA"/>
        </w:rPr>
      </w:pPr>
      <w:r w:rsidRPr="0098597A">
        <w:rPr>
          <w:lang w:val="en-CA"/>
        </w:rPr>
        <w:t xml:space="preserve">policies encourage a wide range and mix of housing types and whether the proposed stacked townhouse development met this </w:t>
      </w:r>
      <w:proofErr w:type="gramStart"/>
      <w:r w:rsidRPr="0098597A">
        <w:rPr>
          <w:lang w:val="en-CA"/>
        </w:rPr>
        <w:t>objective</w:t>
      </w:r>
      <w:r w:rsidR="00744814">
        <w:rPr>
          <w:lang w:val="en-CA"/>
        </w:rPr>
        <w:t>;</w:t>
      </w:r>
      <w:proofErr w:type="gramEnd"/>
    </w:p>
    <w:p w14:paraId="38618F5B" w14:textId="10B3CD99" w:rsidR="00E36772" w:rsidRPr="0098597A" w:rsidRDefault="00E36772" w:rsidP="00845E55">
      <w:pPr>
        <w:pStyle w:val="ListParagraph"/>
        <w:numPr>
          <w:ilvl w:val="1"/>
          <w:numId w:val="1"/>
        </w:numPr>
        <w:spacing w:after="120"/>
        <w:ind w:hanging="720"/>
        <w:rPr>
          <w:lang w:val="en-CA"/>
        </w:rPr>
      </w:pPr>
      <w:r w:rsidRPr="0098597A">
        <w:rPr>
          <w:lang w:val="en-CA"/>
        </w:rPr>
        <w:t xml:space="preserve">is surface parking throughout the subject land’s desirable from an urban design </w:t>
      </w:r>
      <w:proofErr w:type="gramStart"/>
      <w:r w:rsidRPr="0098597A">
        <w:rPr>
          <w:lang w:val="en-CA"/>
        </w:rPr>
        <w:t>perspective</w:t>
      </w:r>
      <w:r w:rsidR="00744814">
        <w:rPr>
          <w:lang w:val="en-CA"/>
        </w:rPr>
        <w:t>;</w:t>
      </w:r>
      <w:proofErr w:type="gramEnd"/>
    </w:p>
    <w:p w14:paraId="11C5742C" w14:textId="65DED9CE" w:rsidR="00E36772" w:rsidRPr="0098597A" w:rsidRDefault="00E36772" w:rsidP="00845E55">
      <w:pPr>
        <w:pStyle w:val="ListParagraph"/>
        <w:numPr>
          <w:ilvl w:val="1"/>
          <w:numId w:val="1"/>
        </w:numPr>
        <w:spacing w:after="120"/>
        <w:ind w:hanging="720"/>
        <w:rPr>
          <w:lang w:val="en-CA"/>
        </w:rPr>
      </w:pPr>
      <w:r w:rsidRPr="0098597A">
        <w:rPr>
          <w:lang w:val="en-CA"/>
        </w:rPr>
        <w:t>does the proposal adequately incorporate important existing natural heritage features and thereby enhanc</w:t>
      </w:r>
      <w:r w:rsidR="004D7ACC">
        <w:rPr>
          <w:lang w:val="en-CA"/>
        </w:rPr>
        <w:t>e</w:t>
      </w:r>
      <w:r w:rsidRPr="0098597A">
        <w:rPr>
          <w:lang w:val="en-CA"/>
        </w:rPr>
        <w:t xml:space="preserve"> the access to and the visual views of</w:t>
      </w:r>
      <w:r w:rsidR="004D7ACC">
        <w:rPr>
          <w:lang w:val="en-CA"/>
        </w:rPr>
        <w:t>,</w:t>
      </w:r>
      <w:r w:rsidRPr="0098597A">
        <w:rPr>
          <w:lang w:val="en-CA"/>
        </w:rPr>
        <w:t xml:space="preserve"> residents and the public in </w:t>
      </w:r>
      <w:proofErr w:type="gramStart"/>
      <w:r w:rsidRPr="0098597A">
        <w:rPr>
          <w:lang w:val="en-CA"/>
        </w:rPr>
        <w:t>general</w:t>
      </w:r>
      <w:r w:rsidR="00744814">
        <w:rPr>
          <w:lang w:val="en-CA"/>
        </w:rPr>
        <w:t>;</w:t>
      </w:r>
      <w:proofErr w:type="gramEnd"/>
      <w:r w:rsidRPr="0098597A">
        <w:rPr>
          <w:lang w:val="en-CA"/>
        </w:rPr>
        <w:t xml:space="preserve"> </w:t>
      </w:r>
    </w:p>
    <w:p w14:paraId="5F0674DA" w14:textId="0EBF0AE2" w:rsidR="00E36772" w:rsidRPr="0098597A" w:rsidRDefault="00E36772" w:rsidP="00845E55">
      <w:pPr>
        <w:pStyle w:val="ListParagraph"/>
        <w:numPr>
          <w:ilvl w:val="1"/>
          <w:numId w:val="1"/>
        </w:numPr>
        <w:spacing w:after="120"/>
        <w:ind w:hanging="720"/>
        <w:rPr>
          <w:lang w:val="en-CA"/>
        </w:rPr>
      </w:pPr>
      <w:r w:rsidRPr="0098597A">
        <w:rPr>
          <w:lang w:val="en-CA"/>
        </w:rPr>
        <w:lastRenderedPageBreak/>
        <w:t xml:space="preserve">is the street pattern adequate to ensure continuous and direct movement throughout the subject lands in an effort to safely integrate and facilitate pedestrian, cycling and vehicular movements throughout the </w:t>
      </w:r>
      <w:proofErr w:type="gramStart"/>
      <w:r w:rsidRPr="0098597A">
        <w:rPr>
          <w:lang w:val="en-CA"/>
        </w:rPr>
        <w:t>subject lands</w:t>
      </w:r>
      <w:r w:rsidR="00744814">
        <w:rPr>
          <w:lang w:val="en-CA"/>
        </w:rPr>
        <w:t>;</w:t>
      </w:r>
      <w:proofErr w:type="gramEnd"/>
    </w:p>
    <w:p w14:paraId="15BDCA3B" w14:textId="2B842405" w:rsidR="00E36772" w:rsidRPr="0098597A" w:rsidRDefault="00E36772" w:rsidP="00845E55">
      <w:pPr>
        <w:pStyle w:val="ListParagraph"/>
        <w:numPr>
          <w:ilvl w:val="1"/>
          <w:numId w:val="1"/>
        </w:numPr>
        <w:spacing w:after="120"/>
        <w:ind w:hanging="720"/>
        <w:rPr>
          <w:lang w:val="en-CA"/>
        </w:rPr>
      </w:pPr>
      <w:r w:rsidRPr="0098597A">
        <w:rPr>
          <w:lang w:val="en-CA"/>
        </w:rPr>
        <w:t xml:space="preserve">policy attempts to de-emphasize the car and garages but the proposal illustrates </w:t>
      </w:r>
      <w:r w:rsidR="004D7ACC">
        <w:rPr>
          <w:lang w:val="en-CA"/>
        </w:rPr>
        <w:t xml:space="preserve">that </w:t>
      </w:r>
      <w:r w:rsidRPr="0098597A">
        <w:rPr>
          <w:lang w:val="en-CA"/>
        </w:rPr>
        <w:t xml:space="preserve">parking and garages are found along most of the internal </w:t>
      </w:r>
      <w:proofErr w:type="gramStart"/>
      <w:r w:rsidRPr="0098597A">
        <w:rPr>
          <w:lang w:val="en-CA"/>
        </w:rPr>
        <w:t>roads</w:t>
      </w:r>
      <w:r w:rsidR="00744814">
        <w:rPr>
          <w:lang w:val="en-CA"/>
        </w:rPr>
        <w:t>;</w:t>
      </w:r>
      <w:proofErr w:type="gramEnd"/>
    </w:p>
    <w:p w14:paraId="2D03F6A7" w14:textId="7B72A9B9" w:rsidR="00E36772" w:rsidRPr="0098597A" w:rsidRDefault="00E36772" w:rsidP="00845E55">
      <w:pPr>
        <w:pStyle w:val="ListParagraph"/>
        <w:numPr>
          <w:ilvl w:val="1"/>
          <w:numId w:val="1"/>
        </w:numPr>
        <w:spacing w:after="120"/>
        <w:ind w:hanging="720"/>
        <w:rPr>
          <w:lang w:val="en-CA"/>
        </w:rPr>
      </w:pPr>
      <w:r w:rsidRPr="0098597A">
        <w:rPr>
          <w:lang w:val="en-CA"/>
        </w:rPr>
        <w:t xml:space="preserve">the side elevations of </w:t>
      </w:r>
      <w:proofErr w:type="spellStart"/>
      <w:r w:rsidRPr="0098597A">
        <w:rPr>
          <w:lang w:val="en-CA"/>
        </w:rPr>
        <w:t>flankage</w:t>
      </w:r>
      <w:proofErr w:type="spellEnd"/>
      <w:r w:rsidRPr="0098597A">
        <w:rPr>
          <w:lang w:val="en-CA"/>
        </w:rPr>
        <w:t xml:space="preserve"> lots do not show entrance doors nor utility screening and therefore the design may not be </w:t>
      </w:r>
      <w:proofErr w:type="gramStart"/>
      <w:r w:rsidRPr="0098597A">
        <w:rPr>
          <w:lang w:val="en-CA"/>
        </w:rPr>
        <w:t>adequate</w:t>
      </w:r>
      <w:r w:rsidR="00744814">
        <w:rPr>
          <w:lang w:val="en-CA"/>
        </w:rPr>
        <w:t>;</w:t>
      </w:r>
      <w:proofErr w:type="gramEnd"/>
    </w:p>
    <w:p w14:paraId="0C1A2782" w14:textId="78E623CD" w:rsidR="00E36772" w:rsidRPr="0098597A" w:rsidRDefault="00E36772" w:rsidP="00845E55">
      <w:pPr>
        <w:pStyle w:val="ListParagraph"/>
        <w:numPr>
          <w:ilvl w:val="1"/>
          <w:numId w:val="1"/>
        </w:numPr>
        <w:spacing w:after="120"/>
        <w:ind w:hanging="720"/>
        <w:rPr>
          <w:lang w:val="en-CA"/>
        </w:rPr>
      </w:pPr>
      <w:r w:rsidRPr="0098597A">
        <w:rPr>
          <w:lang w:val="en-CA"/>
        </w:rPr>
        <w:t xml:space="preserve">the design of the streetscape with respect to street trees, furniture, signage, and landscaping needs to be developed in more </w:t>
      </w:r>
      <w:proofErr w:type="gramStart"/>
      <w:r w:rsidRPr="0098597A">
        <w:rPr>
          <w:lang w:val="en-CA"/>
        </w:rPr>
        <w:t>detail</w:t>
      </w:r>
      <w:r w:rsidR="00744814">
        <w:rPr>
          <w:lang w:val="en-CA"/>
        </w:rPr>
        <w:t>;</w:t>
      </w:r>
      <w:proofErr w:type="gramEnd"/>
    </w:p>
    <w:p w14:paraId="626A5A9A" w14:textId="681D9A63" w:rsidR="00E36772" w:rsidRPr="0098597A" w:rsidRDefault="00E36772" w:rsidP="00845E55">
      <w:pPr>
        <w:pStyle w:val="ListParagraph"/>
        <w:numPr>
          <w:ilvl w:val="1"/>
          <w:numId w:val="1"/>
        </w:numPr>
        <w:spacing w:after="120"/>
        <w:ind w:hanging="720"/>
        <w:rPr>
          <w:lang w:val="en-CA"/>
        </w:rPr>
      </w:pPr>
      <w:r w:rsidRPr="0098597A">
        <w:rPr>
          <w:lang w:val="en-CA"/>
        </w:rPr>
        <w:t>policy states that the corner of Mosaic and North Waterdown Dr</w:t>
      </w:r>
      <w:r w:rsidR="00744814">
        <w:rPr>
          <w:lang w:val="en-CA"/>
        </w:rPr>
        <w:t>ive</w:t>
      </w:r>
      <w:r w:rsidRPr="0098597A">
        <w:rPr>
          <w:lang w:val="en-CA"/>
        </w:rPr>
        <w:t xml:space="preserve"> is considered a </w:t>
      </w:r>
      <w:r w:rsidR="00744814">
        <w:rPr>
          <w:lang w:val="en-CA"/>
        </w:rPr>
        <w:t>“</w:t>
      </w:r>
      <w:r w:rsidRPr="0098597A">
        <w:rPr>
          <w:lang w:val="en-CA"/>
        </w:rPr>
        <w:t>Gateway</w:t>
      </w:r>
      <w:r w:rsidR="00744814">
        <w:rPr>
          <w:lang w:val="en-CA"/>
        </w:rPr>
        <w:t>”</w:t>
      </w:r>
      <w:r w:rsidRPr="0098597A">
        <w:rPr>
          <w:lang w:val="en-CA"/>
        </w:rPr>
        <w:t xml:space="preserve"> and should an architectural entrance feature and enhanced landscaping need to be incorporated into the </w:t>
      </w:r>
      <w:proofErr w:type="gramStart"/>
      <w:r w:rsidRPr="0098597A">
        <w:rPr>
          <w:lang w:val="en-CA"/>
        </w:rPr>
        <w:t>design</w:t>
      </w:r>
      <w:r w:rsidR="00744814">
        <w:rPr>
          <w:lang w:val="en-CA"/>
        </w:rPr>
        <w:t>;</w:t>
      </w:r>
      <w:proofErr w:type="gramEnd"/>
    </w:p>
    <w:p w14:paraId="25229E83" w14:textId="52B8B403" w:rsidR="00E36772" w:rsidRPr="0098597A" w:rsidRDefault="00E36772" w:rsidP="00845E55">
      <w:pPr>
        <w:pStyle w:val="ListParagraph"/>
        <w:numPr>
          <w:ilvl w:val="1"/>
          <w:numId w:val="1"/>
        </w:numPr>
        <w:spacing w:after="120"/>
        <w:ind w:hanging="720"/>
        <w:rPr>
          <w:lang w:val="en-CA"/>
        </w:rPr>
      </w:pPr>
      <w:r w:rsidRPr="0098597A">
        <w:rPr>
          <w:lang w:val="en-CA"/>
        </w:rPr>
        <w:t>design to enhance the public safety as it relates to ‘eyes on the street’ is required to improve visibility and informal surveillance</w:t>
      </w:r>
      <w:r w:rsidR="00744814">
        <w:rPr>
          <w:lang w:val="en-CA"/>
        </w:rPr>
        <w:t>; and</w:t>
      </w:r>
    </w:p>
    <w:p w14:paraId="3C27D5E4" w14:textId="77777777" w:rsidR="00E36772" w:rsidRPr="0098597A" w:rsidRDefault="00E36772" w:rsidP="00E36772">
      <w:pPr>
        <w:pStyle w:val="ListParagraph"/>
        <w:numPr>
          <w:ilvl w:val="1"/>
          <w:numId w:val="1"/>
        </w:numPr>
        <w:ind w:hanging="720"/>
        <w:rPr>
          <w:lang w:val="en-CA"/>
        </w:rPr>
      </w:pPr>
      <w:r w:rsidRPr="0098597A">
        <w:rPr>
          <w:lang w:val="en-CA"/>
        </w:rPr>
        <w:t>there are a series of ‘differences of opinion’ between the witnesses that could be easily addressed at the site plan stage should the proposal be accepted by the Tribunal.</w:t>
      </w:r>
    </w:p>
    <w:p w14:paraId="56E21C0A" w14:textId="77777777" w:rsidR="00E36772" w:rsidRPr="0098597A" w:rsidRDefault="00E36772" w:rsidP="00E36772">
      <w:pPr>
        <w:pStyle w:val="ListParagraph"/>
        <w:rPr>
          <w:rFonts w:cs="Arial"/>
          <w:lang w:val="en-CA"/>
        </w:rPr>
      </w:pPr>
    </w:p>
    <w:p w14:paraId="3F9B7045" w14:textId="12DEAE16" w:rsidR="00E36772" w:rsidRPr="0098597A" w:rsidRDefault="00CE6071" w:rsidP="00907785">
      <w:pPr>
        <w:numPr>
          <w:ilvl w:val="0"/>
          <w:numId w:val="1"/>
        </w:numPr>
        <w:ind w:left="0" w:firstLine="0"/>
        <w:rPr>
          <w:rFonts w:cs="Arial"/>
          <w:lang w:val="en-CA"/>
        </w:rPr>
      </w:pPr>
      <w:r w:rsidRPr="0098597A">
        <w:rPr>
          <w:lang w:val="en-CA"/>
        </w:rPr>
        <w:t xml:space="preserve">Mr. Richard is of the opinion is that </w:t>
      </w:r>
      <w:r w:rsidR="00744814">
        <w:rPr>
          <w:lang w:val="en-CA"/>
        </w:rPr>
        <w:t>“</w:t>
      </w:r>
      <w:r w:rsidRPr="0098597A">
        <w:rPr>
          <w:lang w:val="en-CA"/>
        </w:rPr>
        <w:t xml:space="preserve">the proposed development reflects an appropriate response for achieving key urban design principles within the context, constraints, opportunities and area configuration, that is balanced with an efficient layout of land uses. </w:t>
      </w:r>
      <w:r w:rsidR="00744814">
        <w:rPr>
          <w:lang w:val="en-CA"/>
        </w:rPr>
        <w:t xml:space="preserve"> </w:t>
      </w:r>
      <w:r w:rsidRPr="0098597A">
        <w:rPr>
          <w:lang w:val="en-CA"/>
        </w:rPr>
        <w:t>It does so in general compliance with the Waterdown North Urban Design Guidelines”.</w:t>
      </w:r>
    </w:p>
    <w:p w14:paraId="56D1FFE0" w14:textId="77777777" w:rsidR="00CE6071" w:rsidRPr="0098597A" w:rsidRDefault="00CE6071" w:rsidP="00CE6071">
      <w:pPr>
        <w:rPr>
          <w:rFonts w:cs="Arial"/>
          <w:lang w:val="en-CA"/>
        </w:rPr>
      </w:pPr>
    </w:p>
    <w:p w14:paraId="374D6CC2" w14:textId="63FF4D9F" w:rsidR="00CE6071" w:rsidRPr="0098597A" w:rsidRDefault="00CE6071" w:rsidP="00907785">
      <w:pPr>
        <w:numPr>
          <w:ilvl w:val="0"/>
          <w:numId w:val="1"/>
        </w:numPr>
        <w:ind w:left="0" w:firstLine="0"/>
        <w:rPr>
          <w:rFonts w:cs="Arial"/>
          <w:lang w:val="en-CA"/>
        </w:rPr>
      </w:pPr>
      <w:r w:rsidRPr="0098597A">
        <w:rPr>
          <w:lang w:val="en-CA"/>
        </w:rPr>
        <w:t xml:space="preserve">Mr. Gomez-Palacio concluded that based on his extensive analysis of relevant planning policy related to his extensive review of appropriate ‘urban design </w:t>
      </w:r>
      <w:r w:rsidRPr="0098597A">
        <w:rPr>
          <w:lang w:val="en-CA"/>
        </w:rPr>
        <w:lastRenderedPageBreak/>
        <w:t>considerations’, he does not recommend the approval of the propose OPA and ZBA by the Tribunal.</w:t>
      </w:r>
    </w:p>
    <w:p w14:paraId="5E6251BB" w14:textId="7CE66D23" w:rsidR="00CE6071" w:rsidRPr="0098597A" w:rsidRDefault="00CE6071" w:rsidP="00CE6071">
      <w:pPr>
        <w:pStyle w:val="ListParagraph"/>
        <w:rPr>
          <w:rFonts w:cs="Arial"/>
          <w:lang w:val="en-CA"/>
        </w:rPr>
      </w:pPr>
    </w:p>
    <w:p w14:paraId="2EF5E1BC" w14:textId="67D5590B" w:rsidR="00CE6071" w:rsidRPr="0098597A" w:rsidRDefault="00CE6071" w:rsidP="00CE6071">
      <w:pPr>
        <w:pStyle w:val="ListParagraph"/>
        <w:rPr>
          <w:rFonts w:cs="Arial"/>
          <w:lang w:val="en-CA"/>
        </w:rPr>
      </w:pPr>
      <w:r w:rsidRPr="0098597A">
        <w:rPr>
          <w:b/>
          <w:lang w:val="en-CA"/>
        </w:rPr>
        <w:t>TRIBUANL ANALYSIS OF THE LAND USE PLANNING EVIDENCE</w:t>
      </w:r>
    </w:p>
    <w:p w14:paraId="52A682CE" w14:textId="77777777" w:rsidR="00CE6071" w:rsidRPr="0098597A" w:rsidRDefault="00CE6071" w:rsidP="00CE6071">
      <w:pPr>
        <w:pStyle w:val="ListParagraph"/>
        <w:rPr>
          <w:rFonts w:cs="Arial"/>
          <w:lang w:val="en-CA"/>
        </w:rPr>
      </w:pPr>
    </w:p>
    <w:p w14:paraId="5451BA3B" w14:textId="31569CA9" w:rsidR="00CE6071" w:rsidRPr="0098597A" w:rsidRDefault="00CE6071" w:rsidP="00907785">
      <w:pPr>
        <w:numPr>
          <w:ilvl w:val="0"/>
          <w:numId w:val="1"/>
        </w:numPr>
        <w:ind w:left="0" w:firstLine="0"/>
        <w:rPr>
          <w:rFonts w:cs="Arial"/>
          <w:lang w:val="en-CA"/>
        </w:rPr>
      </w:pPr>
      <w:r w:rsidRPr="0098597A">
        <w:rPr>
          <w:lang w:val="en-CA"/>
        </w:rPr>
        <w:t xml:space="preserve">The outcome of this matter depends on the planning evidence presented at this hearing with respect to Provincial and </w:t>
      </w:r>
      <w:r w:rsidR="00C6398E">
        <w:rPr>
          <w:lang w:val="en-CA"/>
        </w:rPr>
        <w:t>m</w:t>
      </w:r>
      <w:r w:rsidRPr="0098597A">
        <w:rPr>
          <w:lang w:val="en-CA"/>
        </w:rPr>
        <w:t>unicipal planning policy and the appropriateness of the proposed OPA.  All other matters (ZBA and Site Plan) before the Tribunal are dependent on this finding.</w:t>
      </w:r>
    </w:p>
    <w:p w14:paraId="28FD2DAB" w14:textId="77777777" w:rsidR="00CE6071" w:rsidRPr="0098597A" w:rsidRDefault="00CE6071" w:rsidP="00CE6071">
      <w:pPr>
        <w:rPr>
          <w:rFonts w:cs="Arial"/>
          <w:lang w:val="en-CA"/>
        </w:rPr>
      </w:pPr>
    </w:p>
    <w:p w14:paraId="7A0E40BB" w14:textId="62C4DDA7" w:rsidR="00CE6071" w:rsidRPr="0098597A" w:rsidRDefault="00CE6071" w:rsidP="00907785">
      <w:pPr>
        <w:numPr>
          <w:ilvl w:val="0"/>
          <w:numId w:val="1"/>
        </w:numPr>
        <w:ind w:left="0" w:firstLine="0"/>
        <w:rPr>
          <w:rFonts w:cs="Arial"/>
          <w:lang w:val="en-CA"/>
        </w:rPr>
      </w:pPr>
      <w:r w:rsidRPr="0098597A">
        <w:rPr>
          <w:lang w:val="en-CA"/>
        </w:rPr>
        <w:t xml:space="preserve">To this end, the Tribunal prefers the evidence of Mr. </w:t>
      </w:r>
      <w:proofErr w:type="spellStart"/>
      <w:r w:rsidRPr="0098597A">
        <w:rPr>
          <w:lang w:val="en-CA"/>
        </w:rPr>
        <w:t>Sajecki</w:t>
      </w:r>
      <w:proofErr w:type="spellEnd"/>
      <w:r w:rsidRPr="0098597A">
        <w:rPr>
          <w:lang w:val="en-CA"/>
        </w:rPr>
        <w:t xml:space="preserve"> and finds the proposal as reflected in the OPA and ZBA does not have appropriate regard to the s. 2 of the Act; is not consistent with the PPS 2020, does not conform to the policies of the Growth Plan or the UHOP.  It does not conform </w:t>
      </w:r>
      <w:r w:rsidR="00846B32">
        <w:rPr>
          <w:lang w:val="en-CA"/>
        </w:rPr>
        <w:t xml:space="preserve">with </w:t>
      </w:r>
      <w:r w:rsidRPr="0098597A">
        <w:rPr>
          <w:lang w:val="en-CA"/>
        </w:rPr>
        <w:t>the WN</w:t>
      </w:r>
      <w:r w:rsidR="00650156">
        <w:rPr>
          <w:lang w:val="en-CA"/>
        </w:rPr>
        <w:t>S</w:t>
      </w:r>
      <w:r w:rsidRPr="0098597A">
        <w:rPr>
          <w:lang w:val="en-CA"/>
        </w:rPr>
        <w:t>P as it is not in keeping with a comprehensively developed and well</w:t>
      </w:r>
      <w:r w:rsidR="00846B32">
        <w:rPr>
          <w:lang w:val="en-CA"/>
        </w:rPr>
        <w:t>-</w:t>
      </w:r>
      <w:r w:rsidRPr="0098597A">
        <w:rPr>
          <w:lang w:val="en-CA"/>
        </w:rPr>
        <w:t>defined Urban Structure for the community.</w:t>
      </w:r>
    </w:p>
    <w:p w14:paraId="596C939C" w14:textId="77777777" w:rsidR="00CE6071" w:rsidRPr="0098597A" w:rsidRDefault="00CE6071" w:rsidP="00CE6071">
      <w:pPr>
        <w:pStyle w:val="ListParagraph"/>
        <w:rPr>
          <w:rFonts w:cs="Arial"/>
          <w:lang w:val="en-CA"/>
        </w:rPr>
      </w:pPr>
    </w:p>
    <w:p w14:paraId="41CFBC03" w14:textId="35783CD7" w:rsidR="00CE6071" w:rsidRPr="0098597A" w:rsidRDefault="00CE6071" w:rsidP="00907785">
      <w:pPr>
        <w:numPr>
          <w:ilvl w:val="0"/>
          <w:numId w:val="1"/>
        </w:numPr>
        <w:ind w:left="0" w:firstLine="0"/>
        <w:rPr>
          <w:rFonts w:cs="Arial"/>
          <w:lang w:val="en-CA"/>
        </w:rPr>
      </w:pPr>
      <w:r w:rsidRPr="0098597A">
        <w:rPr>
          <w:lang w:val="en-CA"/>
        </w:rPr>
        <w:t xml:space="preserve">The Tribunal finds that the City has well established planning policy for the area surrounding the subject lands and followed a careful, comprehensive, and complete process to come to the land use designations found in the WNSP.  The proposed OPA and ZBA by reducing the density on the subject lands results in an outcome that does not align </w:t>
      </w:r>
      <w:r w:rsidR="006A4B87">
        <w:rPr>
          <w:lang w:val="en-CA"/>
        </w:rPr>
        <w:t xml:space="preserve">with, </w:t>
      </w:r>
      <w:r w:rsidRPr="0098597A">
        <w:rPr>
          <w:lang w:val="en-CA"/>
        </w:rPr>
        <w:t>nor continue a contribution to</w:t>
      </w:r>
      <w:r w:rsidR="006A4B87">
        <w:rPr>
          <w:lang w:val="en-CA"/>
        </w:rPr>
        <w:t>,</w:t>
      </w:r>
      <w:r w:rsidRPr="0098597A">
        <w:rPr>
          <w:lang w:val="en-CA"/>
        </w:rPr>
        <w:t xml:space="preserve"> the City’s vision for the Waterdown North Community nor is it in keeping with Provincial or </w:t>
      </w:r>
      <w:r w:rsidR="006A4B87">
        <w:rPr>
          <w:lang w:val="en-CA"/>
        </w:rPr>
        <w:t>m</w:t>
      </w:r>
      <w:r w:rsidRPr="0098597A">
        <w:rPr>
          <w:lang w:val="en-CA"/>
        </w:rPr>
        <w:t>unicipal policy.</w:t>
      </w:r>
    </w:p>
    <w:p w14:paraId="075A0676" w14:textId="77777777" w:rsidR="00CE6071" w:rsidRPr="0098597A" w:rsidRDefault="00CE6071" w:rsidP="00CE6071">
      <w:pPr>
        <w:pStyle w:val="ListParagraph"/>
        <w:rPr>
          <w:rFonts w:cs="Arial"/>
          <w:lang w:val="en-CA"/>
        </w:rPr>
      </w:pPr>
    </w:p>
    <w:p w14:paraId="76B13563" w14:textId="15F05AAC" w:rsidR="00CE6071" w:rsidRPr="0098597A" w:rsidRDefault="00CE6071" w:rsidP="00907785">
      <w:pPr>
        <w:numPr>
          <w:ilvl w:val="0"/>
          <w:numId w:val="1"/>
        </w:numPr>
        <w:ind w:left="0" w:firstLine="0"/>
        <w:rPr>
          <w:rFonts w:cs="Arial"/>
          <w:lang w:val="en-CA"/>
        </w:rPr>
      </w:pPr>
      <w:r w:rsidRPr="0098597A">
        <w:rPr>
          <w:lang w:val="en-CA"/>
        </w:rPr>
        <w:t>The Tribunal notes that both the UHOP and the WNSP were written and approved in keeping with the Provincially</w:t>
      </w:r>
      <w:r w:rsidR="00650156">
        <w:rPr>
          <w:lang w:val="en-CA"/>
        </w:rPr>
        <w:t xml:space="preserve"> </w:t>
      </w:r>
      <w:r w:rsidRPr="0098597A">
        <w:rPr>
          <w:lang w:val="en-CA"/>
        </w:rPr>
        <w:t>led planning system and therefore are deemed to be in conformity with all relevant Provincial Planning policy.  Changes to the approved WNSP’s approved structure</w:t>
      </w:r>
      <w:r w:rsidR="006A4B87">
        <w:rPr>
          <w:lang w:val="en-CA"/>
        </w:rPr>
        <w:t>,</w:t>
      </w:r>
      <w:r w:rsidRPr="0098597A">
        <w:rPr>
          <w:lang w:val="en-CA"/>
        </w:rPr>
        <w:t xml:space="preserve"> no matter how minor</w:t>
      </w:r>
      <w:r w:rsidR="006A4B87">
        <w:rPr>
          <w:lang w:val="en-CA"/>
        </w:rPr>
        <w:t>,</w:t>
      </w:r>
      <w:r w:rsidRPr="0098597A">
        <w:rPr>
          <w:lang w:val="en-CA"/>
        </w:rPr>
        <w:t xml:space="preserve"> merit a very close and careful consideration.  Evidence presented to the Tribunal must be extremely compelling for a change to the planned Urban Structure to be deemed appropriate.  Although well presented, the Appellants expert planning evidence was not sufficiently compelling to have it preferred</w:t>
      </w:r>
      <w:r w:rsidR="006A4B87">
        <w:rPr>
          <w:lang w:val="en-CA"/>
        </w:rPr>
        <w:t xml:space="preserve"> by the Tribunal</w:t>
      </w:r>
      <w:r w:rsidRPr="0098597A">
        <w:rPr>
          <w:lang w:val="en-CA"/>
        </w:rPr>
        <w:t>.</w:t>
      </w:r>
    </w:p>
    <w:p w14:paraId="1B4C314C" w14:textId="77777777" w:rsidR="00CE6071" w:rsidRPr="0098597A" w:rsidRDefault="00CE6071" w:rsidP="00CE6071">
      <w:pPr>
        <w:pStyle w:val="ListParagraph"/>
        <w:rPr>
          <w:rFonts w:cs="Arial"/>
          <w:lang w:val="en-CA"/>
        </w:rPr>
      </w:pPr>
    </w:p>
    <w:p w14:paraId="5752B73B" w14:textId="3C6153C5" w:rsidR="00CE6071" w:rsidRPr="0098597A" w:rsidRDefault="00F87E06" w:rsidP="00907785">
      <w:pPr>
        <w:numPr>
          <w:ilvl w:val="0"/>
          <w:numId w:val="1"/>
        </w:numPr>
        <w:ind w:left="0" w:firstLine="0"/>
        <w:rPr>
          <w:rFonts w:cs="Arial"/>
          <w:lang w:val="en-CA"/>
        </w:rPr>
      </w:pPr>
      <w:r>
        <w:rPr>
          <w:lang w:val="en-CA"/>
        </w:rPr>
        <w:t>It is noted by t</w:t>
      </w:r>
      <w:r w:rsidR="00CE6071" w:rsidRPr="0098597A">
        <w:rPr>
          <w:lang w:val="en-CA"/>
        </w:rPr>
        <w:t>he Tribunal</w:t>
      </w:r>
      <w:r>
        <w:rPr>
          <w:lang w:val="en-CA"/>
        </w:rPr>
        <w:t xml:space="preserve"> </w:t>
      </w:r>
      <w:r w:rsidR="00CE6071" w:rsidRPr="0098597A">
        <w:rPr>
          <w:lang w:val="en-CA"/>
        </w:rPr>
        <w:t>that it did not see a planning report to City Council on this proposal nor hear from any City planning staff regarding its deliberations on the matter.  City Council therefore did not make a decision on any option put forth by the Appellant</w:t>
      </w:r>
      <w:r w:rsidR="00576E53">
        <w:rPr>
          <w:lang w:val="en-CA"/>
        </w:rPr>
        <w:t xml:space="preserve"> and assessed by </w:t>
      </w:r>
      <w:r w:rsidR="001D0FFD">
        <w:rPr>
          <w:lang w:val="en-CA"/>
        </w:rPr>
        <w:t>planning staff</w:t>
      </w:r>
      <w:r w:rsidR="00CE6071" w:rsidRPr="0098597A">
        <w:rPr>
          <w:lang w:val="en-CA"/>
        </w:rPr>
        <w:t xml:space="preserve"> but did</w:t>
      </w:r>
      <w:r w:rsidR="003766FE">
        <w:rPr>
          <w:lang w:val="en-CA"/>
        </w:rPr>
        <w:t xml:space="preserve"> consider that it somehow ha</w:t>
      </w:r>
      <w:r w:rsidR="00856002">
        <w:rPr>
          <w:lang w:val="en-CA"/>
        </w:rPr>
        <w:t>d</w:t>
      </w:r>
      <w:r w:rsidR="00AC38A6" w:rsidRPr="0098597A">
        <w:rPr>
          <w:lang w:val="en-CA"/>
        </w:rPr>
        <w:t xml:space="preserve"> sufficient information before it </w:t>
      </w:r>
      <w:r w:rsidR="00FC579E">
        <w:rPr>
          <w:lang w:val="en-CA"/>
        </w:rPr>
        <w:t xml:space="preserve">to </w:t>
      </w:r>
      <w:r w:rsidR="00CE6071" w:rsidRPr="0098597A">
        <w:rPr>
          <w:lang w:val="en-CA"/>
        </w:rPr>
        <w:t xml:space="preserve">provide authority to its Counsel to oppose the OPA and ZBA at this hearing.  The Tribunal </w:t>
      </w:r>
      <w:r w:rsidR="001D0FFD">
        <w:rPr>
          <w:lang w:val="en-CA"/>
        </w:rPr>
        <w:t>has, in its determination of these Appeals,</w:t>
      </w:r>
      <w:r w:rsidR="001D0FFD" w:rsidRPr="0098597A">
        <w:rPr>
          <w:lang w:val="en-CA"/>
        </w:rPr>
        <w:t xml:space="preserve"> </w:t>
      </w:r>
      <w:r w:rsidR="00CE6071" w:rsidRPr="0098597A">
        <w:rPr>
          <w:lang w:val="en-CA"/>
        </w:rPr>
        <w:t>ha</w:t>
      </w:r>
      <w:r w:rsidR="001D0FFD">
        <w:rPr>
          <w:lang w:val="en-CA"/>
        </w:rPr>
        <w:t>d</w:t>
      </w:r>
      <w:r w:rsidR="00CE6071" w:rsidRPr="0098597A">
        <w:rPr>
          <w:lang w:val="en-CA"/>
        </w:rPr>
        <w:t xml:space="preserve"> regard to matters as outlined in s. 2.1 (2) of the Act</w:t>
      </w:r>
      <w:r w:rsidR="00650156">
        <w:rPr>
          <w:lang w:val="en-CA"/>
        </w:rPr>
        <w:t>,</w:t>
      </w:r>
      <w:r w:rsidR="00CE6071" w:rsidRPr="0098597A">
        <w:rPr>
          <w:lang w:val="en-CA"/>
        </w:rPr>
        <w:t xml:space="preserve"> which states:</w:t>
      </w:r>
    </w:p>
    <w:p w14:paraId="1CF3D0E8" w14:textId="50A206B5" w:rsidR="00CE6071" w:rsidRPr="0098597A" w:rsidRDefault="00CE6071" w:rsidP="00CE6071">
      <w:pPr>
        <w:pStyle w:val="ListParagraph"/>
        <w:rPr>
          <w:rFonts w:cs="Arial"/>
          <w:lang w:val="en-CA"/>
        </w:rPr>
      </w:pPr>
    </w:p>
    <w:p w14:paraId="72E830F5" w14:textId="03864E61" w:rsidR="00CE6071" w:rsidRPr="0098597A" w:rsidRDefault="00CE6071" w:rsidP="00CE6071">
      <w:pPr>
        <w:spacing w:line="240" w:lineRule="auto"/>
        <w:ind w:left="1440" w:right="1440"/>
        <w:rPr>
          <w:sz w:val="20"/>
          <w:szCs w:val="20"/>
          <w:lang w:val="en-CA"/>
        </w:rPr>
      </w:pPr>
      <w:r w:rsidRPr="0098597A">
        <w:rPr>
          <w:sz w:val="20"/>
          <w:szCs w:val="20"/>
          <w:lang w:val="en-CA"/>
        </w:rPr>
        <w:t>When the Tribunal makes a decision under this Act that relates to a planning matter that is appealed because of the failure of a municipal council or approval authority to make a decision, the Tribunal shall have regard to any information and material that the municipal council or approval authority received in relation to the matter.</w:t>
      </w:r>
    </w:p>
    <w:p w14:paraId="4E208FA0" w14:textId="77777777" w:rsidR="00CE6071" w:rsidRPr="0098597A" w:rsidRDefault="00CE6071" w:rsidP="00CE6071">
      <w:pPr>
        <w:pStyle w:val="ListParagraph"/>
        <w:rPr>
          <w:rFonts w:cs="Arial"/>
          <w:lang w:val="en-CA"/>
        </w:rPr>
      </w:pPr>
    </w:p>
    <w:p w14:paraId="16F3AB00" w14:textId="5AE773C7" w:rsidR="00CE6071" w:rsidRPr="0098597A" w:rsidRDefault="00CE6071" w:rsidP="00907785">
      <w:pPr>
        <w:numPr>
          <w:ilvl w:val="0"/>
          <w:numId w:val="1"/>
        </w:numPr>
        <w:ind w:left="0" w:firstLine="0"/>
        <w:rPr>
          <w:rFonts w:cs="Arial"/>
          <w:lang w:val="en-CA"/>
        </w:rPr>
      </w:pPr>
      <w:r w:rsidRPr="0098597A">
        <w:rPr>
          <w:lang w:val="en-CA"/>
        </w:rPr>
        <w:t xml:space="preserve">The Tribunal notes that the urban design evidence has little impact on the fundamental Provincial and </w:t>
      </w:r>
      <w:r w:rsidR="00856002">
        <w:rPr>
          <w:lang w:val="en-CA"/>
        </w:rPr>
        <w:t>m</w:t>
      </w:r>
      <w:r w:rsidRPr="0098597A">
        <w:rPr>
          <w:lang w:val="en-CA"/>
        </w:rPr>
        <w:t>unicipal planning policy related findings in this matter.  The structure of the proposal is sound and most of the issues could be addressed with further detailed design and minor modifications to the site plan found in Exhibit 2</w:t>
      </w:r>
      <w:r w:rsidR="00650156">
        <w:rPr>
          <w:lang w:val="en-CA"/>
        </w:rPr>
        <w:t>,</w:t>
      </w:r>
      <w:r w:rsidRPr="0098597A">
        <w:rPr>
          <w:lang w:val="en-CA"/>
        </w:rPr>
        <w:t xml:space="preserve"> Tab</w:t>
      </w:r>
      <w:r w:rsidR="00650156">
        <w:rPr>
          <w:lang w:val="en-CA"/>
        </w:rPr>
        <w:t> </w:t>
      </w:r>
      <w:r w:rsidRPr="0098597A">
        <w:rPr>
          <w:lang w:val="en-CA"/>
        </w:rPr>
        <w:t>44.  Since the proposal</w:t>
      </w:r>
      <w:r w:rsidR="00D717AB">
        <w:rPr>
          <w:lang w:val="en-CA"/>
        </w:rPr>
        <w:t xml:space="preserve"> however</w:t>
      </w:r>
      <w:r w:rsidRPr="0098597A">
        <w:rPr>
          <w:lang w:val="en-CA"/>
        </w:rPr>
        <w:t xml:space="preserve"> fails on the more germane and fundamental planning policy issues, urban design principles are not evaluated in detail and therefore ha</w:t>
      </w:r>
      <w:r w:rsidR="00D717AB">
        <w:rPr>
          <w:lang w:val="en-CA"/>
        </w:rPr>
        <w:t>ve</w:t>
      </w:r>
      <w:r w:rsidRPr="0098597A">
        <w:rPr>
          <w:lang w:val="en-CA"/>
        </w:rPr>
        <w:t xml:space="preserve"> little relevance in the Tribunals decision.</w:t>
      </w:r>
    </w:p>
    <w:p w14:paraId="4CD46B21" w14:textId="77777777" w:rsidR="00CE6071" w:rsidRPr="0098597A" w:rsidRDefault="00CE6071" w:rsidP="00CE6071">
      <w:pPr>
        <w:rPr>
          <w:rFonts w:cs="Arial"/>
          <w:lang w:val="en-CA"/>
        </w:rPr>
      </w:pPr>
    </w:p>
    <w:p w14:paraId="4E978F60" w14:textId="7C51899B" w:rsidR="00CE6071" w:rsidRPr="0098597A" w:rsidRDefault="00CE6071" w:rsidP="00907785">
      <w:pPr>
        <w:numPr>
          <w:ilvl w:val="0"/>
          <w:numId w:val="1"/>
        </w:numPr>
        <w:ind w:left="0" w:firstLine="0"/>
        <w:rPr>
          <w:rFonts w:cs="Arial"/>
          <w:lang w:val="en-CA"/>
        </w:rPr>
      </w:pPr>
      <w:r w:rsidRPr="0098597A">
        <w:rPr>
          <w:lang w:val="en-CA"/>
        </w:rPr>
        <w:t xml:space="preserve">The Tribunal finds that the proposal </w:t>
      </w:r>
      <w:r w:rsidR="00F30380">
        <w:rPr>
          <w:lang w:val="en-CA"/>
        </w:rPr>
        <w:t>gives rise to the following concern</w:t>
      </w:r>
      <w:r w:rsidR="00292513">
        <w:rPr>
          <w:lang w:val="en-CA"/>
        </w:rPr>
        <w:t>s and matters of non-conformity</w:t>
      </w:r>
      <w:r w:rsidRPr="0098597A">
        <w:rPr>
          <w:lang w:val="en-CA"/>
        </w:rPr>
        <w:t>:</w:t>
      </w:r>
    </w:p>
    <w:p w14:paraId="182E86B2" w14:textId="4BF219FA" w:rsidR="00CE6071" w:rsidRPr="0098597A" w:rsidRDefault="00CE6071" w:rsidP="00CE6071">
      <w:pPr>
        <w:pStyle w:val="ListParagraph"/>
        <w:rPr>
          <w:rFonts w:cs="Arial"/>
          <w:lang w:val="en-CA"/>
        </w:rPr>
      </w:pPr>
    </w:p>
    <w:p w14:paraId="5F6C2D09" w14:textId="5EAA23EB" w:rsidR="00CE6071" w:rsidRPr="0098597A" w:rsidRDefault="003271FC" w:rsidP="00845E55">
      <w:pPr>
        <w:pStyle w:val="ListParagraph"/>
        <w:numPr>
          <w:ilvl w:val="1"/>
          <w:numId w:val="1"/>
        </w:numPr>
        <w:spacing w:after="120"/>
        <w:ind w:hanging="720"/>
        <w:rPr>
          <w:lang w:val="en-CA"/>
        </w:rPr>
      </w:pPr>
      <w:r>
        <w:rPr>
          <w:lang w:val="en-CA"/>
        </w:rPr>
        <w:t>I</w:t>
      </w:r>
      <w:r w:rsidR="00292513">
        <w:rPr>
          <w:lang w:val="en-CA"/>
        </w:rPr>
        <w:t xml:space="preserve">t </w:t>
      </w:r>
      <w:r w:rsidR="00CE6071" w:rsidRPr="0098597A">
        <w:rPr>
          <w:lang w:val="en-CA"/>
        </w:rPr>
        <w:t>reduc</w:t>
      </w:r>
      <w:r w:rsidR="00944B0E">
        <w:rPr>
          <w:lang w:val="en-CA"/>
        </w:rPr>
        <w:t>e</w:t>
      </w:r>
      <w:r w:rsidR="00856002">
        <w:rPr>
          <w:lang w:val="en-CA"/>
        </w:rPr>
        <w:t>s</w:t>
      </w:r>
      <w:r w:rsidR="00CE6071" w:rsidRPr="0098597A">
        <w:rPr>
          <w:lang w:val="en-CA"/>
        </w:rPr>
        <w:t xml:space="preserve"> the planned density in a portion of the two high density areas designated in the WNSP </w:t>
      </w:r>
      <w:r w:rsidR="00944B0E">
        <w:rPr>
          <w:lang w:val="en-CA"/>
        </w:rPr>
        <w:t xml:space="preserve">and </w:t>
      </w:r>
      <w:r w:rsidR="00CE6071" w:rsidRPr="0098597A">
        <w:rPr>
          <w:lang w:val="en-CA"/>
        </w:rPr>
        <w:t xml:space="preserve">may present a risk that the overall density targets of the UHOP may not be met and the remaining </w:t>
      </w:r>
      <w:r w:rsidR="00650156">
        <w:rPr>
          <w:lang w:val="en-CA"/>
        </w:rPr>
        <w:t>h</w:t>
      </w:r>
      <w:r w:rsidR="00CE6071" w:rsidRPr="0098597A">
        <w:rPr>
          <w:lang w:val="en-CA"/>
        </w:rPr>
        <w:t xml:space="preserve">igh </w:t>
      </w:r>
      <w:r w:rsidR="00650156">
        <w:rPr>
          <w:lang w:val="en-CA"/>
        </w:rPr>
        <w:t>d</w:t>
      </w:r>
      <w:r w:rsidR="00CE6071" w:rsidRPr="0098597A">
        <w:rPr>
          <w:lang w:val="en-CA"/>
        </w:rPr>
        <w:t xml:space="preserve">ensity </w:t>
      </w:r>
      <w:r w:rsidR="00650156">
        <w:rPr>
          <w:lang w:val="en-CA"/>
        </w:rPr>
        <w:t>a</w:t>
      </w:r>
      <w:r w:rsidR="00CE6071" w:rsidRPr="0098597A">
        <w:rPr>
          <w:lang w:val="en-CA"/>
        </w:rPr>
        <w:t>reas in the WNSP may not be able to meet the minimum density target requirements across the Secondary Plan area</w:t>
      </w:r>
      <w:r w:rsidR="00650156">
        <w:rPr>
          <w:lang w:val="en-CA"/>
        </w:rPr>
        <w:t>;</w:t>
      </w:r>
    </w:p>
    <w:p w14:paraId="54089BEB" w14:textId="57116B73" w:rsidR="00CE6071" w:rsidRPr="0098597A" w:rsidRDefault="003271FC" w:rsidP="00845E55">
      <w:pPr>
        <w:pStyle w:val="ListParagraph"/>
        <w:numPr>
          <w:ilvl w:val="1"/>
          <w:numId w:val="1"/>
        </w:numPr>
        <w:spacing w:after="120"/>
        <w:ind w:hanging="720"/>
        <w:rPr>
          <w:lang w:val="en-CA"/>
        </w:rPr>
      </w:pPr>
      <w:r>
        <w:rPr>
          <w:lang w:val="en-CA"/>
        </w:rPr>
        <w:t xml:space="preserve">It </w:t>
      </w:r>
      <w:r w:rsidR="00CE6071" w:rsidRPr="0098597A">
        <w:rPr>
          <w:lang w:val="en-CA"/>
        </w:rPr>
        <w:t>limit</w:t>
      </w:r>
      <w:r w:rsidR="00B621A2">
        <w:rPr>
          <w:lang w:val="en-CA"/>
        </w:rPr>
        <w:t>s</w:t>
      </w:r>
      <w:r w:rsidR="00CE6071" w:rsidRPr="0098597A">
        <w:rPr>
          <w:lang w:val="en-CA"/>
        </w:rPr>
        <w:t xml:space="preserve"> the range and mix of housing options by reducing potential apartments type units thereby simply not providing a housing alternative </w:t>
      </w:r>
      <w:r w:rsidR="00CE6071" w:rsidRPr="0098597A">
        <w:rPr>
          <w:lang w:val="en-CA"/>
        </w:rPr>
        <w:lastRenderedPageBreak/>
        <w:t>that would serve an important segment of the current and future population and thereby risks the provision of much needed affordable housing in the Waterdown North Community</w:t>
      </w:r>
      <w:r w:rsidR="00650156">
        <w:rPr>
          <w:lang w:val="en-CA"/>
        </w:rPr>
        <w:t>;</w:t>
      </w:r>
    </w:p>
    <w:p w14:paraId="6952648E" w14:textId="06DB8BD3" w:rsidR="00CE6071" w:rsidRPr="0098597A" w:rsidRDefault="003271FC" w:rsidP="00845E55">
      <w:pPr>
        <w:pStyle w:val="ListParagraph"/>
        <w:numPr>
          <w:ilvl w:val="1"/>
          <w:numId w:val="1"/>
        </w:numPr>
        <w:spacing w:after="120"/>
        <w:ind w:hanging="720"/>
        <w:rPr>
          <w:lang w:val="en-CA"/>
        </w:rPr>
      </w:pPr>
      <w:r>
        <w:rPr>
          <w:lang w:val="en-CA"/>
        </w:rPr>
        <w:t xml:space="preserve">It </w:t>
      </w:r>
      <w:r w:rsidR="00CE6071" w:rsidRPr="0098597A">
        <w:rPr>
          <w:lang w:val="en-CA"/>
        </w:rPr>
        <w:t>make</w:t>
      </w:r>
      <w:r w:rsidR="00856002">
        <w:rPr>
          <w:lang w:val="en-CA"/>
        </w:rPr>
        <w:t>s</w:t>
      </w:r>
      <w:r w:rsidR="00CE6071" w:rsidRPr="0098597A">
        <w:rPr>
          <w:lang w:val="en-CA"/>
        </w:rPr>
        <w:t xml:space="preserve"> inefficient use of existing and planned infrastructure and community services that was properly planned for in a comprehensive and integrated </w:t>
      </w:r>
      <w:proofErr w:type="gramStart"/>
      <w:r w:rsidR="00CE6071" w:rsidRPr="0098597A">
        <w:rPr>
          <w:lang w:val="en-CA"/>
        </w:rPr>
        <w:t>manner</w:t>
      </w:r>
      <w:r w:rsidR="00650156">
        <w:rPr>
          <w:lang w:val="en-CA"/>
        </w:rPr>
        <w:t>;</w:t>
      </w:r>
      <w:proofErr w:type="gramEnd"/>
    </w:p>
    <w:p w14:paraId="18E881CA" w14:textId="2CEA2162" w:rsidR="00CE6071" w:rsidRPr="0098597A" w:rsidRDefault="003271FC" w:rsidP="00845E55">
      <w:pPr>
        <w:pStyle w:val="ListParagraph"/>
        <w:numPr>
          <w:ilvl w:val="1"/>
          <w:numId w:val="1"/>
        </w:numPr>
        <w:spacing w:after="120"/>
        <w:ind w:hanging="720"/>
        <w:rPr>
          <w:lang w:val="en-CA"/>
        </w:rPr>
      </w:pPr>
      <w:r>
        <w:rPr>
          <w:lang w:val="en-CA"/>
        </w:rPr>
        <w:t xml:space="preserve">It </w:t>
      </w:r>
      <w:r w:rsidR="00CE6071" w:rsidRPr="0098597A">
        <w:rPr>
          <w:lang w:val="en-CA"/>
        </w:rPr>
        <w:t xml:space="preserve">may result in unnecessary boundary expansions into rural </w:t>
      </w:r>
      <w:proofErr w:type="gramStart"/>
      <w:r w:rsidR="00CE6071" w:rsidRPr="0098597A">
        <w:rPr>
          <w:lang w:val="en-CA"/>
        </w:rPr>
        <w:t>areas</w:t>
      </w:r>
      <w:r w:rsidR="00650156">
        <w:rPr>
          <w:lang w:val="en-CA"/>
        </w:rPr>
        <w:t>;</w:t>
      </w:r>
      <w:proofErr w:type="gramEnd"/>
    </w:p>
    <w:p w14:paraId="2AC7F2EF" w14:textId="19593E85" w:rsidR="00CE6071" w:rsidRPr="0098597A" w:rsidRDefault="003271FC" w:rsidP="00845E55">
      <w:pPr>
        <w:pStyle w:val="ListParagraph"/>
        <w:numPr>
          <w:ilvl w:val="1"/>
          <w:numId w:val="1"/>
        </w:numPr>
        <w:spacing w:after="120"/>
        <w:ind w:hanging="720"/>
        <w:rPr>
          <w:lang w:val="en-CA"/>
        </w:rPr>
      </w:pPr>
      <w:r>
        <w:rPr>
          <w:lang w:val="en-CA"/>
        </w:rPr>
        <w:t xml:space="preserve">The </w:t>
      </w:r>
      <w:r w:rsidR="00650156">
        <w:rPr>
          <w:lang w:val="en-CA"/>
        </w:rPr>
        <w:t>e</w:t>
      </w:r>
      <w:r w:rsidR="00CE6071" w:rsidRPr="0098597A">
        <w:rPr>
          <w:lang w:val="en-CA"/>
        </w:rPr>
        <w:t xml:space="preserve">vidence is clear that the WNSP has worked very well in guiding the development of Waterdown North </w:t>
      </w:r>
      <w:r w:rsidR="00650156">
        <w:rPr>
          <w:lang w:val="en-CA"/>
        </w:rPr>
        <w:t xml:space="preserve">Community </w:t>
      </w:r>
      <w:r w:rsidR="00CE6071" w:rsidRPr="0098597A">
        <w:rPr>
          <w:lang w:val="en-CA"/>
        </w:rPr>
        <w:t xml:space="preserve">for the last 20 years in keeping with the designated land uses, the establishment of a transportation network, the provision of many important community facilities, ensuring infrastructure is available for the residents when they arrive, and implementing a high standard of built form for the community.  The </w:t>
      </w:r>
      <w:r w:rsidR="00650156">
        <w:rPr>
          <w:lang w:val="en-CA"/>
        </w:rPr>
        <w:t>S</w:t>
      </w:r>
      <w:r w:rsidR="00CE6071" w:rsidRPr="0098597A">
        <w:rPr>
          <w:lang w:val="en-CA"/>
        </w:rPr>
        <w:t xml:space="preserve">econdary </w:t>
      </w:r>
      <w:r w:rsidR="00650156">
        <w:rPr>
          <w:lang w:val="en-CA"/>
        </w:rPr>
        <w:t>P</w:t>
      </w:r>
      <w:r w:rsidR="00CE6071" w:rsidRPr="0098597A">
        <w:rPr>
          <w:lang w:val="en-CA"/>
        </w:rPr>
        <w:t>lan area is well on its way to accommodating the approximately 2,000 dwelling units and 5,000 residents along with complementary employment, institutional and commercial uses.  The two high density areas on the north side of North Waterdown Dr</w:t>
      </w:r>
      <w:r w:rsidR="00650156">
        <w:rPr>
          <w:lang w:val="en-CA"/>
        </w:rPr>
        <w:t>ive</w:t>
      </w:r>
      <w:r w:rsidR="00CE6071" w:rsidRPr="0098597A">
        <w:rPr>
          <w:lang w:val="en-CA"/>
        </w:rPr>
        <w:t xml:space="preserve"> are important components of the planned Urban Structure and should be maintained as planned in keeping with the policies of the UHOP and </w:t>
      </w:r>
      <w:proofErr w:type="gramStart"/>
      <w:r w:rsidR="00CE6071" w:rsidRPr="0098597A">
        <w:rPr>
          <w:lang w:val="en-CA"/>
        </w:rPr>
        <w:t>WNSP</w:t>
      </w:r>
      <w:r w:rsidR="00650156">
        <w:rPr>
          <w:lang w:val="en-CA"/>
        </w:rPr>
        <w:t>;</w:t>
      </w:r>
      <w:proofErr w:type="gramEnd"/>
    </w:p>
    <w:p w14:paraId="53BF786A" w14:textId="23D431CB" w:rsidR="00CE6071" w:rsidRPr="0098597A" w:rsidRDefault="003271FC" w:rsidP="00845E55">
      <w:pPr>
        <w:pStyle w:val="ListParagraph"/>
        <w:numPr>
          <w:ilvl w:val="1"/>
          <w:numId w:val="1"/>
        </w:numPr>
        <w:spacing w:after="120"/>
        <w:ind w:hanging="720"/>
        <w:rPr>
          <w:lang w:val="en-CA"/>
        </w:rPr>
      </w:pPr>
      <w:r>
        <w:rPr>
          <w:lang w:val="en-CA"/>
        </w:rPr>
        <w:t>A</w:t>
      </w:r>
      <w:r w:rsidR="00CE6071" w:rsidRPr="0098597A">
        <w:rPr>
          <w:lang w:val="en-CA"/>
        </w:rPr>
        <w:t xml:space="preserve"> reduction in a planned </w:t>
      </w:r>
      <w:proofErr w:type="gramStart"/>
      <w:r w:rsidR="00650156">
        <w:rPr>
          <w:lang w:val="en-CA"/>
        </w:rPr>
        <w:t>h</w:t>
      </w:r>
      <w:r w:rsidR="00CE6071" w:rsidRPr="0098597A">
        <w:rPr>
          <w:lang w:val="en-CA"/>
        </w:rPr>
        <w:t xml:space="preserve">igh </w:t>
      </w:r>
      <w:r w:rsidR="00650156">
        <w:rPr>
          <w:lang w:val="en-CA"/>
        </w:rPr>
        <w:t>d</w:t>
      </w:r>
      <w:r w:rsidR="00CE6071" w:rsidRPr="0098597A">
        <w:rPr>
          <w:lang w:val="en-CA"/>
        </w:rPr>
        <w:t>ensity</w:t>
      </w:r>
      <w:proofErr w:type="gramEnd"/>
      <w:r w:rsidR="00CE6071" w:rsidRPr="0098597A">
        <w:rPr>
          <w:lang w:val="en-CA"/>
        </w:rPr>
        <w:t xml:space="preserve"> </w:t>
      </w:r>
      <w:r w:rsidR="00856002" w:rsidRPr="0098597A">
        <w:rPr>
          <w:lang w:val="en-CA"/>
        </w:rPr>
        <w:t>area</w:t>
      </w:r>
      <w:r w:rsidR="00856002">
        <w:rPr>
          <w:lang w:val="en-CA"/>
        </w:rPr>
        <w:t xml:space="preserve"> and</w:t>
      </w:r>
      <w:r w:rsidR="00CE6071" w:rsidRPr="0098597A">
        <w:rPr>
          <w:lang w:val="en-CA"/>
        </w:rPr>
        <w:t xml:space="preserve"> </w:t>
      </w:r>
      <w:r w:rsidR="00D5292C">
        <w:rPr>
          <w:lang w:val="en-CA"/>
        </w:rPr>
        <w:t>failing to</w:t>
      </w:r>
      <w:r w:rsidR="00CE6071" w:rsidRPr="0098597A">
        <w:rPr>
          <w:lang w:val="en-CA"/>
        </w:rPr>
        <w:t xml:space="preserve"> </w:t>
      </w:r>
      <w:r w:rsidR="00856002">
        <w:rPr>
          <w:lang w:val="en-CA"/>
        </w:rPr>
        <w:t xml:space="preserve">optimize </w:t>
      </w:r>
      <w:r w:rsidR="00CE6071" w:rsidRPr="0098597A">
        <w:rPr>
          <w:lang w:val="en-CA"/>
        </w:rPr>
        <w:t xml:space="preserve">the use of undeveloped lands, potentially compromises the achievement of the City’s vision to be a more sustainable community while having potential impacts on the rural areas of the City. </w:t>
      </w:r>
      <w:r w:rsidR="00650156">
        <w:rPr>
          <w:lang w:val="en-CA"/>
        </w:rPr>
        <w:t xml:space="preserve"> </w:t>
      </w:r>
      <w:r w:rsidR="00A84909">
        <w:rPr>
          <w:lang w:val="en-CA"/>
        </w:rPr>
        <w:t>As such</w:t>
      </w:r>
      <w:r w:rsidR="00CE6071" w:rsidRPr="0098597A">
        <w:rPr>
          <w:lang w:val="en-CA"/>
        </w:rPr>
        <w:t xml:space="preserve">, the proposal negatively impacts the City’s vision as determined by its sustainable community policies. </w:t>
      </w:r>
      <w:r w:rsidR="00650156">
        <w:rPr>
          <w:lang w:val="en-CA"/>
        </w:rPr>
        <w:t xml:space="preserve"> </w:t>
      </w:r>
      <w:r w:rsidR="00CE6071" w:rsidRPr="0098597A">
        <w:rPr>
          <w:lang w:val="en-CA"/>
        </w:rPr>
        <w:t xml:space="preserve">Density targets not met within individual neighbourhoods or communities will result in additional pressures being placed on other areas of the City to make up the difference or the need for additional unnecessary boundary </w:t>
      </w:r>
      <w:proofErr w:type="gramStart"/>
      <w:r w:rsidR="00CE6071" w:rsidRPr="0098597A">
        <w:rPr>
          <w:lang w:val="en-CA"/>
        </w:rPr>
        <w:t>expansions</w:t>
      </w:r>
      <w:r w:rsidR="00650156">
        <w:rPr>
          <w:lang w:val="en-CA"/>
        </w:rPr>
        <w:t>;</w:t>
      </w:r>
      <w:proofErr w:type="gramEnd"/>
      <w:r w:rsidR="00CE6071" w:rsidRPr="0098597A">
        <w:rPr>
          <w:lang w:val="en-CA"/>
        </w:rPr>
        <w:t xml:space="preserve"> </w:t>
      </w:r>
    </w:p>
    <w:p w14:paraId="737B602F" w14:textId="1C72718D" w:rsidR="00CE6071" w:rsidRPr="0098597A" w:rsidRDefault="00947E3A" w:rsidP="00845E55">
      <w:pPr>
        <w:pStyle w:val="ListParagraph"/>
        <w:numPr>
          <w:ilvl w:val="1"/>
          <w:numId w:val="1"/>
        </w:numPr>
        <w:spacing w:after="120"/>
        <w:ind w:hanging="720"/>
        <w:rPr>
          <w:lang w:val="en-CA"/>
        </w:rPr>
      </w:pPr>
      <w:r>
        <w:rPr>
          <w:lang w:val="en-CA"/>
        </w:rPr>
        <w:lastRenderedPageBreak/>
        <w:t>T</w:t>
      </w:r>
      <w:r w:rsidR="00CE6071" w:rsidRPr="0098597A">
        <w:rPr>
          <w:lang w:val="en-CA"/>
        </w:rPr>
        <w:t xml:space="preserve">he UHOP is clear in its </w:t>
      </w:r>
      <w:proofErr w:type="gramStart"/>
      <w:r w:rsidR="00CE6071" w:rsidRPr="0098597A">
        <w:rPr>
          <w:lang w:val="en-CA"/>
        </w:rPr>
        <w:t>high level</w:t>
      </w:r>
      <w:proofErr w:type="gramEnd"/>
      <w:r w:rsidR="00CE6071" w:rsidRPr="0098597A">
        <w:rPr>
          <w:lang w:val="en-CA"/>
        </w:rPr>
        <w:t xml:space="preserve"> strategic directions to create a compact and health</w:t>
      </w:r>
      <w:r>
        <w:rPr>
          <w:lang w:val="en-CA"/>
        </w:rPr>
        <w:t>y</w:t>
      </w:r>
      <w:r w:rsidR="00CE6071" w:rsidRPr="0098597A">
        <w:rPr>
          <w:lang w:val="en-CA"/>
        </w:rPr>
        <w:t xml:space="preserve"> community providing the opportunity to live, work and play to achieve complete communities.  Policy goes on to state that a full range of housing types, </w:t>
      </w:r>
      <w:r w:rsidR="00041F01" w:rsidRPr="0098597A">
        <w:rPr>
          <w:lang w:val="en-CA"/>
        </w:rPr>
        <w:t>forms,</w:t>
      </w:r>
      <w:r w:rsidR="00CE6071" w:rsidRPr="0098597A">
        <w:rPr>
          <w:lang w:val="en-CA"/>
        </w:rPr>
        <w:t xml:space="preserve"> and densities to meet the social, health and well</w:t>
      </w:r>
      <w:r w:rsidR="00650156">
        <w:rPr>
          <w:lang w:val="en-CA"/>
        </w:rPr>
        <w:t xml:space="preserve"> </w:t>
      </w:r>
      <w:r w:rsidR="00CE6071" w:rsidRPr="0098597A">
        <w:rPr>
          <w:lang w:val="en-CA"/>
        </w:rPr>
        <w:t>being requirements of all current and future residents must be accommodated throughout the urban areas of the City.  The provision</w:t>
      </w:r>
      <w:r w:rsidR="000F68FD">
        <w:rPr>
          <w:lang w:val="en-CA"/>
        </w:rPr>
        <w:t xml:space="preserve"> of</w:t>
      </w:r>
      <w:r w:rsidR="00CE6071" w:rsidRPr="0098597A">
        <w:rPr>
          <w:lang w:val="en-CA"/>
        </w:rPr>
        <w:t xml:space="preserve"> affordable housing is an important consideration of the UHOP and apartment style residential tends to be more affordable. The subject lands are part of the only </w:t>
      </w:r>
      <w:proofErr w:type="gramStart"/>
      <w:r w:rsidR="00CE6071" w:rsidRPr="0098597A">
        <w:rPr>
          <w:lang w:val="en-CA"/>
        </w:rPr>
        <w:t>high density</w:t>
      </w:r>
      <w:proofErr w:type="gramEnd"/>
      <w:r w:rsidR="00CE6071" w:rsidRPr="0098597A">
        <w:rPr>
          <w:lang w:val="en-CA"/>
        </w:rPr>
        <w:t xml:space="preserve"> designated lands in Waterdown North and therefore merit preservation for higher density development thereby allowing for a greater range of housing options in the WNSP</w:t>
      </w:r>
      <w:r w:rsidR="00650156">
        <w:rPr>
          <w:lang w:val="en-CA"/>
        </w:rPr>
        <w:t>; and</w:t>
      </w:r>
    </w:p>
    <w:p w14:paraId="5F25D792" w14:textId="196AFBEF" w:rsidR="00CE6071" w:rsidRPr="0098597A" w:rsidRDefault="00CE6071" w:rsidP="00845E55">
      <w:pPr>
        <w:pStyle w:val="ListParagraph"/>
        <w:numPr>
          <w:ilvl w:val="1"/>
          <w:numId w:val="1"/>
        </w:numPr>
        <w:ind w:hanging="720"/>
        <w:rPr>
          <w:lang w:val="en-CA"/>
        </w:rPr>
      </w:pPr>
      <w:r w:rsidRPr="0098597A">
        <w:rPr>
          <w:lang w:val="en-CA"/>
        </w:rPr>
        <w:t xml:space="preserve">high density development on the subject site will create a safe functional and attractive residential neighbourhood that is in keeping </w:t>
      </w:r>
      <w:r w:rsidR="00645780">
        <w:rPr>
          <w:lang w:val="en-CA"/>
        </w:rPr>
        <w:t xml:space="preserve">with, </w:t>
      </w:r>
      <w:r w:rsidRPr="0098597A">
        <w:rPr>
          <w:lang w:val="en-CA"/>
        </w:rPr>
        <w:t>and complements</w:t>
      </w:r>
      <w:r w:rsidR="00645780">
        <w:rPr>
          <w:lang w:val="en-CA"/>
        </w:rPr>
        <w:t>,</w:t>
      </w:r>
      <w:r w:rsidRPr="0098597A">
        <w:rPr>
          <w:lang w:val="en-CA"/>
        </w:rPr>
        <w:t xml:space="preserve"> the character of the community that exists to the south. A height of 15-storey in no way offends the existing built form of the North Waterdown </w:t>
      </w:r>
      <w:r w:rsidR="00650156">
        <w:rPr>
          <w:lang w:val="en-CA"/>
        </w:rPr>
        <w:t>C</w:t>
      </w:r>
      <w:r w:rsidRPr="0098597A">
        <w:rPr>
          <w:lang w:val="en-CA"/>
        </w:rPr>
        <w:t xml:space="preserve">ommunity. </w:t>
      </w:r>
      <w:r w:rsidR="00650156">
        <w:rPr>
          <w:lang w:val="en-CA"/>
        </w:rPr>
        <w:t xml:space="preserve"> </w:t>
      </w:r>
      <w:r w:rsidRPr="0098597A">
        <w:rPr>
          <w:lang w:val="en-CA"/>
        </w:rPr>
        <w:t xml:space="preserve">Transition policies in municipal plans are more than sufficient to manage this interface. </w:t>
      </w:r>
    </w:p>
    <w:p w14:paraId="3A647D2B" w14:textId="77777777" w:rsidR="007C3880" w:rsidRPr="0098597A" w:rsidRDefault="007C3880" w:rsidP="00CE6071">
      <w:pPr>
        <w:pStyle w:val="ListParagraph"/>
        <w:rPr>
          <w:rFonts w:cs="Arial"/>
          <w:lang w:val="en-CA"/>
        </w:rPr>
      </w:pPr>
    </w:p>
    <w:p w14:paraId="0528C6C4" w14:textId="6AB6E39F" w:rsidR="00CE6071" w:rsidRPr="0098597A" w:rsidRDefault="00CE6071" w:rsidP="00CE6071">
      <w:pPr>
        <w:pStyle w:val="ListParagraph"/>
        <w:rPr>
          <w:rFonts w:cs="Arial"/>
          <w:lang w:val="en-CA"/>
        </w:rPr>
      </w:pPr>
      <w:r w:rsidRPr="0098597A">
        <w:rPr>
          <w:b/>
          <w:lang w:val="en-CA"/>
        </w:rPr>
        <w:t>OTHER CONSIDERATIONS</w:t>
      </w:r>
    </w:p>
    <w:p w14:paraId="17C8D658" w14:textId="78032462" w:rsidR="00CE6071" w:rsidRPr="0098597A" w:rsidRDefault="00CE6071" w:rsidP="00CE6071">
      <w:pPr>
        <w:pStyle w:val="ListParagraph"/>
        <w:rPr>
          <w:rFonts w:cs="Arial"/>
          <w:lang w:val="en-CA"/>
        </w:rPr>
      </w:pPr>
    </w:p>
    <w:p w14:paraId="2B97BD10" w14:textId="11593645" w:rsidR="00CE6071" w:rsidRPr="0098597A" w:rsidRDefault="00CE6071" w:rsidP="00CE6071">
      <w:pPr>
        <w:pStyle w:val="ListParagraph"/>
        <w:rPr>
          <w:rFonts w:cs="Arial"/>
          <w:lang w:val="en-CA"/>
        </w:rPr>
      </w:pPr>
      <w:r w:rsidRPr="0098597A">
        <w:rPr>
          <w:b/>
          <w:lang w:val="en-CA"/>
        </w:rPr>
        <w:t>Transportation and Traffic Engineering</w:t>
      </w:r>
    </w:p>
    <w:p w14:paraId="4DB92257" w14:textId="77777777" w:rsidR="00CE6071" w:rsidRPr="0098597A" w:rsidRDefault="00CE6071" w:rsidP="00CE6071">
      <w:pPr>
        <w:pStyle w:val="ListParagraph"/>
        <w:rPr>
          <w:rFonts w:cs="Arial"/>
          <w:lang w:val="en-CA"/>
        </w:rPr>
      </w:pPr>
    </w:p>
    <w:p w14:paraId="76A0F6F2" w14:textId="6CB9347D" w:rsidR="00CE6071" w:rsidRPr="0098597A" w:rsidRDefault="000167A6" w:rsidP="00907785">
      <w:pPr>
        <w:numPr>
          <w:ilvl w:val="0"/>
          <w:numId w:val="1"/>
        </w:numPr>
        <w:ind w:left="0" w:firstLine="0"/>
        <w:rPr>
          <w:rFonts w:cs="Arial"/>
          <w:lang w:val="en-CA"/>
        </w:rPr>
      </w:pPr>
      <w:r>
        <w:rPr>
          <w:lang w:val="en-CA"/>
        </w:rPr>
        <w:t xml:space="preserve">The </w:t>
      </w:r>
      <w:r w:rsidR="00CE6071" w:rsidRPr="0098597A">
        <w:rPr>
          <w:lang w:val="en-CA"/>
        </w:rPr>
        <w:t xml:space="preserve">Tribunal heard transportation and traffic evidence from </w:t>
      </w:r>
      <w:r>
        <w:rPr>
          <w:lang w:val="en-CA"/>
        </w:rPr>
        <w:t>Mr.</w:t>
      </w:r>
      <w:r w:rsidRPr="0098597A">
        <w:rPr>
          <w:lang w:val="en-CA"/>
        </w:rPr>
        <w:t xml:space="preserve"> </w:t>
      </w:r>
      <w:r w:rsidR="00CE6071" w:rsidRPr="0098597A">
        <w:rPr>
          <w:lang w:val="en-CA"/>
        </w:rPr>
        <w:t xml:space="preserve">Argue for the Appellant and </w:t>
      </w:r>
      <w:r>
        <w:rPr>
          <w:lang w:val="en-CA"/>
        </w:rPr>
        <w:t>Mr.</w:t>
      </w:r>
      <w:r w:rsidRPr="0098597A">
        <w:rPr>
          <w:lang w:val="en-CA"/>
        </w:rPr>
        <w:t xml:space="preserve"> </w:t>
      </w:r>
      <w:r w:rsidR="00CE6071" w:rsidRPr="0098597A">
        <w:rPr>
          <w:lang w:val="en-CA"/>
        </w:rPr>
        <w:t>Molloy for the City.  With the completion of North Waterdown Dr</w:t>
      </w:r>
      <w:r>
        <w:rPr>
          <w:lang w:val="en-CA"/>
        </w:rPr>
        <w:t>ive,</w:t>
      </w:r>
      <w:r w:rsidR="00CE6071" w:rsidRPr="0098597A">
        <w:rPr>
          <w:lang w:val="en-CA"/>
        </w:rPr>
        <w:t xml:space="preserve"> it is agreed by the parties that Issue 16 </w:t>
      </w:r>
      <w:r w:rsidR="009B3A86">
        <w:rPr>
          <w:lang w:val="en-CA"/>
        </w:rPr>
        <w:t xml:space="preserve">which </w:t>
      </w:r>
      <w:r w:rsidR="00463314">
        <w:rPr>
          <w:lang w:val="en-CA"/>
        </w:rPr>
        <w:t>asked</w:t>
      </w:r>
      <w:r w:rsidR="00E75B57">
        <w:rPr>
          <w:lang w:val="en-CA"/>
        </w:rPr>
        <w:t>,</w:t>
      </w:r>
      <w:r w:rsidR="009B3A86" w:rsidRPr="0098597A">
        <w:rPr>
          <w:lang w:val="en-CA"/>
        </w:rPr>
        <w:t xml:space="preserve"> </w:t>
      </w:r>
      <w:r w:rsidR="00E80FB3">
        <w:rPr>
          <w:lang w:val="en-CA"/>
        </w:rPr>
        <w:t>“</w:t>
      </w:r>
      <w:r w:rsidR="00CE6071" w:rsidRPr="0098597A">
        <w:rPr>
          <w:lang w:val="en-CA"/>
        </w:rPr>
        <w:t>is the proposal premature without a holding provision”</w:t>
      </w:r>
      <w:r w:rsidR="00E75B57">
        <w:rPr>
          <w:lang w:val="en-CA"/>
        </w:rPr>
        <w:t>,</w:t>
      </w:r>
      <w:r w:rsidR="00CE6071" w:rsidRPr="0098597A">
        <w:rPr>
          <w:lang w:val="en-CA"/>
        </w:rPr>
        <w:t xml:space="preserve"> has been satisfied.  Other than a pedestrian crossing of North Waterdown Dr</w:t>
      </w:r>
      <w:r w:rsidR="00E80FB3">
        <w:rPr>
          <w:lang w:val="en-CA"/>
        </w:rPr>
        <w:t>ive</w:t>
      </w:r>
      <w:r w:rsidR="00CE6071" w:rsidRPr="0098597A">
        <w:rPr>
          <w:lang w:val="en-CA"/>
        </w:rPr>
        <w:t xml:space="preserve"> at Mosaic Dr</w:t>
      </w:r>
      <w:r w:rsidR="00E80FB3">
        <w:rPr>
          <w:lang w:val="en-CA"/>
        </w:rPr>
        <w:t>ive,</w:t>
      </w:r>
      <w:r w:rsidR="00CE6071" w:rsidRPr="0098597A">
        <w:rPr>
          <w:lang w:val="en-CA"/>
        </w:rPr>
        <w:t xml:space="preserve"> most of the evidence focused on transportation and parking related issues relating to the proposed site plan within the subject lands.  </w:t>
      </w:r>
    </w:p>
    <w:p w14:paraId="3AD2FCC2" w14:textId="77777777" w:rsidR="00CE6071" w:rsidRPr="0098597A" w:rsidRDefault="00CE6071" w:rsidP="00CE6071">
      <w:pPr>
        <w:rPr>
          <w:rFonts w:cs="Arial"/>
          <w:lang w:val="en-CA"/>
        </w:rPr>
      </w:pPr>
    </w:p>
    <w:p w14:paraId="18F7D56B" w14:textId="3DB06B9A" w:rsidR="00CE6071" w:rsidRPr="0098597A" w:rsidRDefault="00CE6071" w:rsidP="00907785">
      <w:pPr>
        <w:numPr>
          <w:ilvl w:val="0"/>
          <w:numId w:val="1"/>
        </w:numPr>
        <w:ind w:left="0" w:firstLine="0"/>
        <w:rPr>
          <w:rFonts w:cs="Arial"/>
          <w:lang w:val="en-CA"/>
        </w:rPr>
      </w:pPr>
      <w:r w:rsidRPr="0098597A">
        <w:rPr>
          <w:lang w:val="en-CA"/>
        </w:rPr>
        <w:lastRenderedPageBreak/>
        <w:t xml:space="preserve">Circulation, parking configuration, locations where visibility is challenged by proposed dwelling units and </w:t>
      </w:r>
      <w:r w:rsidR="00E75B57">
        <w:rPr>
          <w:lang w:val="en-CA"/>
        </w:rPr>
        <w:t xml:space="preserve">the </w:t>
      </w:r>
      <w:r w:rsidRPr="0098597A">
        <w:rPr>
          <w:lang w:val="en-CA"/>
        </w:rPr>
        <w:t xml:space="preserve">adequacy </w:t>
      </w:r>
      <w:r w:rsidR="00E75B57">
        <w:rPr>
          <w:lang w:val="en-CA"/>
        </w:rPr>
        <w:t xml:space="preserve">of </w:t>
      </w:r>
      <w:r w:rsidRPr="0098597A">
        <w:rPr>
          <w:lang w:val="en-CA"/>
        </w:rPr>
        <w:t xml:space="preserve">pedestrian crossings are the major points of the witness’s evidence. </w:t>
      </w:r>
      <w:r w:rsidR="006E3F40">
        <w:rPr>
          <w:lang w:val="en-CA"/>
        </w:rPr>
        <w:t xml:space="preserve"> </w:t>
      </w:r>
      <w:r w:rsidRPr="0098597A">
        <w:rPr>
          <w:lang w:val="en-CA"/>
        </w:rPr>
        <w:t>The proposal is a very ‘urban’ development that is common today in Ontario City’s and the result is a series of private roads and visitor parking areas that, as Mr. Argue opined, adequately address the challenges of both vehicular and pedestrian movements within the proposed site plan (Exhibit 2</w:t>
      </w:r>
      <w:r w:rsidR="006E3F40">
        <w:rPr>
          <w:lang w:val="en-CA"/>
        </w:rPr>
        <w:t>,</w:t>
      </w:r>
      <w:r w:rsidRPr="0098597A">
        <w:rPr>
          <w:lang w:val="en-CA"/>
        </w:rPr>
        <w:t xml:space="preserve"> Tab 44).  </w:t>
      </w:r>
    </w:p>
    <w:p w14:paraId="36A7F4F0" w14:textId="77777777" w:rsidR="00CE6071" w:rsidRPr="0098597A" w:rsidRDefault="00CE6071" w:rsidP="00CE6071">
      <w:pPr>
        <w:pStyle w:val="ListParagraph"/>
        <w:rPr>
          <w:rFonts w:cs="Arial"/>
          <w:lang w:val="en-CA"/>
        </w:rPr>
      </w:pPr>
    </w:p>
    <w:p w14:paraId="233B57E7" w14:textId="46946BFC" w:rsidR="00CE6071" w:rsidRPr="0098597A" w:rsidRDefault="00CE6071" w:rsidP="00907785">
      <w:pPr>
        <w:numPr>
          <w:ilvl w:val="0"/>
          <w:numId w:val="1"/>
        </w:numPr>
        <w:ind w:left="0" w:firstLine="0"/>
        <w:rPr>
          <w:rFonts w:cs="Arial"/>
          <w:lang w:val="en-CA"/>
        </w:rPr>
      </w:pPr>
      <w:r w:rsidRPr="0098597A">
        <w:rPr>
          <w:lang w:val="en-CA"/>
        </w:rPr>
        <w:t>Mr. Argue stated in evidence that agreement could be found with the City for an appropriate form of pedestrian crossing of North Waterdown Dr</w:t>
      </w:r>
      <w:r w:rsidR="006E3F40">
        <w:rPr>
          <w:lang w:val="en-CA"/>
        </w:rPr>
        <w:t>ive</w:t>
      </w:r>
      <w:r w:rsidRPr="0098597A">
        <w:rPr>
          <w:lang w:val="en-CA"/>
        </w:rPr>
        <w:t>.</w:t>
      </w:r>
    </w:p>
    <w:p w14:paraId="4096FCE6" w14:textId="77777777" w:rsidR="00CE6071" w:rsidRPr="0098597A" w:rsidRDefault="00CE6071" w:rsidP="00CE6071">
      <w:pPr>
        <w:pStyle w:val="ListParagraph"/>
        <w:rPr>
          <w:rFonts w:cs="Arial"/>
          <w:lang w:val="en-CA"/>
        </w:rPr>
      </w:pPr>
    </w:p>
    <w:p w14:paraId="7424BDEC" w14:textId="7AF4D946" w:rsidR="00CE6071" w:rsidRPr="0098597A" w:rsidRDefault="00CE6071" w:rsidP="00907785">
      <w:pPr>
        <w:numPr>
          <w:ilvl w:val="0"/>
          <w:numId w:val="1"/>
        </w:numPr>
        <w:ind w:left="0" w:firstLine="0"/>
        <w:rPr>
          <w:rFonts w:cs="Arial"/>
          <w:lang w:val="en-CA"/>
        </w:rPr>
      </w:pPr>
      <w:r w:rsidRPr="0098597A">
        <w:rPr>
          <w:lang w:val="en-CA"/>
        </w:rPr>
        <w:t>The Tribunal finds that all site related transportation, parking and pedestrian issues brought forward in expert evidence could be adequately managed through further detailed review.  Since the proposal fails on the more germane and fundamental planning policy issues, these issues are not evaluated in detail and therefore have little relevance in the Tribunal</w:t>
      </w:r>
      <w:r w:rsidR="006E3F40">
        <w:rPr>
          <w:lang w:val="en-CA"/>
        </w:rPr>
        <w:t>’</w:t>
      </w:r>
      <w:r w:rsidRPr="0098597A">
        <w:rPr>
          <w:lang w:val="en-CA"/>
        </w:rPr>
        <w:t xml:space="preserve">s decision.  All would have been appropriately dealt with at the </w:t>
      </w:r>
      <w:r w:rsidR="006E3F40">
        <w:rPr>
          <w:lang w:val="en-CA"/>
        </w:rPr>
        <w:t>S</w:t>
      </w:r>
      <w:r w:rsidRPr="0098597A">
        <w:rPr>
          <w:lang w:val="en-CA"/>
        </w:rPr>
        <w:t xml:space="preserve">ite </w:t>
      </w:r>
      <w:r w:rsidR="006E3F40">
        <w:rPr>
          <w:lang w:val="en-CA"/>
        </w:rPr>
        <w:t>P</w:t>
      </w:r>
      <w:r w:rsidRPr="0098597A">
        <w:rPr>
          <w:lang w:val="en-CA"/>
        </w:rPr>
        <w:t xml:space="preserve">lan </w:t>
      </w:r>
      <w:r w:rsidR="006E3F40">
        <w:rPr>
          <w:lang w:val="en-CA"/>
        </w:rPr>
        <w:t>C</w:t>
      </w:r>
      <w:r w:rsidRPr="0098597A">
        <w:rPr>
          <w:lang w:val="en-CA"/>
        </w:rPr>
        <w:t>ontrol stage</w:t>
      </w:r>
      <w:r w:rsidR="006E3F40">
        <w:rPr>
          <w:lang w:val="en-CA"/>
        </w:rPr>
        <w:t>.</w:t>
      </w:r>
    </w:p>
    <w:p w14:paraId="4D2F1CD5" w14:textId="77777777" w:rsidR="00C424CF" w:rsidRDefault="00C424CF" w:rsidP="00CE6071">
      <w:pPr>
        <w:pStyle w:val="ListParagraph"/>
        <w:rPr>
          <w:rFonts w:cs="Arial"/>
          <w:lang w:val="en-CA"/>
        </w:rPr>
      </w:pPr>
    </w:p>
    <w:p w14:paraId="7C4217F3" w14:textId="26B6426B" w:rsidR="00CE6071" w:rsidRPr="0098597A" w:rsidRDefault="00CE6071" w:rsidP="00CE6071">
      <w:pPr>
        <w:pStyle w:val="ListParagraph"/>
        <w:rPr>
          <w:rFonts w:cs="Arial"/>
          <w:lang w:val="en-CA"/>
        </w:rPr>
      </w:pPr>
      <w:r w:rsidRPr="0098597A">
        <w:rPr>
          <w:b/>
          <w:lang w:val="en-CA"/>
        </w:rPr>
        <w:t>Potential Constraint on the Subject Property</w:t>
      </w:r>
    </w:p>
    <w:p w14:paraId="52622759" w14:textId="77777777" w:rsidR="00CE6071" w:rsidRPr="0098597A" w:rsidRDefault="00CE6071" w:rsidP="00CE6071">
      <w:pPr>
        <w:pStyle w:val="ListParagraph"/>
        <w:rPr>
          <w:rFonts w:cs="Arial"/>
          <w:lang w:val="en-CA"/>
        </w:rPr>
      </w:pPr>
    </w:p>
    <w:p w14:paraId="5A581704" w14:textId="3F3E0ED9" w:rsidR="00CE6071" w:rsidRPr="0098597A" w:rsidRDefault="00CE6071" w:rsidP="00907785">
      <w:pPr>
        <w:numPr>
          <w:ilvl w:val="0"/>
          <w:numId w:val="1"/>
        </w:numPr>
        <w:ind w:left="0" w:firstLine="0"/>
        <w:rPr>
          <w:rFonts w:cs="Arial"/>
          <w:lang w:val="en-CA"/>
        </w:rPr>
      </w:pPr>
      <w:r w:rsidRPr="0098597A">
        <w:rPr>
          <w:lang w:val="en-CA"/>
        </w:rPr>
        <w:t xml:space="preserve">The Appellants brought forward the potential of possible subsurface constraints to the construction of underground parking for </w:t>
      </w:r>
      <w:r w:rsidR="00BF5CE3">
        <w:rPr>
          <w:lang w:val="en-CA"/>
        </w:rPr>
        <w:t>h</w:t>
      </w:r>
      <w:r w:rsidRPr="0098597A">
        <w:rPr>
          <w:lang w:val="en-CA"/>
        </w:rPr>
        <w:t xml:space="preserve">igh </w:t>
      </w:r>
      <w:r w:rsidR="00BF5CE3">
        <w:rPr>
          <w:lang w:val="en-CA"/>
        </w:rPr>
        <w:t>d</w:t>
      </w:r>
      <w:r w:rsidRPr="0098597A">
        <w:rPr>
          <w:lang w:val="en-CA"/>
        </w:rPr>
        <w:t xml:space="preserve">ensity </w:t>
      </w:r>
      <w:r w:rsidR="00BF5CE3">
        <w:rPr>
          <w:lang w:val="en-CA"/>
        </w:rPr>
        <w:t>r</w:t>
      </w:r>
      <w:r w:rsidRPr="0098597A">
        <w:rPr>
          <w:lang w:val="en-CA"/>
        </w:rPr>
        <w:t>esidential development because of bedrock formations being very close to the surface.</w:t>
      </w:r>
    </w:p>
    <w:p w14:paraId="33A4F793" w14:textId="77777777" w:rsidR="00CE6071" w:rsidRPr="0098597A" w:rsidRDefault="00CE6071" w:rsidP="00CE6071">
      <w:pPr>
        <w:rPr>
          <w:rFonts w:cs="Arial"/>
          <w:lang w:val="en-CA"/>
        </w:rPr>
      </w:pPr>
    </w:p>
    <w:p w14:paraId="00FF514B" w14:textId="0CA53467" w:rsidR="00CE6071" w:rsidRPr="0098597A" w:rsidRDefault="00CE6071" w:rsidP="00907785">
      <w:pPr>
        <w:numPr>
          <w:ilvl w:val="0"/>
          <w:numId w:val="1"/>
        </w:numPr>
        <w:ind w:left="0" w:firstLine="0"/>
        <w:rPr>
          <w:rFonts w:cs="Arial"/>
          <w:lang w:val="en-CA"/>
        </w:rPr>
      </w:pPr>
      <w:r w:rsidRPr="0098597A">
        <w:rPr>
          <w:lang w:val="en-CA"/>
        </w:rPr>
        <w:t xml:space="preserve">The Tribunal heard no direct qualified geotechnical expert evidence on this potential constraint nor its direct impact on achieving the </w:t>
      </w:r>
      <w:proofErr w:type="gramStart"/>
      <w:r w:rsidRPr="0098597A">
        <w:rPr>
          <w:lang w:val="en-CA"/>
        </w:rPr>
        <w:t>High Density</w:t>
      </w:r>
      <w:proofErr w:type="gramEnd"/>
      <w:r w:rsidRPr="0098597A">
        <w:rPr>
          <w:lang w:val="en-CA"/>
        </w:rPr>
        <w:t xml:space="preserve"> designation of the WNSP on the subject site.  Planning witnesses were questioned in cross-examination but for obvious reasons had no expert opinion</w:t>
      </w:r>
      <w:r w:rsidR="006A3D9A">
        <w:rPr>
          <w:lang w:val="en-CA"/>
        </w:rPr>
        <w:t xml:space="preserve"> on this subject matter</w:t>
      </w:r>
      <w:r w:rsidRPr="0098597A">
        <w:rPr>
          <w:lang w:val="en-CA"/>
        </w:rPr>
        <w:t xml:space="preserve">.  There are two reports found in the joint document book that speak specifically to subsurface conditions. </w:t>
      </w:r>
      <w:r w:rsidR="00F8391A">
        <w:rPr>
          <w:lang w:val="en-CA"/>
        </w:rPr>
        <w:t xml:space="preserve"> </w:t>
      </w:r>
      <w:r w:rsidRPr="0098597A">
        <w:rPr>
          <w:lang w:val="en-CA"/>
        </w:rPr>
        <w:t>These reports are:</w:t>
      </w:r>
    </w:p>
    <w:p w14:paraId="4170D608" w14:textId="1F589518" w:rsidR="00CE6071" w:rsidRPr="0098597A" w:rsidRDefault="00CE6071" w:rsidP="00CE6071">
      <w:pPr>
        <w:pStyle w:val="ListParagraph"/>
        <w:rPr>
          <w:rFonts w:cs="Arial"/>
          <w:lang w:val="en-CA"/>
        </w:rPr>
      </w:pPr>
    </w:p>
    <w:p w14:paraId="29328E05" w14:textId="0C124A44" w:rsidR="00CE6071" w:rsidRPr="0098597A" w:rsidRDefault="00CE6071" w:rsidP="003A30C9">
      <w:pPr>
        <w:pStyle w:val="ListParagraph"/>
        <w:numPr>
          <w:ilvl w:val="1"/>
          <w:numId w:val="1"/>
        </w:numPr>
        <w:spacing w:after="120"/>
        <w:ind w:hanging="720"/>
        <w:rPr>
          <w:lang w:val="en-CA"/>
        </w:rPr>
      </w:pPr>
      <w:r w:rsidRPr="0098597A">
        <w:rPr>
          <w:lang w:val="en-CA"/>
        </w:rPr>
        <w:lastRenderedPageBreak/>
        <w:t xml:space="preserve">Hydrogeologic Investigations of Kaleidoscope Phase 3 Lands completed by </w:t>
      </w:r>
      <w:proofErr w:type="spellStart"/>
      <w:r w:rsidRPr="0098597A">
        <w:rPr>
          <w:lang w:val="en-CA"/>
        </w:rPr>
        <w:t>Terraprobe</w:t>
      </w:r>
      <w:proofErr w:type="spellEnd"/>
      <w:r w:rsidRPr="0098597A">
        <w:rPr>
          <w:lang w:val="en-CA"/>
        </w:rPr>
        <w:t xml:space="preserve"> Inc. prepared as part of the complete application requirements of the City (Exhibit 2</w:t>
      </w:r>
      <w:r w:rsidR="00F8391A">
        <w:rPr>
          <w:lang w:val="en-CA"/>
        </w:rPr>
        <w:t>,</w:t>
      </w:r>
      <w:r w:rsidRPr="0098597A">
        <w:rPr>
          <w:lang w:val="en-CA"/>
        </w:rPr>
        <w:t xml:space="preserve"> Tab 40</w:t>
      </w:r>
      <w:r w:rsidR="00006A4B" w:rsidRPr="0098597A">
        <w:rPr>
          <w:lang w:val="en-CA"/>
        </w:rPr>
        <w:t>)</w:t>
      </w:r>
      <w:r w:rsidRPr="0098597A">
        <w:rPr>
          <w:lang w:val="en-CA"/>
        </w:rPr>
        <w:t xml:space="preserve">. </w:t>
      </w:r>
    </w:p>
    <w:p w14:paraId="137F2D8F" w14:textId="4E99BC96" w:rsidR="00CE6071" w:rsidRPr="0098597A" w:rsidRDefault="00CE6071" w:rsidP="00CE6071">
      <w:pPr>
        <w:pStyle w:val="ListParagraph"/>
        <w:numPr>
          <w:ilvl w:val="1"/>
          <w:numId w:val="1"/>
        </w:numPr>
        <w:ind w:hanging="720"/>
        <w:rPr>
          <w:lang w:val="en-CA"/>
        </w:rPr>
      </w:pPr>
      <w:r w:rsidRPr="0098597A">
        <w:rPr>
          <w:lang w:val="en-CA"/>
        </w:rPr>
        <w:t>Geological Investigation Proposed Residential Development Kaleidoscope</w:t>
      </w:r>
      <w:r w:rsidR="00F8391A">
        <w:rPr>
          <w:lang w:val="en-CA"/>
        </w:rPr>
        <w:t xml:space="preserve"> – </w:t>
      </w:r>
      <w:r w:rsidRPr="0098597A">
        <w:rPr>
          <w:lang w:val="en-CA"/>
        </w:rPr>
        <w:t>Phase 2 completed by Soil-Mat Engineers and Consultants Ltd. (Exhibit</w:t>
      </w:r>
      <w:r w:rsidR="00F8391A">
        <w:rPr>
          <w:lang w:val="en-CA"/>
        </w:rPr>
        <w:t> </w:t>
      </w:r>
      <w:r w:rsidRPr="0098597A">
        <w:rPr>
          <w:lang w:val="en-CA"/>
        </w:rPr>
        <w:t>2</w:t>
      </w:r>
      <w:r w:rsidR="00F8391A">
        <w:rPr>
          <w:lang w:val="en-CA"/>
        </w:rPr>
        <w:t>,</w:t>
      </w:r>
      <w:r w:rsidRPr="0098597A">
        <w:rPr>
          <w:lang w:val="en-CA"/>
        </w:rPr>
        <w:t xml:space="preserve"> Tab 26).</w:t>
      </w:r>
    </w:p>
    <w:p w14:paraId="7D5461A2" w14:textId="77777777" w:rsidR="00CE6071" w:rsidRPr="0098597A" w:rsidRDefault="00CE6071" w:rsidP="00CE6071">
      <w:pPr>
        <w:pStyle w:val="ListParagraph"/>
        <w:rPr>
          <w:rFonts w:cs="Arial"/>
          <w:lang w:val="en-CA"/>
        </w:rPr>
      </w:pPr>
    </w:p>
    <w:p w14:paraId="5D87E534" w14:textId="62AAD087" w:rsidR="00CE6071" w:rsidRPr="0098597A" w:rsidRDefault="007B6CBD" w:rsidP="00907785">
      <w:pPr>
        <w:numPr>
          <w:ilvl w:val="0"/>
          <w:numId w:val="1"/>
        </w:numPr>
        <w:ind w:left="0" w:firstLine="0"/>
        <w:rPr>
          <w:rFonts w:cs="Arial"/>
          <w:lang w:val="en-CA"/>
        </w:rPr>
      </w:pPr>
      <w:r w:rsidRPr="0098597A">
        <w:rPr>
          <w:lang w:val="en-CA"/>
        </w:rPr>
        <w:t xml:space="preserve">The Tribunal finds in the absence of qualified professional evidence, it can assign little weight to potential bedrock constraints that may </w:t>
      </w:r>
      <w:r w:rsidR="001F104C">
        <w:rPr>
          <w:lang w:val="en-CA"/>
        </w:rPr>
        <w:t xml:space="preserve">be found on the subject lands and the potential challenges they present </w:t>
      </w:r>
      <w:r w:rsidRPr="0098597A">
        <w:rPr>
          <w:lang w:val="en-CA"/>
        </w:rPr>
        <w:t>to a</w:t>
      </w:r>
      <w:r w:rsidR="001F104C">
        <w:rPr>
          <w:lang w:val="en-CA"/>
        </w:rPr>
        <w:t>ny High Density</w:t>
      </w:r>
      <w:r w:rsidRPr="0098597A">
        <w:rPr>
          <w:lang w:val="en-CA"/>
        </w:rPr>
        <w:t xml:space="preserve"> proposal that </w:t>
      </w:r>
      <w:r w:rsidR="001F104C">
        <w:rPr>
          <w:lang w:val="en-CA"/>
        </w:rPr>
        <w:t>may conform to the</w:t>
      </w:r>
      <w:r w:rsidRPr="0098597A">
        <w:rPr>
          <w:lang w:val="en-CA"/>
        </w:rPr>
        <w:t xml:space="preserve"> policies of the WNSP.</w:t>
      </w:r>
    </w:p>
    <w:p w14:paraId="585D85D6" w14:textId="16E4389D" w:rsidR="007B6CBD" w:rsidRPr="0098597A" w:rsidRDefault="007B6CBD" w:rsidP="007B6CBD">
      <w:pPr>
        <w:rPr>
          <w:lang w:val="en-CA"/>
        </w:rPr>
      </w:pPr>
    </w:p>
    <w:p w14:paraId="4C5C98A8" w14:textId="13733A9D" w:rsidR="007B6CBD" w:rsidRPr="0098597A" w:rsidRDefault="007B6CBD" w:rsidP="007B6CBD">
      <w:pPr>
        <w:rPr>
          <w:lang w:val="en-CA"/>
        </w:rPr>
      </w:pPr>
      <w:r w:rsidRPr="0098597A">
        <w:rPr>
          <w:b/>
          <w:lang w:val="en-CA"/>
        </w:rPr>
        <w:t>CONCLUSIONS</w:t>
      </w:r>
    </w:p>
    <w:p w14:paraId="53F937C3" w14:textId="77777777" w:rsidR="007B6CBD" w:rsidRPr="0098597A" w:rsidRDefault="007B6CBD" w:rsidP="007B6CBD">
      <w:pPr>
        <w:rPr>
          <w:rFonts w:cs="Arial"/>
          <w:lang w:val="en-CA"/>
        </w:rPr>
      </w:pPr>
    </w:p>
    <w:p w14:paraId="6C92EF83" w14:textId="7584B69D" w:rsidR="007B6CBD" w:rsidRPr="0098597A" w:rsidRDefault="007B6CBD" w:rsidP="00907785">
      <w:pPr>
        <w:numPr>
          <w:ilvl w:val="0"/>
          <w:numId w:val="1"/>
        </w:numPr>
        <w:ind w:left="0" w:firstLine="0"/>
        <w:rPr>
          <w:rFonts w:cs="Arial"/>
          <w:lang w:val="en-CA"/>
        </w:rPr>
      </w:pPr>
      <w:r w:rsidRPr="0098597A">
        <w:rPr>
          <w:lang w:val="en-CA"/>
        </w:rPr>
        <w:t>With s</w:t>
      </w:r>
      <w:r w:rsidR="00F8391A">
        <w:rPr>
          <w:lang w:val="en-CA"/>
        </w:rPr>
        <w:t>.</w:t>
      </w:r>
      <w:r w:rsidRPr="0098597A">
        <w:rPr>
          <w:lang w:val="en-CA"/>
        </w:rPr>
        <w:t xml:space="preserve"> 2.1 (2) of the Act in mind, it is incumbent on the Tribunal to have regard for the City’s position and maintain the existing High Density designation on the subject lands in the face of differing immediate market conditions effectively argued by the Appellant’s Counsel.</w:t>
      </w:r>
    </w:p>
    <w:p w14:paraId="222EB49E" w14:textId="77777777" w:rsidR="007B6CBD" w:rsidRPr="0098597A" w:rsidRDefault="007B6CBD" w:rsidP="007B6CBD">
      <w:pPr>
        <w:pStyle w:val="ListParagraph"/>
        <w:rPr>
          <w:rFonts w:cs="Arial"/>
          <w:lang w:val="en-CA"/>
        </w:rPr>
      </w:pPr>
    </w:p>
    <w:p w14:paraId="62383AA5" w14:textId="0D9B1175" w:rsidR="007B6CBD" w:rsidRPr="0098597A" w:rsidRDefault="007B6CBD" w:rsidP="00907785">
      <w:pPr>
        <w:numPr>
          <w:ilvl w:val="0"/>
          <w:numId w:val="1"/>
        </w:numPr>
        <w:ind w:left="0" w:firstLine="0"/>
        <w:rPr>
          <w:rFonts w:cs="Arial"/>
          <w:lang w:val="en-CA"/>
        </w:rPr>
      </w:pPr>
      <w:r w:rsidRPr="0098597A">
        <w:rPr>
          <w:lang w:val="en-CA"/>
        </w:rPr>
        <w:t>The Tribunal notes that UHOP and the WNSP were completed and approved in the Growth Plan era and if anything, the policies, and targets of subsequent versions of the Provincial documents have become more stringent.  The risk of non-conformity on any single site may be small but it may result in an assault on the 2007 WNSP’s Urban Structure as approved by City Council and the Province.</w:t>
      </w:r>
    </w:p>
    <w:p w14:paraId="4AAA9D73" w14:textId="77777777" w:rsidR="007B6CBD" w:rsidRPr="0098597A" w:rsidRDefault="007B6CBD" w:rsidP="007B6CBD">
      <w:pPr>
        <w:pStyle w:val="ListParagraph"/>
        <w:rPr>
          <w:rFonts w:cs="Arial"/>
          <w:lang w:val="en-CA"/>
        </w:rPr>
      </w:pPr>
    </w:p>
    <w:p w14:paraId="10F96529" w14:textId="70D072BD" w:rsidR="007B6CBD" w:rsidRPr="0098597A" w:rsidRDefault="007B6CBD" w:rsidP="00907785">
      <w:pPr>
        <w:numPr>
          <w:ilvl w:val="0"/>
          <w:numId w:val="1"/>
        </w:numPr>
        <w:ind w:left="0" w:firstLine="0"/>
        <w:rPr>
          <w:rFonts w:cs="Arial"/>
          <w:lang w:val="en-CA"/>
        </w:rPr>
      </w:pPr>
      <w:r w:rsidRPr="0098597A">
        <w:rPr>
          <w:lang w:val="en-CA"/>
        </w:rPr>
        <w:t xml:space="preserve">The Tribunal also notes that the UHOP has a </w:t>
      </w:r>
      <w:proofErr w:type="gramStart"/>
      <w:r w:rsidRPr="0098597A">
        <w:rPr>
          <w:lang w:val="en-CA"/>
        </w:rPr>
        <w:t>well established</w:t>
      </w:r>
      <w:proofErr w:type="gramEnd"/>
      <w:r w:rsidRPr="0098597A">
        <w:rPr>
          <w:lang w:val="en-CA"/>
        </w:rPr>
        <w:t xml:space="preserve"> policy basis to implement relevant Provincial policy.  It</w:t>
      </w:r>
      <w:r w:rsidR="00D2368E">
        <w:rPr>
          <w:lang w:val="en-CA"/>
        </w:rPr>
        <w:t>’s</w:t>
      </w:r>
      <w:r w:rsidRPr="0098597A">
        <w:rPr>
          <w:lang w:val="en-CA"/>
        </w:rPr>
        <w:t xml:space="preserve"> defined Urban Structure is reinforced within detailed Secondary Plans tailored to a specific part of the City.  Secondary Plans like the WNSP followed an integrated, comprehensive planning review process which led to a careful and considered planning policy framework for the area.</w:t>
      </w:r>
    </w:p>
    <w:p w14:paraId="0B7AFA12" w14:textId="77777777" w:rsidR="007B6CBD" w:rsidRPr="0098597A" w:rsidRDefault="007B6CBD" w:rsidP="007B6CBD">
      <w:pPr>
        <w:pStyle w:val="ListParagraph"/>
        <w:rPr>
          <w:rFonts w:cs="Arial"/>
          <w:lang w:val="en-CA"/>
        </w:rPr>
      </w:pPr>
    </w:p>
    <w:p w14:paraId="153ACA99" w14:textId="27DFD459" w:rsidR="007B6CBD" w:rsidRPr="0098597A" w:rsidRDefault="007B6CBD" w:rsidP="00907785">
      <w:pPr>
        <w:numPr>
          <w:ilvl w:val="0"/>
          <w:numId w:val="1"/>
        </w:numPr>
        <w:ind w:left="0" w:firstLine="0"/>
        <w:rPr>
          <w:rFonts w:cs="Arial"/>
          <w:lang w:val="en-CA"/>
        </w:rPr>
      </w:pPr>
      <w:r w:rsidRPr="0098597A">
        <w:rPr>
          <w:lang w:val="en-CA"/>
        </w:rPr>
        <w:t xml:space="preserve">The Tribunal is of the opinion that in the face of a careful, complete, and comprehensive plan making exercises for both the UHOP and the WNSP, very compelling planning reasons must be presented in evidence to change the density provisions of the WNSP.  The onus is clearly on the Appellant and </w:t>
      </w:r>
      <w:r w:rsidR="00FE5A0A">
        <w:rPr>
          <w:lang w:val="en-CA"/>
        </w:rPr>
        <w:t>while</w:t>
      </w:r>
      <w:r w:rsidR="00FE5A0A" w:rsidRPr="0098597A">
        <w:rPr>
          <w:lang w:val="en-CA"/>
        </w:rPr>
        <w:t xml:space="preserve"> </w:t>
      </w:r>
      <w:r w:rsidRPr="0098597A">
        <w:rPr>
          <w:lang w:val="en-CA"/>
        </w:rPr>
        <w:t>evidence was well presented, it is not compelling enough to reduce the WNSP’s comprehensively established Urban Structure and overall density framework on what is</w:t>
      </w:r>
      <w:r w:rsidR="00B3286F">
        <w:rPr>
          <w:lang w:val="en-CA"/>
        </w:rPr>
        <w:t>,</w:t>
      </w:r>
      <w:r w:rsidRPr="0098597A">
        <w:rPr>
          <w:lang w:val="en-CA"/>
        </w:rPr>
        <w:t xml:space="preserve"> in effect</w:t>
      </w:r>
      <w:r w:rsidR="00B3286F">
        <w:rPr>
          <w:lang w:val="en-CA"/>
        </w:rPr>
        <w:t>,</w:t>
      </w:r>
      <w:r w:rsidRPr="0098597A">
        <w:rPr>
          <w:lang w:val="en-CA"/>
        </w:rPr>
        <w:t xml:space="preserve"> a ‘one off basis’.</w:t>
      </w:r>
    </w:p>
    <w:p w14:paraId="66A7A11E" w14:textId="77777777" w:rsidR="007B6CBD" w:rsidRPr="0098597A" w:rsidRDefault="007B6CBD" w:rsidP="007B6CBD">
      <w:pPr>
        <w:pStyle w:val="ListParagraph"/>
        <w:rPr>
          <w:rFonts w:cs="Arial"/>
          <w:lang w:val="en-CA"/>
        </w:rPr>
      </w:pPr>
    </w:p>
    <w:p w14:paraId="001FFFDE" w14:textId="66F8C192" w:rsidR="007B6CBD" w:rsidRPr="0098597A" w:rsidRDefault="007B6CBD" w:rsidP="00907785">
      <w:pPr>
        <w:numPr>
          <w:ilvl w:val="0"/>
          <w:numId w:val="1"/>
        </w:numPr>
        <w:ind w:left="0" w:firstLine="0"/>
        <w:rPr>
          <w:rFonts w:cs="Arial"/>
          <w:lang w:val="en-CA"/>
        </w:rPr>
      </w:pPr>
      <w:r w:rsidRPr="0098597A">
        <w:rPr>
          <w:lang w:val="en-CA"/>
        </w:rPr>
        <w:t xml:space="preserve">The City is continually faced with the challenges of maintaining the intent of both its and Provincial policy that as time goes on becomes increasingly challenging.  City Council in the matter has directed Counsel to maintain the </w:t>
      </w:r>
      <w:proofErr w:type="gramStart"/>
      <w:r w:rsidRPr="0098597A">
        <w:rPr>
          <w:lang w:val="en-CA"/>
        </w:rPr>
        <w:t>High Density</w:t>
      </w:r>
      <w:proofErr w:type="gramEnd"/>
      <w:r w:rsidRPr="0098597A">
        <w:rPr>
          <w:lang w:val="en-CA"/>
        </w:rPr>
        <w:t xml:space="preserve"> Residential Designation on the subject lands and for the reasons outlined previously in the decision, the Tribunal agrees.</w:t>
      </w:r>
    </w:p>
    <w:p w14:paraId="230E4109" w14:textId="77777777" w:rsidR="007B6CBD" w:rsidRPr="0098597A" w:rsidRDefault="007B6CBD" w:rsidP="007B6CBD">
      <w:pPr>
        <w:pStyle w:val="ListParagraph"/>
        <w:rPr>
          <w:rFonts w:cs="Arial"/>
          <w:lang w:val="en-CA"/>
        </w:rPr>
      </w:pPr>
    </w:p>
    <w:p w14:paraId="7026FEEA" w14:textId="1772FFF4" w:rsidR="007B6CBD" w:rsidRPr="0098597A" w:rsidRDefault="007B6CBD" w:rsidP="00907785">
      <w:pPr>
        <w:numPr>
          <w:ilvl w:val="0"/>
          <w:numId w:val="1"/>
        </w:numPr>
        <w:ind w:left="0" w:firstLine="0"/>
        <w:rPr>
          <w:rFonts w:cs="Arial"/>
          <w:lang w:val="en-CA"/>
        </w:rPr>
      </w:pPr>
      <w:r w:rsidRPr="0098597A">
        <w:rPr>
          <w:lang w:val="en-CA"/>
        </w:rPr>
        <w:t xml:space="preserve">The Tribunal notes that if it was not for the policies that resulted from a comprehensive, complete, and integrated planning process to create the WNSP urban structure, the proposal represents a </w:t>
      </w:r>
      <w:proofErr w:type="gramStart"/>
      <w:r w:rsidRPr="0098597A">
        <w:rPr>
          <w:lang w:val="en-CA"/>
        </w:rPr>
        <w:t>high quality</w:t>
      </w:r>
      <w:proofErr w:type="gramEnd"/>
      <w:r w:rsidRPr="0098597A">
        <w:rPr>
          <w:lang w:val="en-CA"/>
        </w:rPr>
        <w:t xml:space="preserve"> residential development.  It is ‘urban’ in its design with many amenities both on an off the subject lands and is in a location with easy access to several existing community facilities thereby making it an attractive residential project</w:t>
      </w:r>
      <w:r w:rsidR="0073433E">
        <w:rPr>
          <w:lang w:val="en-CA"/>
        </w:rPr>
        <w:t>; b</w:t>
      </w:r>
      <w:r w:rsidRPr="0098597A">
        <w:rPr>
          <w:lang w:val="en-CA"/>
        </w:rPr>
        <w:t>ut for the Tribunal to come to a conclusion to approve the proposal in effect would be ignoring well established City policies.</w:t>
      </w:r>
    </w:p>
    <w:p w14:paraId="0E242CDC" w14:textId="77777777" w:rsidR="007B6CBD" w:rsidRPr="0098597A" w:rsidRDefault="007B6CBD" w:rsidP="007B6CBD">
      <w:pPr>
        <w:pStyle w:val="ListParagraph"/>
        <w:rPr>
          <w:rFonts w:cs="Arial"/>
          <w:lang w:val="en-CA"/>
        </w:rPr>
      </w:pPr>
    </w:p>
    <w:p w14:paraId="26405C5D" w14:textId="149272CD" w:rsidR="007B6CBD" w:rsidRPr="0098597A" w:rsidRDefault="007B6CBD" w:rsidP="00907785">
      <w:pPr>
        <w:numPr>
          <w:ilvl w:val="0"/>
          <w:numId w:val="1"/>
        </w:numPr>
        <w:ind w:left="0" w:firstLine="0"/>
        <w:rPr>
          <w:rFonts w:cs="Arial"/>
          <w:lang w:val="en-CA"/>
        </w:rPr>
      </w:pPr>
      <w:r w:rsidRPr="0098597A">
        <w:rPr>
          <w:lang w:val="en-CA"/>
        </w:rPr>
        <w:t>With this Tribunal finding, the appeal against the Site Plan cannot continue as it will not conform to the WNSP and therefore is appropriately dealt with in the Tribunal Order.</w:t>
      </w:r>
    </w:p>
    <w:p w14:paraId="423A77B4" w14:textId="77777777" w:rsidR="007B6CBD" w:rsidRPr="0098597A" w:rsidRDefault="007B6CBD" w:rsidP="007B6CBD">
      <w:pPr>
        <w:pStyle w:val="ListParagraph"/>
        <w:rPr>
          <w:rFonts w:cs="Arial"/>
          <w:lang w:val="en-CA"/>
        </w:rPr>
      </w:pPr>
    </w:p>
    <w:p w14:paraId="514AEB87" w14:textId="1D4AB83E" w:rsidR="007B6CBD" w:rsidRPr="0098597A" w:rsidRDefault="007B6CBD" w:rsidP="00907785">
      <w:pPr>
        <w:numPr>
          <w:ilvl w:val="0"/>
          <w:numId w:val="1"/>
        </w:numPr>
        <w:ind w:left="0" w:firstLine="0"/>
        <w:rPr>
          <w:rFonts w:cs="Arial"/>
          <w:lang w:val="en-CA"/>
        </w:rPr>
      </w:pPr>
      <w:r w:rsidRPr="0098597A">
        <w:rPr>
          <w:lang w:val="en-CA"/>
        </w:rPr>
        <w:t xml:space="preserve">The Tribunal prefers Mr. </w:t>
      </w:r>
      <w:proofErr w:type="spellStart"/>
      <w:r w:rsidRPr="0098597A">
        <w:rPr>
          <w:lang w:val="en-CA"/>
        </w:rPr>
        <w:t>Sajecki’s</w:t>
      </w:r>
      <w:proofErr w:type="spellEnd"/>
      <w:r w:rsidRPr="0098597A">
        <w:rPr>
          <w:lang w:val="en-CA"/>
        </w:rPr>
        <w:t xml:space="preserve"> opinion and finds the proposal as reflected in the OPA and ZBA does not have appropriate regard to the s. 2 of the Act; is not consistent with the PPS 2020, does not conform to the policies of the Growth Plan or the UHOP.  It does not conform the WN</w:t>
      </w:r>
      <w:r w:rsidR="0073433E">
        <w:rPr>
          <w:lang w:val="en-CA"/>
        </w:rPr>
        <w:t>S</w:t>
      </w:r>
      <w:r w:rsidRPr="0098597A">
        <w:rPr>
          <w:lang w:val="en-CA"/>
        </w:rPr>
        <w:t xml:space="preserve">P as it is not in keeping with a </w:t>
      </w:r>
      <w:r w:rsidRPr="0098597A">
        <w:rPr>
          <w:lang w:val="en-CA"/>
        </w:rPr>
        <w:lastRenderedPageBreak/>
        <w:t xml:space="preserve">comprehensively developed and </w:t>
      </w:r>
      <w:proofErr w:type="gramStart"/>
      <w:r w:rsidRPr="0098597A">
        <w:rPr>
          <w:lang w:val="en-CA"/>
        </w:rPr>
        <w:t>well defined</w:t>
      </w:r>
      <w:proofErr w:type="gramEnd"/>
      <w:r w:rsidRPr="0098597A">
        <w:rPr>
          <w:lang w:val="en-CA"/>
        </w:rPr>
        <w:t xml:space="preserve"> Urban Structure for the community.  The proposal does not represent good </w:t>
      </w:r>
      <w:r w:rsidR="00D15B93" w:rsidRPr="0098597A">
        <w:rPr>
          <w:lang w:val="en-CA"/>
        </w:rPr>
        <w:t>planning,</w:t>
      </w:r>
      <w:r w:rsidRPr="0098597A">
        <w:rPr>
          <w:lang w:val="en-CA"/>
        </w:rPr>
        <w:t xml:space="preserve"> nor it </w:t>
      </w:r>
      <w:r w:rsidR="0073433E">
        <w:rPr>
          <w:lang w:val="en-CA"/>
        </w:rPr>
        <w:t xml:space="preserve">is </w:t>
      </w:r>
      <w:r w:rsidRPr="0098597A">
        <w:rPr>
          <w:lang w:val="en-CA"/>
        </w:rPr>
        <w:t>in the public interest.</w:t>
      </w:r>
    </w:p>
    <w:p w14:paraId="68A81D52" w14:textId="77777777" w:rsidR="007B6CBD" w:rsidRPr="0098597A" w:rsidRDefault="007B6CBD" w:rsidP="007B6CBD">
      <w:pPr>
        <w:pStyle w:val="ListParagraph"/>
        <w:rPr>
          <w:rFonts w:cs="Arial"/>
          <w:lang w:val="en-CA"/>
        </w:rPr>
      </w:pPr>
    </w:p>
    <w:p w14:paraId="699DE005" w14:textId="26AFCCA8" w:rsidR="007B6CBD" w:rsidRPr="0098597A" w:rsidRDefault="007B6CBD" w:rsidP="00907785">
      <w:pPr>
        <w:numPr>
          <w:ilvl w:val="0"/>
          <w:numId w:val="1"/>
        </w:numPr>
        <w:ind w:left="0" w:firstLine="0"/>
        <w:rPr>
          <w:rFonts w:cs="Arial"/>
          <w:lang w:val="en-CA"/>
        </w:rPr>
      </w:pPr>
      <w:r w:rsidRPr="0098597A">
        <w:rPr>
          <w:lang w:val="en-CA"/>
        </w:rPr>
        <w:t>For these reasons</w:t>
      </w:r>
      <w:r w:rsidR="0073433E">
        <w:rPr>
          <w:lang w:val="en-CA"/>
        </w:rPr>
        <w:t>, the Tribunal</w:t>
      </w:r>
      <w:r w:rsidRPr="0098597A">
        <w:rPr>
          <w:lang w:val="en-CA"/>
        </w:rPr>
        <w:t xml:space="preserve"> dismisses the appeals because of the City’s failure to </w:t>
      </w:r>
      <w:proofErr w:type="gramStart"/>
      <w:r w:rsidRPr="0098597A">
        <w:rPr>
          <w:lang w:val="en-CA"/>
        </w:rPr>
        <w:t>make a decision</w:t>
      </w:r>
      <w:proofErr w:type="gramEnd"/>
      <w:r w:rsidRPr="0098597A">
        <w:rPr>
          <w:lang w:val="en-CA"/>
        </w:rPr>
        <w:t xml:space="preserve"> and does not settle or approve the site plan as present</w:t>
      </w:r>
      <w:r w:rsidR="00763084">
        <w:rPr>
          <w:lang w:val="en-CA"/>
        </w:rPr>
        <w:t>ed</w:t>
      </w:r>
      <w:r w:rsidRPr="0098597A">
        <w:rPr>
          <w:lang w:val="en-CA"/>
        </w:rPr>
        <w:t>.</w:t>
      </w:r>
    </w:p>
    <w:p w14:paraId="11472E01" w14:textId="72BCA7AA" w:rsidR="007B6CBD" w:rsidRPr="0098597A" w:rsidRDefault="007B6CBD" w:rsidP="007B6CBD">
      <w:pPr>
        <w:pStyle w:val="ListParagraph"/>
        <w:rPr>
          <w:rFonts w:cs="Arial"/>
          <w:lang w:val="en-CA"/>
        </w:rPr>
      </w:pPr>
    </w:p>
    <w:p w14:paraId="4A7913A7" w14:textId="7E231658" w:rsidR="007B6CBD" w:rsidRPr="0098597A" w:rsidRDefault="007B6CBD" w:rsidP="007B6CBD">
      <w:pPr>
        <w:pStyle w:val="ListParagraph"/>
        <w:rPr>
          <w:rFonts w:cs="Arial"/>
          <w:b/>
          <w:bCs/>
          <w:lang w:val="en-CA"/>
        </w:rPr>
      </w:pPr>
      <w:r w:rsidRPr="0098597A">
        <w:rPr>
          <w:rFonts w:cs="Arial"/>
          <w:b/>
          <w:bCs/>
          <w:lang w:val="en-CA"/>
        </w:rPr>
        <w:t>ORDER</w:t>
      </w:r>
    </w:p>
    <w:p w14:paraId="1F3CA348" w14:textId="77777777" w:rsidR="007B6CBD" w:rsidRPr="0098597A" w:rsidRDefault="007B6CBD" w:rsidP="007B6CBD">
      <w:pPr>
        <w:pStyle w:val="ListParagraph"/>
        <w:rPr>
          <w:rFonts w:cs="Arial"/>
          <w:lang w:val="en-CA"/>
        </w:rPr>
      </w:pPr>
    </w:p>
    <w:p w14:paraId="6A77CED8" w14:textId="317AAE19" w:rsidR="007B6CBD" w:rsidRPr="0098597A" w:rsidRDefault="007B6CBD" w:rsidP="00907785">
      <w:pPr>
        <w:numPr>
          <w:ilvl w:val="0"/>
          <w:numId w:val="1"/>
        </w:numPr>
        <w:ind w:left="0" w:firstLine="0"/>
        <w:rPr>
          <w:rFonts w:cs="Arial"/>
          <w:lang w:val="en-CA"/>
        </w:rPr>
      </w:pPr>
      <w:r w:rsidRPr="0098597A">
        <w:rPr>
          <w:lang w:val="en-CA"/>
        </w:rPr>
        <w:t>Accordingly, the Tribunal Orders.</w:t>
      </w:r>
    </w:p>
    <w:p w14:paraId="4A75BA04" w14:textId="77777777" w:rsidR="007B6CBD" w:rsidRPr="0098597A" w:rsidRDefault="007B6CBD" w:rsidP="007B6CBD">
      <w:pPr>
        <w:rPr>
          <w:rFonts w:cs="Arial"/>
          <w:lang w:val="en-CA"/>
        </w:rPr>
      </w:pPr>
    </w:p>
    <w:p w14:paraId="61811E77" w14:textId="1D254364" w:rsidR="007B6CBD" w:rsidRPr="0098597A" w:rsidRDefault="007B6CBD" w:rsidP="00907785">
      <w:pPr>
        <w:numPr>
          <w:ilvl w:val="0"/>
          <w:numId w:val="1"/>
        </w:numPr>
        <w:ind w:left="0" w:firstLine="0"/>
        <w:rPr>
          <w:rFonts w:cs="Arial"/>
          <w:lang w:val="en-CA"/>
        </w:rPr>
      </w:pPr>
      <w:r w:rsidRPr="0098597A">
        <w:rPr>
          <w:b/>
          <w:lang w:val="en-CA"/>
        </w:rPr>
        <w:t>THAT</w:t>
      </w:r>
      <w:r w:rsidRPr="0098597A">
        <w:rPr>
          <w:lang w:val="en-CA"/>
        </w:rPr>
        <w:t xml:space="preserve"> the </w:t>
      </w:r>
      <w:r w:rsidR="0073433E">
        <w:rPr>
          <w:lang w:val="en-CA"/>
        </w:rPr>
        <w:t>a</w:t>
      </w:r>
      <w:r w:rsidRPr="0098597A">
        <w:rPr>
          <w:lang w:val="en-CA"/>
        </w:rPr>
        <w:t xml:space="preserve">ppeal </w:t>
      </w:r>
      <w:r w:rsidR="000D4C40">
        <w:rPr>
          <w:lang w:val="en-CA"/>
        </w:rPr>
        <w:t xml:space="preserve">pursuant to s. 22(7) of the </w:t>
      </w:r>
      <w:r w:rsidR="000D4C40" w:rsidRPr="00870473">
        <w:rPr>
          <w:i/>
          <w:iCs/>
          <w:lang w:val="en-CA"/>
        </w:rPr>
        <w:t>Planning Act</w:t>
      </w:r>
      <w:r w:rsidR="000D4C40">
        <w:rPr>
          <w:lang w:val="en-CA"/>
        </w:rPr>
        <w:t xml:space="preserve"> </w:t>
      </w:r>
      <w:r w:rsidR="00697226" w:rsidRPr="0098597A">
        <w:rPr>
          <w:lang w:val="en-CA"/>
        </w:rPr>
        <w:t>is dismissed</w:t>
      </w:r>
      <w:r w:rsidR="00697226">
        <w:rPr>
          <w:lang w:val="en-CA"/>
        </w:rPr>
        <w:t xml:space="preserve"> and the requested amendment to</w:t>
      </w:r>
      <w:r w:rsidRPr="0098597A">
        <w:rPr>
          <w:lang w:val="en-CA"/>
        </w:rPr>
        <w:t xml:space="preserve"> the Urban Hamilton Official Plan and Waterdown North Secondary Plan is hereby </w:t>
      </w:r>
      <w:r w:rsidR="00A505EA">
        <w:rPr>
          <w:lang w:val="en-CA"/>
        </w:rPr>
        <w:t>refus</w:t>
      </w:r>
      <w:r w:rsidR="00A505EA" w:rsidRPr="0098597A">
        <w:rPr>
          <w:lang w:val="en-CA"/>
        </w:rPr>
        <w:t>ed</w:t>
      </w:r>
      <w:r w:rsidRPr="0098597A">
        <w:rPr>
          <w:lang w:val="en-CA"/>
        </w:rPr>
        <w:t>.</w:t>
      </w:r>
    </w:p>
    <w:p w14:paraId="1F8C54FF" w14:textId="77777777" w:rsidR="007B6CBD" w:rsidRPr="0098597A" w:rsidRDefault="007B6CBD" w:rsidP="007B6CBD">
      <w:pPr>
        <w:pStyle w:val="ListParagraph"/>
        <w:rPr>
          <w:rFonts w:cs="Arial"/>
          <w:lang w:val="en-CA"/>
        </w:rPr>
      </w:pPr>
    </w:p>
    <w:p w14:paraId="445F855F" w14:textId="5DC9AE01" w:rsidR="007B6CBD" w:rsidRPr="0098597A" w:rsidRDefault="007B6CBD" w:rsidP="00907785">
      <w:pPr>
        <w:numPr>
          <w:ilvl w:val="0"/>
          <w:numId w:val="1"/>
        </w:numPr>
        <w:ind w:left="0" w:firstLine="0"/>
        <w:rPr>
          <w:rFonts w:cs="Arial"/>
          <w:lang w:val="en-CA"/>
        </w:rPr>
      </w:pPr>
      <w:r w:rsidRPr="0098597A">
        <w:rPr>
          <w:b/>
          <w:lang w:val="en-CA"/>
        </w:rPr>
        <w:t>THAT</w:t>
      </w:r>
      <w:r w:rsidRPr="0098597A">
        <w:rPr>
          <w:lang w:val="en-CA"/>
        </w:rPr>
        <w:t xml:space="preserve"> the </w:t>
      </w:r>
      <w:r w:rsidR="0073433E">
        <w:rPr>
          <w:lang w:val="en-CA"/>
        </w:rPr>
        <w:t>a</w:t>
      </w:r>
      <w:r w:rsidRPr="0098597A">
        <w:rPr>
          <w:lang w:val="en-CA"/>
        </w:rPr>
        <w:t xml:space="preserve">ppeal </w:t>
      </w:r>
      <w:r w:rsidR="00653A56">
        <w:rPr>
          <w:lang w:val="en-CA"/>
        </w:rPr>
        <w:t xml:space="preserve">pursuant to s. 34(11) of the </w:t>
      </w:r>
      <w:r w:rsidR="00653A56" w:rsidRPr="001833EA">
        <w:rPr>
          <w:i/>
          <w:iCs/>
          <w:lang w:val="en-CA"/>
        </w:rPr>
        <w:t>Planning Act</w:t>
      </w:r>
      <w:r w:rsidR="00653A56">
        <w:rPr>
          <w:lang w:val="en-CA"/>
        </w:rPr>
        <w:t xml:space="preserve"> </w:t>
      </w:r>
      <w:r w:rsidR="00653A56" w:rsidRPr="0098597A">
        <w:rPr>
          <w:lang w:val="en-CA"/>
        </w:rPr>
        <w:t xml:space="preserve">is </w:t>
      </w:r>
      <w:r w:rsidR="00653A56">
        <w:rPr>
          <w:lang w:val="en-CA"/>
        </w:rPr>
        <w:t xml:space="preserve">also </w:t>
      </w:r>
      <w:r w:rsidR="00653A56" w:rsidRPr="0098597A">
        <w:rPr>
          <w:lang w:val="en-CA"/>
        </w:rPr>
        <w:t>dismissed</w:t>
      </w:r>
      <w:r w:rsidR="00653A56">
        <w:rPr>
          <w:lang w:val="en-CA"/>
        </w:rPr>
        <w:t xml:space="preserve"> </w:t>
      </w:r>
      <w:r w:rsidR="008506AE">
        <w:rPr>
          <w:lang w:val="en-CA"/>
        </w:rPr>
        <w:t xml:space="preserve">and the requested amendment to </w:t>
      </w:r>
      <w:r w:rsidRPr="0098597A">
        <w:rPr>
          <w:lang w:val="en-CA"/>
        </w:rPr>
        <w:t xml:space="preserve">the City of Hamilton (Flamborough) By-law No. 90-145-Z is </w:t>
      </w:r>
      <w:r w:rsidR="008506AE">
        <w:rPr>
          <w:lang w:val="en-CA"/>
        </w:rPr>
        <w:t>refused</w:t>
      </w:r>
      <w:r w:rsidRPr="0098597A">
        <w:rPr>
          <w:lang w:val="en-CA"/>
        </w:rPr>
        <w:t>.</w:t>
      </w:r>
    </w:p>
    <w:p w14:paraId="3FEDC7A2" w14:textId="77777777" w:rsidR="007B6CBD" w:rsidRPr="0098597A" w:rsidRDefault="007B6CBD" w:rsidP="007B6CBD">
      <w:pPr>
        <w:pStyle w:val="ListParagraph"/>
        <w:rPr>
          <w:rFonts w:cs="Arial"/>
          <w:lang w:val="en-CA"/>
        </w:rPr>
      </w:pPr>
    </w:p>
    <w:p w14:paraId="0558EFA2" w14:textId="71D4CED7" w:rsidR="007B6CBD" w:rsidRPr="0098597A" w:rsidRDefault="0061545B" w:rsidP="00907785">
      <w:pPr>
        <w:numPr>
          <w:ilvl w:val="0"/>
          <w:numId w:val="1"/>
        </w:numPr>
        <w:ind w:left="0" w:firstLine="0"/>
        <w:rPr>
          <w:rFonts w:cs="Arial"/>
          <w:lang w:val="en-CA"/>
        </w:rPr>
      </w:pPr>
      <w:bookmarkStart w:id="7" w:name="_Hlk87262693"/>
      <w:r w:rsidRPr="0061545B">
        <w:rPr>
          <w:bCs/>
          <w:lang w:val="en-CA"/>
        </w:rPr>
        <w:t>T</w:t>
      </w:r>
      <w:r w:rsidR="007B6CBD" w:rsidRPr="0098597A">
        <w:rPr>
          <w:lang w:val="en-CA"/>
        </w:rPr>
        <w:t xml:space="preserve">he Tribunal </w:t>
      </w:r>
      <w:r>
        <w:rPr>
          <w:lang w:val="en-CA"/>
        </w:rPr>
        <w:t xml:space="preserve">makes no Order </w:t>
      </w:r>
      <w:proofErr w:type="gramStart"/>
      <w:r>
        <w:rPr>
          <w:lang w:val="en-CA"/>
        </w:rPr>
        <w:t>at this time</w:t>
      </w:r>
      <w:proofErr w:type="gramEnd"/>
      <w:r w:rsidR="005B7F79">
        <w:rPr>
          <w:lang w:val="en-CA"/>
        </w:rPr>
        <w:t xml:space="preserve"> with respect to the Site Plan Appeal pursuant to s. 41(12) of the </w:t>
      </w:r>
      <w:r w:rsidR="005B7F79" w:rsidRPr="001833EA">
        <w:rPr>
          <w:i/>
          <w:iCs/>
          <w:lang w:val="en-CA"/>
        </w:rPr>
        <w:t>Planning Act</w:t>
      </w:r>
      <w:r w:rsidR="007B6CBD" w:rsidRPr="0098597A">
        <w:rPr>
          <w:lang w:val="en-CA"/>
        </w:rPr>
        <w:t>.</w:t>
      </w:r>
    </w:p>
    <w:bookmarkEnd w:id="7"/>
    <w:p w14:paraId="2B7754AD" w14:textId="77777777" w:rsidR="007C3880" w:rsidRPr="0098597A" w:rsidRDefault="007C3880" w:rsidP="00DE5840">
      <w:pPr>
        <w:rPr>
          <w:lang w:val="en-CA"/>
        </w:rPr>
      </w:pPr>
    </w:p>
    <w:p w14:paraId="66C2E37B" w14:textId="3F0334D6" w:rsidR="00907785" w:rsidRPr="0098597A" w:rsidRDefault="00907785" w:rsidP="00DE5840">
      <w:pPr>
        <w:spacing w:line="240" w:lineRule="auto"/>
        <w:jc w:val="right"/>
        <w:rPr>
          <w:i/>
          <w:lang w:val="en-CA"/>
        </w:rPr>
      </w:pPr>
      <w:r w:rsidRPr="0098597A">
        <w:rPr>
          <w:i/>
          <w:lang w:val="en-CA"/>
        </w:rPr>
        <w:t>“</w:t>
      </w:r>
      <w:r w:rsidR="005D191E" w:rsidRPr="0098597A">
        <w:rPr>
          <w:i/>
          <w:lang w:val="en-CA"/>
        </w:rPr>
        <w:t>Bryan W. Tuckey</w:t>
      </w:r>
      <w:r w:rsidRPr="0098597A">
        <w:rPr>
          <w:i/>
          <w:lang w:val="en-CA"/>
        </w:rPr>
        <w:t>”</w:t>
      </w:r>
    </w:p>
    <w:p w14:paraId="3D6A1A75" w14:textId="3D4A769B" w:rsidR="00365B65" w:rsidRDefault="00365B65" w:rsidP="00DE5840">
      <w:pPr>
        <w:spacing w:line="240" w:lineRule="auto"/>
        <w:jc w:val="right"/>
        <w:rPr>
          <w:caps/>
          <w:lang w:val="en-CA"/>
        </w:rPr>
      </w:pPr>
    </w:p>
    <w:p w14:paraId="6CB4DED0" w14:textId="77777777" w:rsidR="003D63B6" w:rsidRPr="0098597A" w:rsidRDefault="003D63B6" w:rsidP="00DE5840">
      <w:pPr>
        <w:spacing w:line="240" w:lineRule="auto"/>
        <w:jc w:val="right"/>
        <w:rPr>
          <w:caps/>
          <w:lang w:val="en-CA"/>
        </w:rPr>
      </w:pPr>
    </w:p>
    <w:p w14:paraId="673FE32B" w14:textId="6E2FA662" w:rsidR="00907785" w:rsidRPr="0098597A" w:rsidRDefault="005D191E" w:rsidP="00DE5840">
      <w:pPr>
        <w:spacing w:line="240" w:lineRule="auto"/>
        <w:jc w:val="right"/>
        <w:rPr>
          <w:caps/>
          <w:lang w:val="en-CA"/>
        </w:rPr>
      </w:pPr>
      <w:r w:rsidRPr="0098597A">
        <w:rPr>
          <w:caps/>
          <w:lang w:val="en-CA"/>
        </w:rPr>
        <w:t>BRYAN W. TUCKEY</w:t>
      </w:r>
    </w:p>
    <w:p w14:paraId="18FAE947" w14:textId="48CBC7DE" w:rsidR="00907785" w:rsidRPr="0098597A" w:rsidRDefault="00C67268" w:rsidP="00DE5840">
      <w:pPr>
        <w:spacing w:line="240" w:lineRule="auto"/>
        <w:jc w:val="right"/>
        <w:rPr>
          <w:caps/>
          <w:lang w:val="en-CA"/>
        </w:rPr>
      </w:pPr>
      <w:r w:rsidRPr="0098597A">
        <w:rPr>
          <w:caps/>
          <w:lang w:val="en-CA"/>
        </w:rPr>
        <w:t>Member</w:t>
      </w:r>
    </w:p>
    <w:bookmarkEnd w:id="3"/>
    <w:p w14:paraId="3C667D4E" w14:textId="42E1DC06" w:rsidR="007C3880" w:rsidRDefault="007C3880" w:rsidP="00753561">
      <w:pPr>
        <w:spacing w:line="240" w:lineRule="auto"/>
        <w:rPr>
          <w:rFonts w:cs="Arial"/>
          <w:lang w:val="en-CA"/>
        </w:rPr>
      </w:pPr>
    </w:p>
    <w:p w14:paraId="6DC29EFB" w14:textId="5E59E3FD" w:rsidR="007C3880" w:rsidRDefault="007C3880" w:rsidP="00753561">
      <w:pPr>
        <w:spacing w:line="240" w:lineRule="auto"/>
        <w:rPr>
          <w:rFonts w:cs="Arial"/>
          <w:lang w:val="en-CA"/>
        </w:rPr>
      </w:pPr>
    </w:p>
    <w:p w14:paraId="4D56EBAE" w14:textId="77777777" w:rsidR="005A6B29" w:rsidRPr="0098597A" w:rsidRDefault="009B3F63" w:rsidP="00753561">
      <w:pPr>
        <w:spacing w:line="240" w:lineRule="auto"/>
        <w:jc w:val="center"/>
        <w:rPr>
          <w:rFonts w:cs="Arial"/>
          <w:b/>
          <w:lang w:val="en-CA"/>
        </w:rPr>
      </w:pPr>
      <w:r w:rsidRPr="0098597A">
        <w:rPr>
          <w:rFonts w:cs="Arial"/>
          <w:b/>
          <w:lang w:val="en-CA"/>
        </w:rPr>
        <w:t>Ontario Land Tribunal</w:t>
      </w:r>
    </w:p>
    <w:p w14:paraId="1A9C6348" w14:textId="77777777" w:rsidR="005A6B29" w:rsidRPr="0098597A" w:rsidRDefault="003B76BB" w:rsidP="00753561">
      <w:pPr>
        <w:spacing w:line="240" w:lineRule="auto"/>
        <w:jc w:val="center"/>
        <w:rPr>
          <w:rFonts w:cs="Arial"/>
          <w:lang w:val="en-CA"/>
        </w:rPr>
      </w:pPr>
      <w:r w:rsidRPr="0098597A">
        <w:rPr>
          <w:rFonts w:cs="Arial"/>
          <w:lang w:val="en-CA"/>
        </w:rPr>
        <w:t xml:space="preserve">Website: </w:t>
      </w:r>
      <w:hyperlink r:id="rId12" w:history="1">
        <w:r w:rsidRPr="0098597A">
          <w:rPr>
            <w:rStyle w:val="Hyperlink"/>
            <w:rFonts w:cs="Arial"/>
            <w:color w:val="auto"/>
            <w:lang w:val="en-CA"/>
          </w:rPr>
          <w:t>www.olt.gov.on.ca</w:t>
        </w:r>
      </w:hyperlink>
      <w:r w:rsidRPr="0098597A">
        <w:rPr>
          <w:rFonts w:cs="Arial"/>
          <w:lang w:val="en-CA"/>
        </w:rPr>
        <w:t xml:space="preserve">   Telephone: 416-212-6349   Toll Free: 1-866-448-2248</w:t>
      </w:r>
    </w:p>
    <w:p w14:paraId="098E084D" w14:textId="77777777" w:rsidR="00F07D4E" w:rsidRPr="0098597A" w:rsidRDefault="00F07D4E" w:rsidP="009B3F63">
      <w:pPr>
        <w:spacing w:line="240" w:lineRule="auto"/>
        <w:jc w:val="center"/>
        <w:rPr>
          <w:rFonts w:cs="Arial"/>
          <w:lang w:val="en-CA"/>
        </w:rPr>
      </w:pPr>
    </w:p>
    <w:p w14:paraId="26E99696" w14:textId="3845002F" w:rsidR="006F0EB0" w:rsidRPr="0098597A" w:rsidRDefault="00FB25C6" w:rsidP="00FB25C6">
      <w:pPr>
        <w:spacing w:line="240" w:lineRule="auto"/>
        <w:jc w:val="both"/>
        <w:rPr>
          <w:rFonts w:cs="Arial"/>
          <w:lang w:val="en-CA"/>
        </w:rPr>
      </w:pPr>
      <w:r w:rsidRPr="0098597A">
        <w:rPr>
          <w:rFonts w:cs="Arial"/>
          <w:lang w:val="en-CA"/>
        </w:rPr>
        <w:t>The Conservation Review Board, the Environmental Review Tribunal, the Local Planning Appeal Tribunal and the Mining and Lands Tribunal are amalgamated and continued as the Ontario Land Tribunal (“Tribunal”). Any reference to the preceding tribunals or the former Ontario Municipal Board is deemed to be a reference to the Tribunal.</w:t>
      </w:r>
    </w:p>
    <w:sectPr w:rsidR="006F0EB0" w:rsidRPr="0098597A" w:rsidSect="00861ED3">
      <w:headerReference w:type="default" r:id="rId13"/>
      <w:pgSz w:w="12240" w:h="15840"/>
      <w:pgMar w:top="1440" w:right="1440" w:bottom="1440" w:left="1440"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E3BD5" w14:textId="77777777" w:rsidR="002C499D" w:rsidRDefault="002C499D">
      <w:r>
        <w:separator/>
      </w:r>
    </w:p>
  </w:endnote>
  <w:endnote w:type="continuationSeparator" w:id="0">
    <w:p w14:paraId="4837934A" w14:textId="77777777" w:rsidR="002C499D" w:rsidRDefault="002C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8A121" w14:textId="77777777" w:rsidR="002C499D" w:rsidRDefault="002C499D">
      <w:r>
        <w:separator/>
      </w:r>
    </w:p>
  </w:footnote>
  <w:footnote w:type="continuationSeparator" w:id="0">
    <w:p w14:paraId="283EF068" w14:textId="77777777" w:rsidR="002C499D" w:rsidRDefault="002C4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6CF57" w14:textId="5EB3F8C1" w:rsidR="002C499D" w:rsidRDefault="002C499D" w:rsidP="00051849">
    <w:pPr>
      <w:pStyle w:val="Header"/>
      <w:tabs>
        <w:tab w:val="clear" w:pos="4320"/>
        <w:tab w:val="clear" w:pos="8640"/>
        <w:tab w:val="center" w:pos="4680"/>
        <w:tab w:val="right" w:pos="9360"/>
      </w:tabs>
      <w:jc w:val="center"/>
    </w:pPr>
    <w:r>
      <w:tab/>
    </w:r>
    <w:r>
      <w:fldChar w:fldCharType="begin"/>
    </w:r>
    <w:r>
      <w:instrText xml:space="preserve"> PAGE   \* MERGEFORMAT </w:instrText>
    </w:r>
    <w:r>
      <w:fldChar w:fldCharType="separate"/>
    </w:r>
    <w:r>
      <w:rPr>
        <w:noProof/>
      </w:rPr>
      <w:t>2</w:t>
    </w:r>
    <w:r>
      <w:rPr>
        <w:noProof/>
      </w:rPr>
      <w:fldChar w:fldCharType="end"/>
    </w:r>
    <w:r>
      <w:rPr>
        <w:noProof/>
      </w:rPr>
      <w:tab/>
      <w:t>PL200274</w:t>
    </w:r>
  </w:p>
  <w:p w14:paraId="1F2FE443" w14:textId="65E18ABC" w:rsidR="002C499D" w:rsidRDefault="002C499D" w:rsidP="00051849">
    <w:pPr>
      <w:pStyle w:val="Header"/>
      <w:tabs>
        <w:tab w:val="clear" w:pos="4320"/>
        <w:tab w:val="clear" w:pos="8640"/>
        <w:tab w:val="center" w:pos="4680"/>
        <w:tab w:val="right" w:pos="9360"/>
      </w:tabs>
      <w:spacing w:line="240" w:lineRule="auto"/>
      <w:rPr>
        <w:rFonts w:cs="Arial"/>
        <w:bCs/>
      </w:rPr>
    </w:pPr>
  </w:p>
  <w:p w14:paraId="189433FA" w14:textId="77777777" w:rsidR="004A4A22" w:rsidRPr="00051849" w:rsidRDefault="004A4A22" w:rsidP="00051849">
    <w:pPr>
      <w:pStyle w:val="Header"/>
      <w:tabs>
        <w:tab w:val="clear" w:pos="4320"/>
        <w:tab w:val="clear" w:pos="8640"/>
        <w:tab w:val="center" w:pos="4680"/>
        <w:tab w:val="right" w:pos="9360"/>
      </w:tabs>
      <w:spacing w:line="240" w:lineRule="auto"/>
      <w:rPr>
        <w:rFonts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216"/>
    <w:multiLevelType w:val="hybridMultilevel"/>
    <w:tmpl w:val="FB2EDF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E23C93"/>
    <w:multiLevelType w:val="hybridMultilevel"/>
    <w:tmpl w:val="24BA3F5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C6D28"/>
    <w:multiLevelType w:val="hybridMultilevel"/>
    <w:tmpl w:val="AB00C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804D4A"/>
    <w:multiLevelType w:val="hybridMultilevel"/>
    <w:tmpl w:val="7F3A5DEE"/>
    <w:lvl w:ilvl="0" w:tplc="F04642C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0D116BB0"/>
    <w:multiLevelType w:val="hybridMultilevel"/>
    <w:tmpl w:val="5CC441C0"/>
    <w:lvl w:ilvl="0" w:tplc="845401E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0DDC5EB4"/>
    <w:multiLevelType w:val="hybridMultilevel"/>
    <w:tmpl w:val="67D01ADA"/>
    <w:lvl w:ilvl="0" w:tplc="93F6D8E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0F7496"/>
    <w:multiLevelType w:val="hybridMultilevel"/>
    <w:tmpl w:val="4AC0FBA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F1D7D38"/>
    <w:multiLevelType w:val="hybridMultilevel"/>
    <w:tmpl w:val="6DC0F7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F8F1D0E"/>
    <w:multiLevelType w:val="hybridMultilevel"/>
    <w:tmpl w:val="F9C20AF2"/>
    <w:lvl w:ilvl="0" w:tplc="63A2BE64">
      <w:start w:val="1"/>
      <w:numFmt w:val="decimal"/>
      <w:pStyle w:val="ParagraphNumbers"/>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17F5A42"/>
    <w:multiLevelType w:val="hybridMultilevel"/>
    <w:tmpl w:val="99A02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0F3D92"/>
    <w:multiLevelType w:val="hybridMultilevel"/>
    <w:tmpl w:val="AF04B386"/>
    <w:lvl w:ilvl="0" w:tplc="C160318E">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FE668ED"/>
    <w:multiLevelType w:val="hybridMultilevel"/>
    <w:tmpl w:val="B96034F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05A4557"/>
    <w:multiLevelType w:val="hybridMultilevel"/>
    <w:tmpl w:val="CE86AA46"/>
    <w:lvl w:ilvl="0" w:tplc="E61EB1B0">
      <w:start w:val="14"/>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943660"/>
    <w:multiLevelType w:val="hybridMultilevel"/>
    <w:tmpl w:val="A2D452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ABC1B29"/>
    <w:multiLevelType w:val="hybridMultilevel"/>
    <w:tmpl w:val="4B00C65E"/>
    <w:lvl w:ilvl="0" w:tplc="AE4C1884">
      <w:start w:val="1"/>
      <w:numFmt w:val="lowerLetter"/>
      <w:lvlText w:val="(%1)"/>
      <w:lvlJc w:val="left"/>
      <w:pPr>
        <w:ind w:left="936" w:hanging="375"/>
      </w:pPr>
      <w:rPr>
        <w:rFonts w:ascii="Arial" w:eastAsia="Arial" w:hAnsi="Arial" w:cs="Arial" w:hint="default"/>
        <w:b w:val="0"/>
        <w:bCs w:val="0"/>
        <w:i/>
        <w:iCs/>
        <w:spacing w:val="-2"/>
        <w:w w:val="100"/>
        <w:sz w:val="22"/>
        <w:szCs w:val="22"/>
      </w:rPr>
    </w:lvl>
    <w:lvl w:ilvl="1" w:tplc="D5F0CF20">
      <w:numFmt w:val="bullet"/>
      <w:lvlText w:val="•"/>
      <w:lvlJc w:val="left"/>
      <w:pPr>
        <w:ind w:left="1906" w:hanging="375"/>
      </w:pPr>
      <w:rPr>
        <w:rFonts w:hint="default"/>
      </w:rPr>
    </w:lvl>
    <w:lvl w:ilvl="2" w:tplc="A73658D0">
      <w:numFmt w:val="bullet"/>
      <w:lvlText w:val="•"/>
      <w:lvlJc w:val="left"/>
      <w:pPr>
        <w:ind w:left="2872" w:hanging="375"/>
      </w:pPr>
      <w:rPr>
        <w:rFonts w:hint="default"/>
      </w:rPr>
    </w:lvl>
    <w:lvl w:ilvl="3" w:tplc="7D640A08">
      <w:numFmt w:val="bullet"/>
      <w:lvlText w:val="•"/>
      <w:lvlJc w:val="left"/>
      <w:pPr>
        <w:ind w:left="3838" w:hanging="375"/>
      </w:pPr>
      <w:rPr>
        <w:rFonts w:hint="default"/>
      </w:rPr>
    </w:lvl>
    <w:lvl w:ilvl="4" w:tplc="3CBC645E">
      <w:numFmt w:val="bullet"/>
      <w:lvlText w:val="•"/>
      <w:lvlJc w:val="left"/>
      <w:pPr>
        <w:ind w:left="4804" w:hanging="375"/>
      </w:pPr>
      <w:rPr>
        <w:rFonts w:hint="default"/>
      </w:rPr>
    </w:lvl>
    <w:lvl w:ilvl="5" w:tplc="D5129FDC">
      <w:numFmt w:val="bullet"/>
      <w:lvlText w:val="•"/>
      <w:lvlJc w:val="left"/>
      <w:pPr>
        <w:ind w:left="5770" w:hanging="375"/>
      </w:pPr>
      <w:rPr>
        <w:rFonts w:hint="default"/>
      </w:rPr>
    </w:lvl>
    <w:lvl w:ilvl="6" w:tplc="4E883E0E">
      <w:numFmt w:val="bullet"/>
      <w:lvlText w:val="•"/>
      <w:lvlJc w:val="left"/>
      <w:pPr>
        <w:ind w:left="6736" w:hanging="375"/>
      </w:pPr>
      <w:rPr>
        <w:rFonts w:hint="default"/>
      </w:rPr>
    </w:lvl>
    <w:lvl w:ilvl="7" w:tplc="2A905D64">
      <w:numFmt w:val="bullet"/>
      <w:lvlText w:val="•"/>
      <w:lvlJc w:val="left"/>
      <w:pPr>
        <w:ind w:left="7702" w:hanging="375"/>
      </w:pPr>
      <w:rPr>
        <w:rFonts w:hint="default"/>
      </w:rPr>
    </w:lvl>
    <w:lvl w:ilvl="8" w:tplc="2A9044E2">
      <w:numFmt w:val="bullet"/>
      <w:lvlText w:val="•"/>
      <w:lvlJc w:val="left"/>
      <w:pPr>
        <w:ind w:left="8668" w:hanging="375"/>
      </w:pPr>
      <w:rPr>
        <w:rFonts w:hint="default"/>
      </w:rPr>
    </w:lvl>
  </w:abstractNum>
  <w:abstractNum w:abstractNumId="15" w15:restartNumberingAfterBreak="0">
    <w:nsid w:val="30DB0C18"/>
    <w:multiLevelType w:val="hybridMultilevel"/>
    <w:tmpl w:val="4AF05734"/>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6" w15:restartNumberingAfterBreak="0">
    <w:nsid w:val="34252B35"/>
    <w:multiLevelType w:val="hybridMultilevel"/>
    <w:tmpl w:val="2E2813AE"/>
    <w:lvl w:ilvl="0" w:tplc="79145820">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7D407AB"/>
    <w:multiLevelType w:val="multilevel"/>
    <w:tmpl w:val="1CFA1C00"/>
    <w:lvl w:ilvl="0">
      <w:start w:val="1"/>
      <w:numFmt w:val="decimal"/>
      <w:lvlText w:val="%1."/>
      <w:lvlJc w:val="left"/>
      <w:pPr>
        <w:ind w:left="720" w:hanging="360"/>
      </w:pPr>
    </w:lvl>
    <w:lvl w:ilvl="1">
      <w:start w:val="3"/>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8" w15:restartNumberingAfterBreak="0">
    <w:nsid w:val="38955ADF"/>
    <w:multiLevelType w:val="hybridMultilevel"/>
    <w:tmpl w:val="DD66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A4881"/>
    <w:multiLevelType w:val="hybridMultilevel"/>
    <w:tmpl w:val="2F2ADE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A0D51B3"/>
    <w:multiLevelType w:val="hybridMultilevel"/>
    <w:tmpl w:val="3B08F82A"/>
    <w:lvl w:ilvl="0" w:tplc="0268D1F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3A2F4A91"/>
    <w:multiLevelType w:val="hybridMultilevel"/>
    <w:tmpl w:val="B5807A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A6B6494"/>
    <w:multiLevelType w:val="hybridMultilevel"/>
    <w:tmpl w:val="55260210"/>
    <w:lvl w:ilvl="0" w:tplc="79F658A6">
      <w:start w:val="1"/>
      <w:numFmt w:val="decimal"/>
      <w:lvlText w:val="[%1]"/>
      <w:lvlJc w:val="left"/>
      <w:pPr>
        <w:ind w:left="720" w:hanging="360"/>
      </w:pPr>
      <w:rPr>
        <w:rFonts w:hint="default"/>
        <w:strike w:val="0"/>
      </w:rPr>
    </w:lvl>
    <w:lvl w:ilvl="1" w:tplc="CED422B2">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2ED4462"/>
    <w:multiLevelType w:val="hybridMultilevel"/>
    <w:tmpl w:val="61B8599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4C14FE1"/>
    <w:multiLevelType w:val="hybridMultilevel"/>
    <w:tmpl w:val="844CF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452785"/>
    <w:multiLevelType w:val="hybridMultilevel"/>
    <w:tmpl w:val="003418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C720187"/>
    <w:multiLevelType w:val="hybridMultilevel"/>
    <w:tmpl w:val="1C96EA7E"/>
    <w:lvl w:ilvl="0" w:tplc="1009000F">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C953E0A"/>
    <w:multiLevelType w:val="hybridMultilevel"/>
    <w:tmpl w:val="F2740288"/>
    <w:lvl w:ilvl="0" w:tplc="6F50BC3C">
      <w:start w:val="1"/>
      <w:numFmt w:val="decimal"/>
      <w:lvlText w:val="%1)"/>
      <w:lvlJc w:val="left"/>
      <w:pPr>
        <w:ind w:left="720" w:hanging="360"/>
      </w:pPr>
      <w:rPr>
        <w:rFonts w:eastAsiaTheme="majorEastAsia"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0A467BE"/>
    <w:multiLevelType w:val="hybridMultilevel"/>
    <w:tmpl w:val="5A862EEC"/>
    <w:lvl w:ilvl="0" w:tplc="6C567BF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89170D6"/>
    <w:multiLevelType w:val="hybridMultilevel"/>
    <w:tmpl w:val="14E62D72"/>
    <w:lvl w:ilvl="0" w:tplc="256E6048">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A8F7B62"/>
    <w:multiLevelType w:val="hybridMultilevel"/>
    <w:tmpl w:val="383CCAB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C6B2DFB"/>
    <w:multiLevelType w:val="hybridMultilevel"/>
    <w:tmpl w:val="FC5621CA"/>
    <w:lvl w:ilvl="0" w:tplc="4D562ABC">
      <w:start w:val="1"/>
      <w:numFmt w:val="lowerRoman"/>
      <w:lvlText w:val="(%1)"/>
      <w:lvlJc w:val="left"/>
      <w:pPr>
        <w:ind w:left="1466" w:hanging="720"/>
      </w:pPr>
      <w:rPr>
        <w:rFonts w:hint="default"/>
        <w:w w:val="105"/>
      </w:rPr>
    </w:lvl>
    <w:lvl w:ilvl="1" w:tplc="10090019" w:tentative="1">
      <w:start w:val="1"/>
      <w:numFmt w:val="lowerLetter"/>
      <w:lvlText w:val="%2."/>
      <w:lvlJc w:val="left"/>
      <w:pPr>
        <w:ind w:left="1826" w:hanging="360"/>
      </w:pPr>
    </w:lvl>
    <w:lvl w:ilvl="2" w:tplc="1009001B" w:tentative="1">
      <w:start w:val="1"/>
      <w:numFmt w:val="lowerRoman"/>
      <w:lvlText w:val="%3."/>
      <w:lvlJc w:val="right"/>
      <w:pPr>
        <w:ind w:left="2546" w:hanging="180"/>
      </w:pPr>
    </w:lvl>
    <w:lvl w:ilvl="3" w:tplc="1009000F" w:tentative="1">
      <w:start w:val="1"/>
      <w:numFmt w:val="decimal"/>
      <w:lvlText w:val="%4."/>
      <w:lvlJc w:val="left"/>
      <w:pPr>
        <w:ind w:left="3266" w:hanging="360"/>
      </w:pPr>
    </w:lvl>
    <w:lvl w:ilvl="4" w:tplc="10090019" w:tentative="1">
      <w:start w:val="1"/>
      <w:numFmt w:val="lowerLetter"/>
      <w:lvlText w:val="%5."/>
      <w:lvlJc w:val="left"/>
      <w:pPr>
        <w:ind w:left="3986" w:hanging="360"/>
      </w:pPr>
    </w:lvl>
    <w:lvl w:ilvl="5" w:tplc="1009001B" w:tentative="1">
      <w:start w:val="1"/>
      <w:numFmt w:val="lowerRoman"/>
      <w:lvlText w:val="%6."/>
      <w:lvlJc w:val="right"/>
      <w:pPr>
        <w:ind w:left="4706" w:hanging="180"/>
      </w:pPr>
    </w:lvl>
    <w:lvl w:ilvl="6" w:tplc="1009000F" w:tentative="1">
      <w:start w:val="1"/>
      <w:numFmt w:val="decimal"/>
      <w:lvlText w:val="%7."/>
      <w:lvlJc w:val="left"/>
      <w:pPr>
        <w:ind w:left="5426" w:hanging="360"/>
      </w:pPr>
    </w:lvl>
    <w:lvl w:ilvl="7" w:tplc="10090019" w:tentative="1">
      <w:start w:val="1"/>
      <w:numFmt w:val="lowerLetter"/>
      <w:lvlText w:val="%8."/>
      <w:lvlJc w:val="left"/>
      <w:pPr>
        <w:ind w:left="6146" w:hanging="360"/>
      </w:pPr>
    </w:lvl>
    <w:lvl w:ilvl="8" w:tplc="1009001B" w:tentative="1">
      <w:start w:val="1"/>
      <w:numFmt w:val="lowerRoman"/>
      <w:lvlText w:val="%9."/>
      <w:lvlJc w:val="right"/>
      <w:pPr>
        <w:ind w:left="6866" w:hanging="180"/>
      </w:pPr>
    </w:lvl>
  </w:abstractNum>
  <w:abstractNum w:abstractNumId="32" w15:restartNumberingAfterBreak="0">
    <w:nsid w:val="5DD6194D"/>
    <w:multiLevelType w:val="hybridMultilevel"/>
    <w:tmpl w:val="EBDC0AC2"/>
    <w:lvl w:ilvl="0" w:tplc="E410C24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707F0DE9"/>
    <w:multiLevelType w:val="hybridMultilevel"/>
    <w:tmpl w:val="59988586"/>
    <w:lvl w:ilvl="0" w:tplc="CE0E6CC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91C7975"/>
    <w:multiLevelType w:val="hybridMultilevel"/>
    <w:tmpl w:val="BC547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2"/>
  </w:num>
  <w:num w:numId="4">
    <w:abstractNumId w:val="12"/>
  </w:num>
  <w:num w:numId="5">
    <w:abstractNumId w:val="10"/>
  </w:num>
  <w:num w:numId="6">
    <w:abstractNumId w:val="20"/>
  </w:num>
  <w:num w:numId="7">
    <w:abstractNumId w:val="1"/>
  </w:num>
  <w:num w:numId="8">
    <w:abstractNumId w:val="18"/>
  </w:num>
  <w:num w:numId="9">
    <w:abstractNumId w:val="31"/>
  </w:num>
  <w:num w:numId="10">
    <w:abstractNumId w:val="14"/>
  </w:num>
  <w:num w:numId="11">
    <w:abstractNumId w:val="29"/>
  </w:num>
  <w:num w:numId="12">
    <w:abstractNumId w:val="5"/>
  </w:num>
  <w:num w:numId="13">
    <w:abstractNumId w:val="3"/>
  </w:num>
  <w:num w:numId="14">
    <w:abstractNumId w:val="13"/>
  </w:num>
  <w:num w:numId="15">
    <w:abstractNumId w:val="24"/>
  </w:num>
  <w:num w:numId="16">
    <w:abstractNumId w:val="33"/>
  </w:num>
  <w:num w:numId="17">
    <w:abstractNumId w:val="15"/>
  </w:num>
  <w:num w:numId="18">
    <w:abstractNumId w:val="4"/>
  </w:num>
  <w:num w:numId="19">
    <w:abstractNumId w:val="0"/>
  </w:num>
  <w:num w:numId="20">
    <w:abstractNumId w:val="25"/>
  </w:num>
  <w:num w:numId="21">
    <w:abstractNumId w:val="26"/>
  </w:num>
  <w:num w:numId="22">
    <w:abstractNumId w:val="30"/>
  </w:num>
  <w:num w:numId="23">
    <w:abstractNumId w:val="6"/>
  </w:num>
  <w:num w:numId="24">
    <w:abstractNumId w:val="27"/>
  </w:num>
  <w:num w:numId="25">
    <w:abstractNumId w:val="28"/>
  </w:num>
  <w:num w:numId="26">
    <w:abstractNumId w:val="21"/>
  </w:num>
  <w:num w:numId="27">
    <w:abstractNumId w:val="11"/>
  </w:num>
  <w:num w:numId="28">
    <w:abstractNumId w:val="23"/>
  </w:num>
  <w:num w:numId="29">
    <w:abstractNumId w:val="17"/>
  </w:num>
  <w:num w:numId="30">
    <w:abstractNumId w:val="9"/>
  </w:num>
  <w:num w:numId="31">
    <w:abstractNumId w:val="34"/>
  </w:num>
  <w:num w:numId="32">
    <w:abstractNumId w:val="16"/>
  </w:num>
  <w:num w:numId="33">
    <w:abstractNumId w:val="2"/>
  </w:num>
  <w:num w:numId="34">
    <w:abstractNumId w:val="19"/>
  </w:num>
  <w:num w:numId="3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00557"/>
    <w:rsid w:val="00000DCA"/>
    <w:rsid w:val="00000E60"/>
    <w:rsid w:val="00000F95"/>
    <w:rsid w:val="00001661"/>
    <w:rsid w:val="00001800"/>
    <w:rsid w:val="00001CE6"/>
    <w:rsid w:val="0000219B"/>
    <w:rsid w:val="0000222A"/>
    <w:rsid w:val="00003494"/>
    <w:rsid w:val="00003547"/>
    <w:rsid w:val="00003A85"/>
    <w:rsid w:val="00003E63"/>
    <w:rsid w:val="00003F8E"/>
    <w:rsid w:val="000041CA"/>
    <w:rsid w:val="0000450E"/>
    <w:rsid w:val="000057DF"/>
    <w:rsid w:val="000059E4"/>
    <w:rsid w:val="00006011"/>
    <w:rsid w:val="00006A4B"/>
    <w:rsid w:val="000074CB"/>
    <w:rsid w:val="00010615"/>
    <w:rsid w:val="0001095C"/>
    <w:rsid w:val="00010FD4"/>
    <w:rsid w:val="00012285"/>
    <w:rsid w:val="00012BE1"/>
    <w:rsid w:val="0001398A"/>
    <w:rsid w:val="00013DB4"/>
    <w:rsid w:val="00013E17"/>
    <w:rsid w:val="0001498A"/>
    <w:rsid w:val="00014AB6"/>
    <w:rsid w:val="000156C8"/>
    <w:rsid w:val="000158C3"/>
    <w:rsid w:val="000158FC"/>
    <w:rsid w:val="00015DCD"/>
    <w:rsid w:val="00016445"/>
    <w:rsid w:val="0001644B"/>
    <w:rsid w:val="000167A6"/>
    <w:rsid w:val="00016CC3"/>
    <w:rsid w:val="00016E7A"/>
    <w:rsid w:val="00016E9B"/>
    <w:rsid w:val="000170F3"/>
    <w:rsid w:val="00017DFC"/>
    <w:rsid w:val="00020CBD"/>
    <w:rsid w:val="00021BD2"/>
    <w:rsid w:val="00021E3B"/>
    <w:rsid w:val="00022043"/>
    <w:rsid w:val="0002264A"/>
    <w:rsid w:val="00022755"/>
    <w:rsid w:val="00023401"/>
    <w:rsid w:val="00024757"/>
    <w:rsid w:val="00025163"/>
    <w:rsid w:val="00025727"/>
    <w:rsid w:val="00025733"/>
    <w:rsid w:val="000258BA"/>
    <w:rsid w:val="00026298"/>
    <w:rsid w:val="00026877"/>
    <w:rsid w:val="00026976"/>
    <w:rsid w:val="000303A7"/>
    <w:rsid w:val="00031459"/>
    <w:rsid w:val="00031ADC"/>
    <w:rsid w:val="00031BBB"/>
    <w:rsid w:val="00031C6E"/>
    <w:rsid w:val="00032432"/>
    <w:rsid w:val="00032528"/>
    <w:rsid w:val="00033B3C"/>
    <w:rsid w:val="0003561D"/>
    <w:rsid w:val="000357D1"/>
    <w:rsid w:val="000357DB"/>
    <w:rsid w:val="0003592F"/>
    <w:rsid w:val="0003630B"/>
    <w:rsid w:val="00036572"/>
    <w:rsid w:val="00036646"/>
    <w:rsid w:val="00036A75"/>
    <w:rsid w:val="00036D9E"/>
    <w:rsid w:val="00036F7C"/>
    <w:rsid w:val="0003783B"/>
    <w:rsid w:val="00037955"/>
    <w:rsid w:val="00040C27"/>
    <w:rsid w:val="0004103F"/>
    <w:rsid w:val="00041344"/>
    <w:rsid w:val="00041D9B"/>
    <w:rsid w:val="00041F01"/>
    <w:rsid w:val="00042010"/>
    <w:rsid w:val="000424A6"/>
    <w:rsid w:val="000424EA"/>
    <w:rsid w:val="0004299A"/>
    <w:rsid w:val="00042F44"/>
    <w:rsid w:val="00043645"/>
    <w:rsid w:val="0004367C"/>
    <w:rsid w:val="00044085"/>
    <w:rsid w:val="0004492A"/>
    <w:rsid w:val="00045EAB"/>
    <w:rsid w:val="00046827"/>
    <w:rsid w:val="00046DBF"/>
    <w:rsid w:val="00046E35"/>
    <w:rsid w:val="00047785"/>
    <w:rsid w:val="00047B80"/>
    <w:rsid w:val="00047C2B"/>
    <w:rsid w:val="00047D2F"/>
    <w:rsid w:val="00051849"/>
    <w:rsid w:val="000529CF"/>
    <w:rsid w:val="00052D62"/>
    <w:rsid w:val="00053296"/>
    <w:rsid w:val="00053F20"/>
    <w:rsid w:val="00054715"/>
    <w:rsid w:val="000549E1"/>
    <w:rsid w:val="00054A4A"/>
    <w:rsid w:val="00054A9F"/>
    <w:rsid w:val="00054BB9"/>
    <w:rsid w:val="00054BC3"/>
    <w:rsid w:val="00054D9E"/>
    <w:rsid w:val="00054E38"/>
    <w:rsid w:val="00056B46"/>
    <w:rsid w:val="0005791D"/>
    <w:rsid w:val="0006052C"/>
    <w:rsid w:val="00060BC0"/>
    <w:rsid w:val="00061E90"/>
    <w:rsid w:val="00062B28"/>
    <w:rsid w:val="000635FE"/>
    <w:rsid w:val="00063A09"/>
    <w:rsid w:val="0006439A"/>
    <w:rsid w:val="0006524D"/>
    <w:rsid w:val="00065FD8"/>
    <w:rsid w:val="000664B3"/>
    <w:rsid w:val="00066772"/>
    <w:rsid w:val="00066EB5"/>
    <w:rsid w:val="000673C6"/>
    <w:rsid w:val="000674CD"/>
    <w:rsid w:val="00070D8C"/>
    <w:rsid w:val="0007134E"/>
    <w:rsid w:val="0007280B"/>
    <w:rsid w:val="00072BEB"/>
    <w:rsid w:val="000737BF"/>
    <w:rsid w:val="000738DE"/>
    <w:rsid w:val="0007426B"/>
    <w:rsid w:val="00074E8A"/>
    <w:rsid w:val="00075342"/>
    <w:rsid w:val="00075506"/>
    <w:rsid w:val="00076196"/>
    <w:rsid w:val="000762D6"/>
    <w:rsid w:val="000762DC"/>
    <w:rsid w:val="00076881"/>
    <w:rsid w:val="00076A52"/>
    <w:rsid w:val="00077893"/>
    <w:rsid w:val="00077E32"/>
    <w:rsid w:val="000801F1"/>
    <w:rsid w:val="00080541"/>
    <w:rsid w:val="0008105B"/>
    <w:rsid w:val="000819EC"/>
    <w:rsid w:val="00081B5B"/>
    <w:rsid w:val="00081B93"/>
    <w:rsid w:val="00082BA8"/>
    <w:rsid w:val="0008372B"/>
    <w:rsid w:val="00084077"/>
    <w:rsid w:val="00084742"/>
    <w:rsid w:val="00084AEB"/>
    <w:rsid w:val="00084BB9"/>
    <w:rsid w:val="00085578"/>
    <w:rsid w:val="00085F5C"/>
    <w:rsid w:val="00086821"/>
    <w:rsid w:val="0008685A"/>
    <w:rsid w:val="000871FE"/>
    <w:rsid w:val="00087B15"/>
    <w:rsid w:val="00087D2F"/>
    <w:rsid w:val="00087D8A"/>
    <w:rsid w:val="00087F76"/>
    <w:rsid w:val="00090781"/>
    <w:rsid w:val="00090ED0"/>
    <w:rsid w:val="000910EC"/>
    <w:rsid w:val="00091140"/>
    <w:rsid w:val="00091680"/>
    <w:rsid w:val="00091710"/>
    <w:rsid w:val="00091FF5"/>
    <w:rsid w:val="000926A8"/>
    <w:rsid w:val="0009324B"/>
    <w:rsid w:val="0009382C"/>
    <w:rsid w:val="0009392B"/>
    <w:rsid w:val="00093980"/>
    <w:rsid w:val="00093F08"/>
    <w:rsid w:val="00094536"/>
    <w:rsid w:val="000947B2"/>
    <w:rsid w:val="00094EC4"/>
    <w:rsid w:val="00095670"/>
    <w:rsid w:val="0009599F"/>
    <w:rsid w:val="00096851"/>
    <w:rsid w:val="00096AD5"/>
    <w:rsid w:val="000973D4"/>
    <w:rsid w:val="0009752A"/>
    <w:rsid w:val="00097693"/>
    <w:rsid w:val="000A01A9"/>
    <w:rsid w:val="000A02BC"/>
    <w:rsid w:val="000A10B4"/>
    <w:rsid w:val="000A143A"/>
    <w:rsid w:val="000A15DE"/>
    <w:rsid w:val="000A23AD"/>
    <w:rsid w:val="000A288C"/>
    <w:rsid w:val="000A2ACF"/>
    <w:rsid w:val="000A2AD5"/>
    <w:rsid w:val="000A3451"/>
    <w:rsid w:val="000A3B3B"/>
    <w:rsid w:val="000A41DA"/>
    <w:rsid w:val="000A49E6"/>
    <w:rsid w:val="000A4BEA"/>
    <w:rsid w:val="000A50BB"/>
    <w:rsid w:val="000A5291"/>
    <w:rsid w:val="000A6129"/>
    <w:rsid w:val="000A682F"/>
    <w:rsid w:val="000A69E7"/>
    <w:rsid w:val="000A6A38"/>
    <w:rsid w:val="000A6A5B"/>
    <w:rsid w:val="000A716B"/>
    <w:rsid w:val="000A742D"/>
    <w:rsid w:val="000A754F"/>
    <w:rsid w:val="000B03E9"/>
    <w:rsid w:val="000B0966"/>
    <w:rsid w:val="000B0BC2"/>
    <w:rsid w:val="000B0FFF"/>
    <w:rsid w:val="000B1FE5"/>
    <w:rsid w:val="000B2EA9"/>
    <w:rsid w:val="000B2F44"/>
    <w:rsid w:val="000B3461"/>
    <w:rsid w:val="000B355D"/>
    <w:rsid w:val="000B41C7"/>
    <w:rsid w:val="000B4BFB"/>
    <w:rsid w:val="000B4CBF"/>
    <w:rsid w:val="000B526F"/>
    <w:rsid w:val="000B53D0"/>
    <w:rsid w:val="000B55E4"/>
    <w:rsid w:val="000B674D"/>
    <w:rsid w:val="000B6801"/>
    <w:rsid w:val="000B757A"/>
    <w:rsid w:val="000B77A3"/>
    <w:rsid w:val="000B79E5"/>
    <w:rsid w:val="000B7C8F"/>
    <w:rsid w:val="000C0628"/>
    <w:rsid w:val="000C0668"/>
    <w:rsid w:val="000C0990"/>
    <w:rsid w:val="000C0997"/>
    <w:rsid w:val="000C0D21"/>
    <w:rsid w:val="000C1375"/>
    <w:rsid w:val="000C21BB"/>
    <w:rsid w:val="000C2DC2"/>
    <w:rsid w:val="000C3470"/>
    <w:rsid w:val="000C3FC5"/>
    <w:rsid w:val="000C480C"/>
    <w:rsid w:val="000C4947"/>
    <w:rsid w:val="000C6933"/>
    <w:rsid w:val="000C6C58"/>
    <w:rsid w:val="000C6E72"/>
    <w:rsid w:val="000C7608"/>
    <w:rsid w:val="000C7769"/>
    <w:rsid w:val="000D1766"/>
    <w:rsid w:val="000D1DEE"/>
    <w:rsid w:val="000D22FB"/>
    <w:rsid w:val="000D3001"/>
    <w:rsid w:val="000D334D"/>
    <w:rsid w:val="000D38F2"/>
    <w:rsid w:val="000D4356"/>
    <w:rsid w:val="000D474B"/>
    <w:rsid w:val="000D48AB"/>
    <w:rsid w:val="000D4C40"/>
    <w:rsid w:val="000D5465"/>
    <w:rsid w:val="000D5D42"/>
    <w:rsid w:val="000D62AB"/>
    <w:rsid w:val="000D6383"/>
    <w:rsid w:val="000D6CA1"/>
    <w:rsid w:val="000D6CD5"/>
    <w:rsid w:val="000D6F9D"/>
    <w:rsid w:val="000D7347"/>
    <w:rsid w:val="000D7BBD"/>
    <w:rsid w:val="000D7C1B"/>
    <w:rsid w:val="000D7EF7"/>
    <w:rsid w:val="000E00A8"/>
    <w:rsid w:val="000E09FE"/>
    <w:rsid w:val="000E0B67"/>
    <w:rsid w:val="000E0CA1"/>
    <w:rsid w:val="000E0E5A"/>
    <w:rsid w:val="000E1204"/>
    <w:rsid w:val="000E13DB"/>
    <w:rsid w:val="000E198C"/>
    <w:rsid w:val="000E19DD"/>
    <w:rsid w:val="000E1E0F"/>
    <w:rsid w:val="000E26FC"/>
    <w:rsid w:val="000E287D"/>
    <w:rsid w:val="000E2CEC"/>
    <w:rsid w:val="000E2E3D"/>
    <w:rsid w:val="000E30CC"/>
    <w:rsid w:val="000E3131"/>
    <w:rsid w:val="000E3221"/>
    <w:rsid w:val="000E3649"/>
    <w:rsid w:val="000E39E1"/>
    <w:rsid w:val="000E48A5"/>
    <w:rsid w:val="000E4998"/>
    <w:rsid w:val="000E4A58"/>
    <w:rsid w:val="000E4EDE"/>
    <w:rsid w:val="000E5510"/>
    <w:rsid w:val="000E6210"/>
    <w:rsid w:val="000E634B"/>
    <w:rsid w:val="000E63B2"/>
    <w:rsid w:val="000E69BA"/>
    <w:rsid w:val="000E6A91"/>
    <w:rsid w:val="000E7732"/>
    <w:rsid w:val="000F063C"/>
    <w:rsid w:val="000F068F"/>
    <w:rsid w:val="000F08BF"/>
    <w:rsid w:val="000F150D"/>
    <w:rsid w:val="000F1ACF"/>
    <w:rsid w:val="000F1F5F"/>
    <w:rsid w:val="000F207D"/>
    <w:rsid w:val="000F210E"/>
    <w:rsid w:val="000F2599"/>
    <w:rsid w:val="000F2AB7"/>
    <w:rsid w:val="000F2C3E"/>
    <w:rsid w:val="000F3067"/>
    <w:rsid w:val="000F31BF"/>
    <w:rsid w:val="000F3C21"/>
    <w:rsid w:val="000F45EE"/>
    <w:rsid w:val="000F48ED"/>
    <w:rsid w:val="000F4A7F"/>
    <w:rsid w:val="000F4C61"/>
    <w:rsid w:val="000F5740"/>
    <w:rsid w:val="000F58B9"/>
    <w:rsid w:val="000F681B"/>
    <w:rsid w:val="000F68FD"/>
    <w:rsid w:val="000F6D1A"/>
    <w:rsid w:val="000F7415"/>
    <w:rsid w:val="000F7F85"/>
    <w:rsid w:val="0010010E"/>
    <w:rsid w:val="00101268"/>
    <w:rsid w:val="00101492"/>
    <w:rsid w:val="00101FB4"/>
    <w:rsid w:val="0010341D"/>
    <w:rsid w:val="00103BAE"/>
    <w:rsid w:val="00103EB0"/>
    <w:rsid w:val="00104941"/>
    <w:rsid w:val="00104965"/>
    <w:rsid w:val="00105498"/>
    <w:rsid w:val="00105642"/>
    <w:rsid w:val="0010573D"/>
    <w:rsid w:val="00106418"/>
    <w:rsid w:val="0010702C"/>
    <w:rsid w:val="0010727C"/>
    <w:rsid w:val="001075C6"/>
    <w:rsid w:val="00107647"/>
    <w:rsid w:val="0010799B"/>
    <w:rsid w:val="00107A03"/>
    <w:rsid w:val="00107DF4"/>
    <w:rsid w:val="001102DD"/>
    <w:rsid w:val="0011120A"/>
    <w:rsid w:val="0011148C"/>
    <w:rsid w:val="0011149E"/>
    <w:rsid w:val="00111F0C"/>
    <w:rsid w:val="001123A1"/>
    <w:rsid w:val="001133AF"/>
    <w:rsid w:val="0011417F"/>
    <w:rsid w:val="00114550"/>
    <w:rsid w:val="00114DD6"/>
    <w:rsid w:val="00115558"/>
    <w:rsid w:val="00115F24"/>
    <w:rsid w:val="001167E4"/>
    <w:rsid w:val="001169C3"/>
    <w:rsid w:val="0011758B"/>
    <w:rsid w:val="00117EE2"/>
    <w:rsid w:val="001204BE"/>
    <w:rsid w:val="00120ACE"/>
    <w:rsid w:val="00120E6A"/>
    <w:rsid w:val="00121472"/>
    <w:rsid w:val="00122523"/>
    <w:rsid w:val="00123C0A"/>
    <w:rsid w:val="00123E76"/>
    <w:rsid w:val="00124068"/>
    <w:rsid w:val="0012530C"/>
    <w:rsid w:val="00125C34"/>
    <w:rsid w:val="001267B7"/>
    <w:rsid w:val="001268EB"/>
    <w:rsid w:val="001269C0"/>
    <w:rsid w:val="00126FFF"/>
    <w:rsid w:val="00127255"/>
    <w:rsid w:val="0012728F"/>
    <w:rsid w:val="00127DD3"/>
    <w:rsid w:val="00130378"/>
    <w:rsid w:val="00130802"/>
    <w:rsid w:val="00130EFE"/>
    <w:rsid w:val="00131202"/>
    <w:rsid w:val="00131F6E"/>
    <w:rsid w:val="00132A80"/>
    <w:rsid w:val="001339B9"/>
    <w:rsid w:val="00133A7C"/>
    <w:rsid w:val="00133F3A"/>
    <w:rsid w:val="00133FB4"/>
    <w:rsid w:val="0013451E"/>
    <w:rsid w:val="00135F1F"/>
    <w:rsid w:val="0013648B"/>
    <w:rsid w:val="0013717C"/>
    <w:rsid w:val="00137272"/>
    <w:rsid w:val="00137797"/>
    <w:rsid w:val="00137B3D"/>
    <w:rsid w:val="00137D4F"/>
    <w:rsid w:val="0014069C"/>
    <w:rsid w:val="00140FD5"/>
    <w:rsid w:val="00141600"/>
    <w:rsid w:val="00141DCB"/>
    <w:rsid w:val="00142E21"/>
    <w:rsid w:val="00143802"/>
    <w:rsid w:val="00143DCD"/>
    <w:rsid w:val="00143F2E"/>
    <w:rsid w:val="001445DC"/>
    <w:rsid w:val="00144C5C"/>
    <w:rsid w:val="00145080"/>
    <w:rsid w:val="00145B3D"/>
    <w:rsid w:val="0014679D"/>
    <w:rsid w:val="00146978"/>
    <w:rsid w:val="00146CA6"/>
    <w:rsid w:val="00147ADB"/>
    <w:rsid w:val="00150CF4"/>
    <w:rsid w:val="0015134D"/>
    <w:rsid w:val="001514FD"/>
    <w:rsid w:val="00152694"/>
    <w:rsid w:val="00152872"/>
    <w:rsid w:val="001529C1"/>
    <w:rsid w:val="0015340D"/>
    <w:rsid w:val="00153E9A"/>
    <w:rsid w:val="00154188"/>
    <w:rsid w:val="001545E0"/>
    <w:rsid w:val="00154896"/>
    <w:rsid w:val="00154AEF"/>
    <w:rsid w:val="001551CC"/>
    <w:rsid w:val="001553FB"/>
    <w:rsid w:val="00156257"/>
    <w:rsid w:val="001562BE"/>
    <w:rsid w:val="00156C9F"/>
    <w:rsid w:val="00157A4E"/>
    <w:rsid w:val="00160231"/>
    <w:rsid w:val="0016071E"/>
    <w:rsid w:val="00160F35"/>
    <w:rsid w:val="00161A48"/>
    <w:rsid w:val="00161BDB"/>
    <w:rsid w:val="00162DBD"/>
    <w:rsid w:val="00163212"/>
    <w:rsid w:val="001634FB"/>
    <w:rsid w:val="001642F1"/>
    <w:rsid w:val="001646B3"/>
    <w:rsid w:val="00165281"/>
    <w:rsid w:val="001656BC"/>
    <w:rsid w:val="00165EF8"/>
    <w:rsid w:val="001665A5"/>
    <w:rsid w:val="00166D37"/>
    <w:rsid w:val="001672FF"/>
    <w:rsid w:val="001673F9"/>
    <w:rsid w:val="001702F3"/>
    <w:rsid w:val="001710B8"/>
    <w:rsid w:val="00171BA8"/>
    <w:rsid w:val="00171C26"/>
    <w:rsid w:val="001721F7"/>
    <w:rsid w:val="00172CE7"/>
    <w:rsid w:val="00173037"/>
    <w:rsid w:val="001733BA"/>
    <w:rsid w:val="00173708"/>
    <w:rsid w:val="00173E07"/>
    <w:rsid w:val="00173FD9"/>
    <w:rsid w:val="0017451F"/>
    <w:rsid w:val="001745C9"/>
    <w:rsid w:val="0017493A"/>
    <w:rsid w:val="00175D8B"/>
    <w:rsid w:val="00176156"/>
    <w:rsid w:val="001765FB"/>
    <w:rsid w:val="00176DC7"/>
    <w:rsid w:val="00177290"/>
    <w:rsid w:val="00177D76"/>
    <w:rsid w:val="001802F5"/>
    <w:rsid w:val="001803DB"/>
    <w:rsid w:val="0018067E"/>
    <w:rsid w:val="00180B00"/>
    <w:rsid w:val="001815F3"/>
    <w:rsid w:val="00181794"/>
    <w:rsid w:val="00182752"/>
    <w:rsid w:val="00182765"/>
    <w:rsid w:val="00182B0E"/>
    <w:rsid w:val="0018386A"/>
    <w:rsid w:val="0018389B"/>
    <w:rsid w:val="00183EB5"/>
    <w:rsid w:val="00183F92"/>
    <w:rsid w:val="0018476F"/>
    <w:rsid w:val="00184FFE"/>
    <w:rsid w:val="0018540F"/>
    <w:rsid w:val="00186342"/>
    <w:rsid w:val="00186390"/>
    <w:rsid w:val="001866BE"/>
    <w:rsid w:val="00186975"/>
    <w:rsid w:val="0018698C"/>
    <w:rsid w:val="00186C92"/>
    <w:rsid w:val="00187653"/>
    <w:rsid w:val="0018796E"/>
    <w:rsid w:val="00187FF9"/>
    <w:rsid w:val="00190D07"/>
    <w:rsid w:val="00190DF3"/>
    <w:rsid w:val="001917EB"/>
    <w:rsid w:val="00192825"/>
    <w:rsid w:val="00192D93"/>
    <w:rsid w:val="001942AC"/>
    <w:rsid w:val="00196467"/>
    <w:rsid w:val="0019759D"/>
    <w:rsid w:val="00197672"/>
    <w:rsid w:val="00197F45"/>
    <w:rsid w:val="001A0887"/>
    <w:rsid w:val="001A128E"/>
    <w:rsid w:val="001A13A2"/>
    <w:rsid w:val="001A14FF"/>
    <w:rsid w:val="001A1A79"/>
    <w:rsid w:val="001A1C51"/>
    <w:rsid w:val="001A231B"/>
    <w:rsid w:val="001A234E"/>
    <w:rsid w:val="001A2A65"/>
    <w:rsid w:val="001A2C8C"/>
    <w:rsid w:val="001A32BC"/>
    <w:rsid w:val="001A351B"/>
    <w:rsid w:val="001A3565"/>
    <w:rsid w:val="001A3A09"/>
    <w:rsid w:val="001A3B49"/>
    <w:rsid w:val="001A3C06"/>
    <w:rsid w:val="001A42F0"/>
    <w:rsid w:val="001A45B4"/>
    <w:rsid w:val="001A4625"/>
    <w:rsid w:val="001A4E16"/>
    <w:rsid w:val="001A6C35"/>
    <w:rsid w:val="001A6E0B"/>
    <w:rsid w:val="001A6F50"/>
    <w:rsid w:val="001A787F"/>
    <w:rsid w:val="001B1418"/>
    <w:rsid w:val="001B1460"/>
    <w:rsid w:val="001B1577"/>
    <w:rsid w:val="001B159A"/>
    <w:rsid w:val="001B23A9"/>
    <w:rsid w:val="001B28FA"/>
    <w:rsid w:val="001B2A64"/>
    <w:rsid w:val="001B2AD9"/>
    <w:rsid w:val="001B2D32"/>
    <w:rsid w:val="001B2E63"/>
    <w:rsid w:val="001B3954"/>
    <w:rsid w:val="001B3F58"/>
    <w:rsid w:val="001B5A41"/>
    <w:rsid w:val="001B5CE4"/>
    <w:rsid w:val="001B6109"/>
    <w:rsid w:val="001B687C"/>
    <w:rsid w:val="001B7BEC"/>
    <w:rsid w:val="001B7EF7"/>
    <w:rsid w:val="001C0455"/>
    <w:rsid w:val="001C093B"/>
    <w:rsid w:val="001C1250"/>
    <w:rsid w:val="001C2296"/>
    <w:rsid w:val="001C23AA"/>
    <w:rsid w:val="001C37AB"/>
    <w:rsid w:val="001C3D51"/>
    <w:rsid w:val="001C545B"/>
    <w:rsid w:val="001C5922"/>
    <w:rsid w:val="001C708F"/>
    <w:rsid w:val="001C7340"/>
    <w:rsid w:val="001C75EB"/>
    <w:rsid w:val="001C782E"/>
    <w:rsid w:val="001C7B22"/>
    <w:rsid w:val="001D00E5"/>
    <w:rsid w:val="001D089A"/>
    <w:rsid w:val="001D0EB3"/>
    <w:rsid w:val="001D0FFD"/>
    <w:rsid w:val="001D12A8"/>
    <w:rsid w:val="001D24FB"/>
    <w:rsid w:val="001D307E"/>
    <w:rsid w:val="001D3436"/>
    <w:rsid w:val="001D3C40"/>
    <w:rsid w:val="001D44A0"/>
    <w:rsid w:val="001D46B7"/>
    <w:rsid w:val="001D4DD1"/>
    <w:rsid w:val="001D56C8"/>
    <w:rsid w:val="001D57B7"/>
    <w:rsid w:val="001D6334"/>
    <w:rsid w:val="001D6642"/>
    <w:rsid w:val="001D666A"/>
    <w:rsid w:val="001D6F93"/>
    <w:rsid w:val="001D7445"/>
    <w:rsid w:val="001E0802"/>
    <w:rsid w:val="001E08F5"/>
    <w:rsid w:val="001E0C65"/>
    <w:rsid w:val="001E0F67"/>
    <w:rsid w:val="001E10C5"/>
    <w:rsid w:val="001E15C0"/>
    <w:rsid w:val="001E1924"/>
    <w:rsid w:val="001E1DD1"/>
    <w:rsid w:val="001E1E9B"/>
    <w:rsid w:val="001E22FB"/>
    <w:rsid w:val="001E26AE"/>
    <w:rsid w:val="001E26C9"/>
    <w:rsid w:val="001E382A"/>
    <w:rsid w:val="001E3ADC"/>
    <w:rsid w:val="001E3C9E"/>
    <w:rsid w:val="001E45C3"/>
    <w:rsid w:val="001E4662"/>
    <w:rsid w:val="001E474E"/>
    <w:rsid w:val="001E53EE"/>
    <w:rsid w:val="001E581D"/>
    <w:rsid w:val="001E5F51"/>
    <w:rsid w:val="001E6259"/>
    <w:rsid w:val="001E63D0"/>
    <w:rsid w:val="001E6BF1"/>
    <w:rsid w:val="001E6DC7"/>
    <w:rsid w:val="001E6FC7"/>
    <w:rsid w:val="001E744E"/>
    <w:rsid w:val="001E764F"/>
    <w:rsid w:val="001E7781"/>
    <w:rsid w:val="001F00B7"/>
    <w:rsid w:val="001F0A60"/>
    <w:rsid w:val="001F0BB1"/>
    <w:rsid w:val="001F0F1F"/>
    <w:rsid w:val="001F104C"/>
    <w:rsid w:val="001F165C"/>
    <w:rsid w:val="001F179F"/>
    <w:rsid w:val="001F1EEE"/>
    <w:rsid w:val="001F23C8"/>
    <w:rsid w:val="001F2490"/>
    <w:rsid w:val="001F2A69"/>
    <w:rsid w:val="001F2E13"/>
    <w:rsid w:val="001F3002"/>
    <w:rsid w:val="001F3C19"/>
    <w:rsid w:val="001F3CA7"/>
    <w:rsid w:val="001F3E65"/>
    <w:rsid w:val="001F45B7"/>
    <w:rsid w:val="001F5CA7"/>
    <w:rsid w:val="001F5D3F"/>
    <w:rsid w:val="001F5E58"/>
    <w:rsid w:val="001F6119"/>
    <w:rsid w:val="001F617C"/>
    <w:rsid w:val="001F619E"/>
    <w:rsid w:val="001F671D"/>
    <w:rsid w:val="001F70B1"/>
    <w:rsid w:val="001F75B0"/>
    <w:rsid w:val="001F7618"/>
    <w:rsid w:val="001F76E4"/>
    <w:rsid w:val="001F77A6"/>
    <w:rsid w:val="001F7B97"/>
    <w:rsid w:val="001F7BB4"/>
    <w:rsid w:val="001F7C4A"/>
    <w:rsid w:val="001F7D01"/>
    <w:rsid w:val="00200AD1"/>
    <w:rsid w:val="00200B3E"/>
    <w:rsid w:val="00200FBD"/>
    <w:rsid w:val="00201249"/>
    <w:rsid w:val="002022F2"/>
    <w:rsid w:val="0020298E"/>
    <w:rsid w:val="00202D48"/>
    <w:rsid w:val="00202DA9"/>
    <w:rsid w:val="00202FC1"/>
    <w:rsid w:val="0020345D"/>
    <w:rsid w:val="00203591"/>
    <w:rsid w:val="002035B6"/>
    <w:rsid w:val="00203B28"/>
    <w:rsid w:val="00203FD6"/>
    <w:rsid w:val="00204867"/>
    <w:rsid w:val="00204DC7"/>
    <w:rsid w:val="00205167"/>
    <w:rsid w:val="00205B38"/>
    <w:rsid w:val="00206199"/>
    <w:rsid w:val="00206DB2"/>
    <w:rsid w:val="00207BDC"/>
    <w:rsid w:val="00207E48"/>
    <w:rsid w:val="002103A2"/>
    <w:rsid w:val="00210541"/>
    <w:rsid w:val="00210BFE"/>
    <w:rsid w:val="00211416"/>
    <w:rsid w:val="0021157C"/>
    <w:rsid w:val="002118E9"/>
    <w:rsid w:val="00211CEC"/>
    <w:rsid w:val="00211D6B"/>
    <w:rsid w:val="00211F39"/>
    <w:rsid w:val="0021242B"/>
    <w:rsid w:val="002124B8"/>
    <w:rsid w:val="00212559"/>
    <w:rsid w:val="00212619"/>
    <w:rsid w:val="00212A58"/>
    <w:rsid w:val="00212B53"/>
    <w:rsid w:val="00212BAF"/>
    <w:rsid w:val="00213232"/>
    <w:rsid w:val="002135F4"/>
    <w:rsid w:val="00213894"/>
    <w:rsid w:val="00213BE4"/>
    <w:rsid w:val="002140A2"/>
    <w:rsid w:val="00214157"/>
    <w:rsid w:val="002141B8"/>
    <w:rsid w:val="00214B7F"/>
    <w:rsid w:val="00214D97"/>
    <w:rsid w:val="00215205"/>
    <w:rsid w:val="002156E2"/>
    <w:rsid w:val="002159B4"/>
    <w:rsid w:val="00215C36"/>
    <w:rsid w:val="00215CAA"/>
    <w:rsid w:val="0021608D"/>
    <w:rsid w:val="00216BEC"/>
    <w:rsid w:val="00217A05"/>
    <w:rsid w:val="002204E0"/>
    <w:rsid w:val="00220639"/>
    <w:rsid w:val="00220B4E"/>
    <w:rsid w:val="00220BEF"/>
    <w:rsid w:val="00220CA8"/>
    <w:rsid w:val="00220CBD"/>
    <w:rsid w:val="0022133C"/>
    <w:rsid w:val="0022150B"/>
    <w:rsid w:val="0022204D"/>
    <w:rsid w:val="00222A13"/>
    <w:rsid w:val="0022323C"/>
    <w:rsid w:val="00223517"/>
    <w:rsid w:val="00223B6D"/>
    <w:rsid w:val="0022465B"/>
    <w:rsid w:val="00224807"/>
    <w:rsid w:val="00224ABA"/>
    <w:rsid w:val="00225203"/>
    <w:rsid w:val="00225940"/>
    <w:rsid w:val="00225C37"/>
    <w:rsid w:val="00225D8C"/>
    <w:rsid w:val="00225DB6"/>
    <w:rsid w:val="00226013"/>
    <w:rsid w:val="00226115"/>
    <w:rsid w:val="002268FB"/>
    <w:rsid w:val="002269FB"/>
    <w:rsid w:val="00226AB2"/>
    <w:rsid w:val="00226C30"/>
    <w:rsid w:val="002274DC"/>
    <w:rsid w:val="00230795"/>
    <w:rsid w:val="0023082E"/>
    <w:rsid w:val="00231026"/>
    <w:rsid w:val="002315A3"/>
    <w:rsid w:val="002315A8"/>
    <w:rsid w:val="0023193B"/>
    <w:rsid w:val="00231A65"/>
    <w:rsid w:val="00231B0B"/>
    <w:rsid w:val="002329CA"/>
    <w:rsid w:val="0023338C"/>
    <w:rsid w:val="002338B0"/>
    <w:rsid w:val="00233CB3"/>
    <w:rsid w:val="00234360"/>
    <w:rsid w:val="002346B3"/>
    <w:rsid w:val="0023599A"/>
    <w:rsid w:val="00235F2A"/>
    <w:rsid w:val="00236B8B"/>
    <w:rsid w:val="00236F5B"/>
    <w:rsid w:val="00237CF0"/>
    <w:rsid w:val="00240EA1"/>
    <w:rsid w:val="0024131B"/>
    <w:rsid w:val="002419BB"/>
    <w:rsid w:val="0024268A"/>
    <w:rsid w:val="002426A0"/>
    <w:rsid w:val="0024316A"/>
    <w:rsid w:val="00243364"/>
    <w:rsid w:val="002433A2"/>
    <w:rsid w:val="00243869"/>
    <w:rsid w:val="0024433C"/>
    <w:rsid w:val="002446DE"/>
    <w:rsid w:val="00244BE3"/>
    <w:rsid w:val="00244FE4"/>
    <w:rsid w:val="002454A5"/>
    <w:rsid w:val="00245544"/>
    <w:rsid w:val="00245FFD"/>
    <w:rsid w:val="002462F0"/>
    <w:rsid w:val="00246704"/>
    <w:rsid w:val="00246941"/>
    <w:rsid w:val="00246A65"/>
    <w:rsid w:val="00247067"/>
    <w:rsid w:val="002479C9"/>
    <w:rsid w:val="00247B87"/>
    <w:rsid w:val="00247E4F"/>
    <w:rsid w:val="00247E6A"/>
    <w:rsid w:val="00250331"/>
    <w:rsid w:val="002508F4"/>
    <w:rsid w:val="00250EF8"/>
    <w:rsid w:val="00251C4A"/>
    <w:rsid w:val="00252D78"/>
    <w:rsid w:val="00253A8E"/>
    <w:rsid w:val="00254828"/>
    <w:rsid w:val="00255D0A"/>
    <w:rsid w:val="002563E8"/>
    <w:rsid w:val="0025745A"/>
    <w:rsid w:val="00257C21"/>
    <w:rsid w:val="0026026C"/>
    <w:rsid w:val="0026090A"/>
    <w:rsid w:val="00261A5D"/>
    <w:rsid w:val="00261A86"/>
    <w:rsid w:val="00261E3B"/>
    <w:rsid w:val="00262C6A"/>
    <w:rsid w:val="0026315E"/>
    <w:rsid w:val="002631F2"/>
    <w:rsid w:val="0026320F"/>
    <w:rsid w:val="002638FB"/>
    <w:rsid w:val="00264024"/>
    <w:rsid w:val="0026430D"/>
    <w:rsid w:val="00264338"/>
    <w:rsid w:val="0026460C"/>
    <w:rsid w:val="00264F59"/>
    <w:rsid w:val="00266D6A"/>
    <w:rsid w:val="00266FAB"/>
    <w:rsid w:val="00266FB7"/>
    <w:rsid w:val="00267483"/>
    <w:rsid w:val="0026762C"/>
    <w:rsid w:val="00270303"/>
    <w:rsid w:val="00270467"/>
    <w:rsid w:val="00270860"/>
    <w:rsid w:val="002708F4"/>
    <w:rsid w:val="00271325"/>
    <w:rsid w:val="00271714"/>
    <w:rsid w:val="00271A4F"/>
    <w:rsid w:val="002721E8"/>
    <w:rsid w:val="00272A75"/>
    <w:rsid w:val="00272EC2"/>
    <w:rsid w:val="0027320B"/>
    <w:rsid w:val="0027464A"/>
    <w:rsid w:val="002767C8"/>
    <w:rsid w:val="00276DC4"/>
    <w:rsid w:val="00276F17"/>
    <w:rsid w:val="00277F40"/>
    <w:rsid w:val="002800DF"/>
    <w:rsid w:val="00280447"/>
    <w:rsid w:val="00280A28"/>
    <w:rsid w:val="00281207"/>
    <w:rsid w:val="0028194A"/>
    <w:rsid w:val="00283261"/>
    <w:rsid w:val="00283370"/>
    <w:rsid w:val="00283673"/>
    <w:rsid w:val="002836B3"/>
    <w:rsid w:val="002845B6"/>
    <w:rsid w:val="00285E11"/>
    <w:rsid w:val="002860C5"/>
    <w:rsid w:val="0028611E"/>
    <w:rsid w:val="00286137"/>
    <w:rsid w:val="0028659C"/>
    <w:rsid w:val="00286620"/>
    <w:rsid w:val="00286BB2"/>
    <w:rsid w:val="00287294"/>
    <w:rsid w:val="002875B0"/>
    <w:rsid w:val="002878DC"/>
    <w:rsid w:val="002878E3"/>
    <w:rsid w:val="00287FFB"/>
    <w:rsid w:val="002900A6"/>
    <w:rsid w:val="00290F1E"/>
    <w:rsid w:val="00290F8A"/>
    <w:rsid w:val="00291436"/>
    <w:rsid w:val="002922C4"/>
    <w:rsid w:val="00292513"/>
    <w:rsid w:val="0029258E"/>
    <w:rsid w:val="00292B7C"/>
    <w:rsid w:val="00292BAA"/>
    <w:rsid w:val="00292D52"/>
    <w:rsid w:val="00292E03"/>
    <w:rsid w:val="00293CD6"/>
    <w:rsid w:val="00293E85"/>
    <w:rsid w:val="00294285"/>
    <w:rsid w:val="00294BCA"/>
    <w:rsid w:val="00295278"/>
    <w:rsid w:val="002959D2"/>
    <w:rsid w:val="00296211"/>
    <w:rsid w:val="00296BC2"/>
    <w:rsid w:val="002971FC"/>
    <w:rsid w:val="00297BE7"/>
    <w:rsid w:val="00297CD0"/>
    <w:rsid w:val="002A01DA"/>
    <w:rsid w:val="002A0229"/>
    <w:rsid w:val="002A0C98"/>
    <w:rsid w:val="002A124A"/>
    <w:rsid w:val="002A15B7"/>
    <w:rsid w:val="002A15F1"/>
    <w:rsid w:val="002A1C6A"/>
    <w:rsid w:val="002A346F"/>
    <w:rsid w:val="002A349C"/>
    <w:rsid w:val="002A360C"/>
    <w:rsid w:val="002A3814"/>
    <w:rsid w:val="002A38FD"/>
    <w:rsid w:val="002A410B"/>
    <w:rsid w:val="002A454B"/>
    <w:rsid w:val="002A456D"/>
    <w:rsid w:val="002A5012"/>
    <w:rsid w:val="002A5A17"/>
    <w:rsid w:val="002A6874"/>
    <w:rsid w:val="002A737A"/>
    <w:rsid w:val="002A747F"/>
    <w:rsid w:val="002B000D"/>
    <w:rsid w:val="002B0584"/>
    <w:rsid w:val="002B0672"/>
    <w:rsid w:val="002B0CDF"/>
    <w:rsid w:val="002B160F"/>
    <w:rsid w:val="002B1788"/>
    <w:rsid w:val="002B17D1"/>
    <w:rsid w:val="002B21FD"/>
    <w:rsid w:val="002B3042"/>
    <w:rsid w:val="002B3238"/>
    <w:rsid w:val="002B3D28"/>
    <w:rsid w:val="002B40BD"/>
    <w:rsid w:val="002B47E9"/>
    <w:rsid w:val="002B4CBA"/>
    <w:rsid w:val="002B50E0"/>
    <w:rsid w:val="002B6096"/>
    <w:rsid w:val="002B6111"/>
    <w:rsid w:val="002B6A3D"/>
    <w:rsid w:val="002C00E1"/>
    <w:rsid w:val="002C0A4A"/>
    <w:rsid w:val="002C1852"/>
    <w:rsid w:val="002C205E"/>
    <w:rsid w:val="002C22AB"/>
    <w:rsid w:val="002C4022"/>
    <w:rsid w:val="002C499D"/>
    <w:rsid w:val="002C69E4"/>
    <w:rsid w:val="002C6B3B"/>
    <w:rsid w:val="002C71D1"/>
    <w:rsid w:val="002C724C"/>
    <w:rsid w:val="002C73F9"/>
    <w:rsid w:val="002C7657"/>
    <w:rsid w:val="002C77A9"/>
    <w:rsid w:val="002C7E0E"/>
    <w:rsid w:val="002D0960"/>
    <w:rsid w:val="002D1203"/>
    <w:rsid w:val="002D1540"/>
    <w:rsid w:val="002D1779"/>
    <w:rsid w:val="002D18EA"/>
    <w:rsid w:val="002D1EA6"/>
    <w:rsid w:val="002D2254"/>
    <w:rsid w:val="002D2F70"/>
    <w:rsid w:val="002D30E7"/>
    <w:rsid w:val="002D38E7"/>
    <w:rsid w:val="002D3BC6"/>
    <w:rsid w:val="002D5122"/>
    <w:rsid w:val="002D5473"/>
    <w:rsid w:val="002D61B5"/>
    <w:rsid w:val="002D674F"/>
    <w:rsid w:val="002D681C"/>
    <w:rsid w:val="002D757A"/>
    <w:rsid w:val="002D79E1"/>
    <w:rsid w:val="002D7BBF"/>
    <w:rsid w:val="002D7C65"/>
    <w:rsid w:val="002E00C5"/>
    <w:rsid w:val="002E01BA"/>
    <w:rsid w:val="002E09B9"/>
    <w:rsid w:val="002E15E8"/>
    <w:rsid w:val="002E3941"/>
    <w:rsid w:val="002E3BA4"/>
    <w:rsid w:val="002E42CD"/>
    <w:rsid w:val="002E4951"/>
    <w:rsid w:val="002E4BBD"/>
    <w:rsid w:val="002E4D71"/>
    <w:rsid w:val="002E559B"/>
    <w:rsid w:val="002E5713"/>
    <w:rsid w:val="002E5890"/>
    <w:rsid w:val="002E59D2"/>
    <w:rsid w:val="002E60C6"/>
    <w:rsid w:val="002E651A"/>
    <w:rsid w:val="002E68C2"/>
    <w:rsid w:val="002E6942"/>
    <w:rsid w:val="002E6A14"/>
    <w:rsid w:val="002E6D1F"/>
    <w:rsid w:val="002E73F1"/>
    <w:rsid w:val="002E7C74"/>
    <w:rsid w:val="002E7C9F"/>
    <w:rsid w:val="002F0585"/>
    <w:rsid w:val="002F0B34"/>
    <w:rsid w:val="002F0BA4"/>
    <w:rsid w:val="002F1120"/>
    <w:rsid w:val="002F1191"/>
    <w:rsid w:val="002F1251"/>
    <w:rsid w:val="002F2002"/>
    <w:rsid w:val="002F203D"/>
    <w:rsid w:val="002F271A"/>
    <w:rsid w:val="002F2953"/>
    <w:rsid w:val="002F3751"/>
    <w:rsid w:val="002F37EF"/>
    <w:rsid w:val="002F3ABF"/>
    <w:rsid w:val="002F3ADB"/>
    <w:rsid w:val="002F41D7"/>
    <w:rsid w:val="002F4731"/>
    <w:rsid w:val="002F4811"/>
    <w:rsid w:val="002F5A80"/>
    <w:rsid w:val="002F5EEF"/>
    <w:rsid w:val="002F6AD0"/>
    <w:rsid w:val="002F6D99"/>
    <w:rsid w:val="002F71B2"/>
    <w:rsid w:val="002F71C9"/>
    <w:rsid w:val="002F73E5"/>
    <w:rsid w:val="002F79CA"/>
    <w:rsid w:val="002F7E23"/>
    <w:rsid w:val="003003A7"/>
    <w:rsid w:val="003011A7"/>
    <w:rsid w:val="00301569"/>
    <w:rsid w:val="00301995"/>
    <w:rsid w:val="00302455"/>
    <w:rsid w:val="00302911"/>
    <w:rsid w:val="00303234"/>
    <w:rsid w:val="003036AA"/>
    <w:rsid w:val="003038F9"/>
    <w:rsid w:val="00304668"/>
    <w:rsid w:val="0030480C"/>
    <w:rsid w:val="00304DCC"/>
    <w:rsid w:val="003051EA"/>
    <w:rsid w:val="00305509"/>
    <w:rsid w:val="0030690B"/>
    <w:rsid w:val="00306B23"/>
    <w:rsid w:val="00306C2E"/>
    <w:rsid w:val="003076EA"/>
    <w:rsid w:val="00307DEE"/>
    <w:rsid w:val="003101D8"/>
    <w:rsid w:val="003106BA"/>
    <w:rsid w:val="003111E5"/>
    <w:rsid w:val="00311425"/>
    <w:rsid w:val="0031155F"/>
    <w:rsid w:val="00311978"/>
    <w:rsid w:val="00311A8B"/>
    <w:rsid w:val="003130CA"/>
    <w:rsid w:val="003146FB"/>
    <w:rsid w:val="00314729"/>
    <w:rsid w:val="00314775"/>
    <w:rsid w:val="00314B00"/>
    <w:rsid w:val="00314B73"/>
    <w:rsid w:val="00315203"/>
    <w:rsid w:val="003153D9"/>
    <w:rsid w:val="0031548D"/>
    <w:rsid w:val="00315678"/>
    <w:rsid w:val="00315838"/>
    <w:rsid w:val="0031610A"/>
    <w:rsid w:val="00316394"/>
    <w:rsid w:val="0031651F"/>
    <w:rsid w:val="00316834"/>
    <w:rsid w:val="00316851"/>
    <w:rsid w:val="00316C5E"/>
    <w:rsid w:val="00316C6B"/>
    <w:rsid w:val="003204AC"/>
    <w:rsid w:val="00320E97"/>
    <w:rsid w:val="0032140A"/>
    <w:rsid w:val="00321D30"/>
    <w:rsid w:val="003223B2"/>
    <w:rsid w:val="0032244F"/>
    <w:rsid w:val="00322CA5"/>
    <w:rsid w:val="00322E37"/>
    <w:rsid w:val="00323369"/>
    <w:rsid w:val="00323382"/>
    <w:rsid w:val="00324364"/>
    <w:rsid w:val="00324440"/>
    <w:rsid w:val="003244D9"/>
    <w:rsid w:val="003244FE"/>
    <w:rsid w:val="00324986"/>
    <w:rsid w:val="0032564F"/>
    <w:rsid w:val="003258E9"/>
    <w:rsid w:val="00325967"/>
    <w:rsid w:val="00325C65"/>
    <w:rsid w:val="00326C6C"/>
    <w:rsid w:val="00327007"/>
    <w:rsid w:val="003271FC"/>
    <w:rsid w:val="00327C3C"/>
    <w:rsid w:val="0033100C"/>
    <w:rsid w:val="003314F5"/>
    <w:rsid w:val="00331C0F"/>
    <w:rsid w:val="00331C36"/>
    <w:rsid w:val="00331D57"/>
    <w:rsid w:val="00332E3F"/>
    <w:rsid w:val="00333043"/>
    <w:rsid w:val="00333670"/>
    <w:rsid w:val="00333C97"/>
    <w:rsid w:val="003347F4"/>
    <w:rsid w:val="00334A09"/>
    <w:rsid w:val="00334D58"/>
    <w:rsid w:val="00334DD9"/>
    <w:rsid w:val="00334FC9"/>
    <w:rsid w:val="0033501F"/>
    <w:rsid w:val="003350EC"/>
    <w:rsid w:val="003355DB"/>
    <w:rsid w:val="00335789"/>
    <w:rsid w:val="00335B02"/>
    <w:rsid w:val="003360A4"/>
    <w:rsid w:val="0033637D"/>
    <w:rsid w:val="00336826"/>
    <w:rsid w:val="00336AE7"/>
    <w:rsid w:val="00336B8C"/>
    <w:rsid w:val="00336CF9"/>
    <w:rsid w:val="0033721D"/>
    <w:rsid w:val="003377C8"/>
    <w:rsid w:val="003379F1"/>
    <w:rsid w:val="003403D1"/>
    <w:rsid w:val="0034043E"/>
    <w:rsid w:val="00340879"/>
    <w:rsid w:val="003408FE"/>
    <w:rsid w:val="00340F5A"/>
    <w:rsid w:val="003410A5"/>
    <w:rsid w:val="00341E34"/>
    <w:rsid w:val="0034269E"/>
    <w:rsid w:val="003426B8"/>
    <w:rsid w:val="00342EA2"/>
    <w:rsid w:val="00343125"/>
    <w:rsid w:val="0034378F"/>
    <w:rsid w:val="003439D3"/>
    <w:rsid w:val="0034402F"/>
    <w:rsid w:val="00344612"/>
    <w:rsid w:val="00344962"/>
    <w:rsid w:val="00345480"/>
    <w:rsid w:val="00345495"/>
    <w:rsid w:val="003456DC"/>
    <w:rsid w:val="00345985"/>
    <w:rsid w:val="003459E7"/>
    <w:rsid w:val="0034683F"/>
    <w:rsid w:val="0034718A"/>
    <w:rsid w:val="00347622"/>
    <w:rsid w:val="00347A11"/>
    <w:rsid w:val="00347E5A"/>
    <w:rsid w:val="00350618"/>
    <w:rsid w:val="003506EA"/>
    <w:rsid w:val="00350E1B"/>
    <w:rsid w:val="00351023"/>
    <w:rsid w:val="00351A06"/>
    <w:rsid w:val="00351B95"/>
    <w:rsid w:val="003528AA"/>
    <w:rsid w:val="00353173"/>
    <w:rsid w:val="003531E1"/>
    <w:rsid w:val="00353C0E"/>
    <w:rsid w:val="003545F2"/>
    <w:rsid w:val="00354E8E"/>
    <w:rsid w:val="0035585E"/>
    <w:rsid w:val="0035595A"/>
    <w:rsid w:val="00355BE0"/>
    <w:rsid w:val="00356021"/>
    <w:rsid w:val="003566CA"/>
    <w:rsid w:val="00356885"/>
    <w:rsid w:val="00356F83"/>
    <w:rsid w:val="003579B9"/>
    <w:rsid w:val="003600DF"/>
    <w:rsid w:val="0036018F"/>
    <w:rsid w:val="003601C1"/>
    <w:rsid w:val="0036166C"/>
    <w:rsid w:val="00361AF1"/>
    <w:rsid w:val="00361E1F"/>
    <w:rsid w:val="003620BF"/>
    <w:rsid w:val="003621FF"/>
    <w:rsid w:val="003625C3"/>
    <w:rsid w:val="0036291E"/>
    <w:rsid w:val="00363615"/>
    <w:rsid w:val="00364304"/>
    <w:rsid w:val="003649A9"/>
    <w:rsid w:val="00365680"/>
    <w:rsid w:val="00365AE4"/>
    <w:rsid w:val="00365B65"/>
    <w:rsid w:val="00366355"/>
    <w:rsid w:val="00366A3C"/>
    <w:rsid w:val="003670A5"/>
    <w:rsid w:val="0036795A"/>
    <w:rsid w:val="00367CB0"/>
    <w:rsid w:val="0037083A"/>
    <w:rsid w:val="00370868"/>
    <w:rsid w:val="00370E51"/>
    <w:rsid w:val="0037114B"/>
    <w:rsid w:val="003715EF"/>
    <w:rsid w:val="003716CF"/>
    <w:rsid w:val="003720B7"/>
    <w:rsid w:val="00372207"/>
    <w:rsid w:val="00373C49"/>
    <w:rsid w:val="003741DC"/>
    <w:rsid w:val="00374452"/>
    <w:rsid w:val="0037463F"/>
    <w:rsid w:val="00374787"/>
    <w:rsid w:val="0037486E"/>
    <w:rsid w:val="003750FD"/>
    <w:rsid w:val="00375B2D"/>
    <w:rsid w:val="00375F31"/>
    <w:rsid w:val="003765B1"/>
    <w:rsid w:val="0037664A"/>
    <w:rsid w:val="003766FE"/>
    <w:rsid w:val="00376D66"/>
    <w:rsid w:val="00377063"/>
    <w:rsid w:val="00377D2D"/>
    <w:rsid w:val="00380E53"/>
    <w:rsid w:val="00380F28"/>
    <w:rsid w:val="00380F8D"/>
    <w:rsid w:val="00381001"/>
    <w:rsid w:val="003810F7"/>
    <w:rsid w:val="00381259"/>
    <w:rsid w:val="0038275E"/>
    <w:rsid w:val="003828AD"/>
    <w:rsid w:val="003835FE"/>
    <w:rsid w:val="003837CD"/>
    <w:rsid w:val="00383995"/>
    <w:rsid w:val="0038400A"/>
    <w:rsid w:val="003841CD"/>
    <w:rsid w:val="00384325"/>
    <w:rsid w:val="0038484F"/>
    <w:rsid w:val="00384BFE"/>
    <w:rsid w:val="00384FEF"/>
    <w:rsid w:val="003859F4"/>
    <w:rsid w:val="00385AF7"/>
    <w:rsid w:val="00386354"/>
    <w:rsid w:val="00386763"/>
    <w:rsid w:val="00386AD1"/>
    <w:rsid w:val="00390408"/>
    <w:rsid w:val="0039062C"/>
    <w:rsid w:val="00390792"/>
    <w:rsid w:val="00390B04"/>
    <w:rsid w:val="00391558"/>
    <w:rsid w:val="0039158F"/>
    <w:rsid w:val="003915B4"/>
    <w:rsid w:val="003916B4"/>
    <w:rsid w:val="0039172B"/>
    <w:rsid w:val="00391DD7"/>
    <w:rsid w:val="00391E61"/>
    <w:rsid w:val="00391E69"/>
    <w:rsid w:val="0039210C"/>
    <w:rsid w:val="00392238"/>
    <w:rsid w:val="003922CE"/>
    <w:rsid w:val="003923AD"/>
    <w:rsid w:val="00392558"/>
    <w:rsid w:val="00392C52"/>
    <w:rsid w:val="00392F82"/>
    <w:rsid w:val="003933C1"/>
    <w:rsid w:val="0039371B"/>
    <w:rsid w:val="0039385C"/>
    <w:rsid w:val="00393E0F"/>
    <w:rsid w:val="003942B4"/>
    <w:rsid w:val="00394919"/>
    <w:rsid w:val="0039565A"/>
    <w:rsid w:val="00395735"/>
    <w:rsid w:val="0039598F"/>
    <w:rsid w:val="00395A6F"/>
    <w:rsid w:val="003969A7"/>
    <w:rsid w:val="00396E12"/>
    <w:rsid w:val="0039757A"/>
    <w:rsid w:val="00397D1C"/>
    <w:rsid w:val="003A056F"/>
    <w:rsid w:val="003A09C0"/>
    <w:rsid w:val="003A09D6"/>
    <w:rsid w:val="003A0F55"/>
    <w:rsid w:val="003A0FE7"/>
    <w:rsid w:val="003A10D6"/>
    <w:rsid w:val="003A1947"/>
    <w:rsid w:val="003A197F"/>
    <w:rsid w:val="003A239A"/>
    <w:rsid w:val="003A25F2"/>
    <w:rsid w:val="003A30C9"/>
    <w:rsid w:val="003A3ED3"/>
    <w:rsid w:val="003A3FB8"/>
    <w:rsid w:val="003A432C"/>
    <w:rsid w:val="003A4653"/>
    <w:rsid w:val="003A4AAF"/>
    <w:rsid w:val="003A4BE2"/>
    <w:rsid w:val="003A50BA"/>
    <w:rsid w:val="003A51D1"/>
    <w:rsid w:val="003A59AD"/>
    <w:rsid w:val="003A5BEF"/>
    <w:rsid w:val="003A5E7C"/>
    <w:rsid w:val="003A62F6"/>
    <w:rsid w:val="003A68C9"/>
    <w:rsid w:val="003A68D7"/>
    <w:rsid w:val="003A69F6"/>
    <w:rsid w:val="003A77D4"/>
    <w:rsid w:val="003B236D"/>
    <w:rsid w:val="003B27DC"/>
    <w:rsid w:val="003B298B"/>
    <w:rsid w:val="003B2AD5"/>
    <w:rsid w:val="003B359F"/>
    <w:rsid w:val="003B3ED6"/>
    <w:rsid w:val="003B4D2A"/>
    <w:rsid w:val="003B5538"/>
    <w:rsid w:val="003B5C3D"/>
    <w:rsid w:val="003B5DCF"/>
    <w:rsid w:val="003B5F01"/>
    <w:rsid w:val="003B5F67"/>
    <w:rsid w:val="003B6126"/>
    <w:rsid w:val="003B7316"/>
    <w:rsid w:val="003B76BB"/>
    <w:rsid w:val="003B77BC"/>
    <w:rsid w:val="003B7CE2"/>
    <w:rsid w:val="003B7F48"/>
    <w:rsid w:val="003C0016"/>
    <w:rsid w:val="003C04A1"/>
    <w:rsid w:val="003C0BCB"/>
    <w:rsid w:val="003C12B6"/>
    <w:rsid w:val="003C143B"/>
    <w:rsid w:val="003C199A"/>
    <w:rsid w:val="003C1E4C"/>
    <w:rsid w:val="003C1FF1"/>
    <w:rsid w:val="003C213E"/>
    <w:rsid w:val="003C2213"/>
    <w:rsid w:val="003C280B"/>
    <w:rsid w:val="003C2891"/>
    <w:rsid w:val="003C3010"/>
    <w:rsid w:val="003C36A3"/>
    <w:rsid w:val="003C3BB5"/>
    <w:rsid w:val="003C3BBA"/>
    <w:rsid w:val="003C3BE6"/>
    <w:rsid w:val="003C462C"/>
    <w:rsid w:val="003C46B9"/>
    <w:rsid w:val="003C4DE9"/>
    <w:rsid w:val="003C4E81"/>
    <w:rsid w:val="003C5452"/>
    <w:rsid w:val="003C5A27"/>
    <w:rsid w:val="003C620F"/>
    <w:rsid w:val="003C642D"/>
    <w:rsid w:val="003C6547"/>
    <w:rsid w:val="003C6D31"/>
    <w:rsid w:val="003C7988"/>
    <w:rsid w:val="003D1234"/>
    <w:rsid w:val="003D1746"/>
    <w:rsid w:val="003D1765"/>
    <w:rsid w:val="003D1EE0"/>
    <w:rsid w:val="003D205E"/>
    <w:rsid w:val="003D368E"/>
    <w:rsid w:val="003D37BC"/>
    <w:rsid w:val="003D3C27"/>
    <w:rsid w:val="003D442D"/>
    <w:rsid w:val="003D485E"/>
    <w:rsid w:val="003D4AC7"/>
    <w:rsid w:val="003D63B6"/>
    <w:rsid w:val="003D65C9"/>
    <w:rsid w:val="003D71AB"/>
    <w:rsid w:val="003D722D"/>
    <w:rsid w:val="003D73F4"/>
    <w:rsid w:val="003D77D7"/>
    <w:rsid w:val="003E078D"/>
    <w:rsid w:val="003E104C"/>
    <w:rsid w:val="003E1895"/>
    <w:rsid w:val="003E2D9C"/>
    <w:rsid w:val="003E2DCD"/>
    <w:rsid w:val="003E4543"/>
    <w:rsid w:val="003E45C8"/>
    <w:rsid w:val="003E4627"/>
    <w:rsid w:val="003E4C50"/>
    <w:rsid w:val="003E5767"/>
    <w:rsid w:val="003E6924"/>
    <w:rsid w:val="003E6C51"/>
    <w:rsid w:val="003E704A"/>
    <w:rsid w:val="003E7B7E"/>
    <w:rsid w:val="003E7DA4"/>
    <w:rsid w:val="003E7E69"/>
    <w:rsid w:val="003F0043"/>
    <w:rsid w:val="003F0CDD"/>
    <w:rsid w:val="003F0DEE"/>
    <w:rsid w:val="003F0E7E"/>
    <w:rsid w:val="003F1387"/>
    <w:rsid w:val="003F17F3"/>
    <w:rsid w:val="003F1877"/>
    <w:rsid w:val="003F1FE0"/>
    <w:rsid w:val="003F20E6"/>
    <w:rsid w:val="003F227B"/>
    <w:rsid w:val="003F266C"/>
    <w:rsid w:val="003F2AA8"/>
    <w:rsid w:val="003F2C7C"/>
    <w:rsid w:val="003F2DF6"/>
    <w:rsid w:val="003F3110"/>
    <w:rsid w:val="003F354A"/>
    <w:rsid w:val="003F3793"/>
    <w:rsid w:val="003F485A"/>
    <w:rsid w:val="003F4C63"/>
    <w:rsid w:val="003F5135"/>
    <w:rsid w:val="003F5205"/>
    <w:rsid w:val="003F5575"/>
    <w:rsid w:val="003F5B1E"/>
    <w:rsid w:val="003F65C7"/>
    <w:rsid w:val="003F69BC"/>
    <w:rsid w:val="003F6EE1"/>
    <w:rsid w:val="003F7326"/>
    <w:rsid w:val="003F773F"/>
    <w:rsid w:val="003F7ACD"/>
    <w:rsid w:val="003F7FE3"/>
    <w:rsid w:val="00400195"/>
    <w:rsid w:val="00401900"/>
    <w:rsid w:val="00401F7B"/>
    <w:rsid w:val="0040203D"/>
    <w:rsid w:val="004025D4"/>
    <w:rsid w:val="00402767"/>
    <w:rsid w:val="00402AAE"/>
    <w:rsid w:val="00402C27"/>
    <w:rsid w:val="00402D2A"/>
    <w:rsid w:val="00403715"/>
    <w:rsid w:val="00403AAD"/>
    <w:rsid w:val="00403AE4"/>
    <w:rsid w:val="00403D3F"/>
    <w:rsid w:val="00403EA3"/>
    <w:rsid w:val="004046BF"/>
    <w:rsid w:val="0040470B"/>
    <w:rsid w:val="00404ED4"/>
    <w:rsid w:val="004057E5"/>
    <w:rsid w:val="00406449"/>
    <w:rsid w:val="00406857"/>
    <w:rsid w:val="00406EB7"/>
    <w:rsid w:val="004076CE"/>
    <w:rsid w:val="00407D3D"/>
    <w:rsid w:val="00410FBF"/>
    <w:rsid w:val="00411696"/>
    <w:rsid w:val="00411F29"/>
    <w:rsid w:val="004120D3"/>
    <w:rsid w:val="00412382"/>
    <w:rsid w:val="00412EF0"/>
    <w:rsid w:val="00413395"/>
    <w:rsid w:val="00414169"/>
    <w:rsid w:val="004148F8"/>
    <w:rsid w:val="00414A1E"/>
    <w:rsid w:val="00416185"/>
    <w:rsid w:val="00416966"/>
    <w:rsid w:val="0042009E"/>
    <w:rsid w:val="0042055F"/>
    <w:rsid w:val="00420666"/>
    <w:rsid w:val="00420954"/>
    <w:rsid w:val="00420C89"/>
    <w:rsid w:val="00420E7D"/>
    <w:rsid w:val="00420FFD"/>
    <w:rsid w:val="004211D4"/>
    <w:rsid w:val="004213ED"/>
    <w:rsid w:val="00421E7B"/>
    <w:rsid w:val="00422B05"/>
    <w:rsid w:val="00422D39"/>
    <w:rsid w:val="00422E7A"/>
    <w:rsid w:val="0042325A"/>
    <w:rsid w:val="004233D2"/>
    <w:rsid w:val="00423856"/>
    <w:rsid w:val="00423E11"/>
    <w:rsid w:val="004250B4"/>
    <w:rsid w:val="0042510B"/>
    <w:rsid w:val="004253C0"/>
    <w:rsid w:val="00425766"/>
    <w:rsid w:val="00426027"/>
    <w:rsid w:val="0042646F"/>
    <w:rsid w:val="00426EEF"/>
    <w:rsid w:val="004274D1"/>
    <w:rsid w:val="004301F6"/>
    <w:rsid w:val="004302F2"/>
    <w:rsid w:val="00430446"/>
    <w:rsid w:val="00430668"/>
    <w:rsid w:val="0043083A"/>
    <w:rsid w:val="00431CB8"/>
    <w:rsid w:val="00431F25"/>
    <w:rsid w:val="00432974"/>
    <w:rsid w:val="00432A23"/>
    <w:rsid w:val="0043531D"/>
    <w:rsid w:val="004359D2"/>
    <w:rsid w:val="00435F1E"/>
    <w:rsid w:val="004367CF"/>
    <w:rsid w:val="00436E87"/>
    <w:rsid w:val="0044053B"/>
    <w:rsid w:val="0044054B"/>
    <w:rsid w:val="0044170C"/>
    <w:rsid w:val="00441A9B"/>
    <w:rsid w:val="00441B22"/>
    <w:rsid w:val="00441B85"/>
    <w:rsid w:val="00441BF6"/>
    <w:rsid w:val="00442347"/>
    <w:rsid w:val="004431B2"/>
    <w:rsid w:val="00443EE3"/>
    <w:rsid w:val="00443FE7"/>
    <w:rsid w:val="00444990"/>
    <w:rsid w:val="00444997"/>
    <w:rsid w:val="004453D1"/>
    <w:rsid w:val="00445661"/>
    <w:rsid w:val="00445F77"/>
    <w:rsid w:val="004467DB"/>
    <w:rsid w:val="00447FAD"/>
    <w:rsid w:val="004507E6"/>
    <w:rsid w:val="0045115C"/>
    <w:rsid w:val="00451577"/>
    <w:rsid w:val="00451834"/>
    <w:rsid w:val="00451C31"/>
    <w:rsid w:val="00452228"/>
    <w:rsid w:val="004525EE"/>
    <w:rsid w:val="00452AD1"/>
    <w:rsid w:val="004536CC"/>
    <w:rsid w:val="00454083"/>
    <w:rsid w:val="00454187"/>
    <w:rsid w:val="00454955"/>
    <w:rsid w:val="00454FEA"/>
    <w:rsid w:val="00455040"/>
    <w:rsid w:val="00455137"/>
    <w:rsid w:val="004554BF"/>
    <w:rsid w:val="0045560D"/>
    <w:rsid w:val="0045595F"/>
    <w:rsid w:val="00455EFA"/>
    <w:rsid w:val="00456519"/>
    <w:rsid w:val="004568CC"/>
    <w:rsid w:val="004569B1"/>
    <w:rsid w:val="00456D32"/>
    <w:rsid w:val="004572C0"/>
    <w:rsid w:val="004577C0"/>
    <w:rsid w:val="00457F71"/>
    <w:rsid w:val="00460362"/>
    <w:rsid w:val="0046045D"/>
    <w:rsid w:val="0046054D"/>
    <w:rsid w:val="0046079C"/>
    <w:rsid w:val="00460892"/>
    <w:rsid w:val="00460EB6"/>
    <w:rsid w:val="00461350"/>
    <w:rsid w:val="00462504"/>
    <w:rsid w:val="004625CD"/>
    <w:rsid w:val="0046308D"/>
    <w:rsid w:val="00463314"/>
    <w:rsid w:val="0046340A"/>
    <w:rsid w:val="0046390E"/>
    <w:rsid w:val="00463C95"/>
    <w:rsid w:val="0046471B"/>
    <w:rsid w:val="004653A2"/>
    <w:rsid w:val="0046576A"/>
    <w:rsid w:val="00465A7C"/>
    <w:rsid w:val="00465C8A"/>
    <w:rsid w:val="00466153"/>
    <w:rsid w:val="004662EE"/>
    <w:rsid w:val="004662FE"/>
    <w:rsid w:val="00467071"/>
    <w:rsid w:val="00467082"/>
    <w:rsid w:val="00467292"/>
    <w:rsid w:val="00467803"/>
    <w:rsid w:val="00467DE2"/>
    <w:rsid w:val="00470194"/>
    <w:rsid w:val="00470B38"/>
    <w:rsid w:val="00470C6B"/>
    <w:rsid w:val="00471360"/>
    <w:rsid w:val="004713C9"/>
    <w:rsid w:val="004713F9"/>
    <w:rsid w:val="00472AE5"/>
    <w:rsid w:val="0047306A"/>
    <w:rsid w:val="00473081"/>
    <w:rsid w:val="00473147"/>
    <w:rsid w:val="0047385F"/>
    <w:rsid w:val="00473978"/>
    <w:rsid w:val="004739A3"/>
    <w:rsid w:val="00473E98"/>
    <w:rsid w:val="004741F4"/>
    <w:rsid w:val="00474576"/>
    <w:rsid w:val="0047540F"/>
    <w:rsid w:val="00475EB4"/>
    <w:rsid w:val="00480469"/>
    <w:rsid w:val="0048126B"/>
    <w:rsid w:val="004814D7"/>
    <w:rsid w:val="00481E17"/>
    <w:rsid w:val="00482444"/>
    <w:rsid w:val="004824FC"/>
    <w:rsid w:val="00482F13"/>
    <w:rsid w:val="00483B54"/>
    <w:rsid w:val="00483E01"/>
    <w:rsid w:val="00484023"/>
    <w:rsid w:val="004841AE"/>
    <w:rsid w:val="004848CE"/>
    <w:rsid w:val="00485549"/>
    <w:rsid w:val="004857CA"/>
    <w:rsid w:val="00485F8F"/>
    <w:rsid w:val="0048681C"/>
    <w:rsid w:val="00486828"/>
    <w:rsid w:val="00486FDF"/>
    <w:rsid w:val="00486FEF"/>
    <w:rsid w:val="0048710C"/>
    <w:rsid w:val="004871B6"/>
    <w:rsid w:val="00487C11"/>
    <w:rsid w:val="004907E6"/>
    <w:rsid w:val="00490E73"/>
    <w:rsid w:val="00491110"/>
    <w:rsid w:val="00491C58"/>
    <w:rsid w:val="00491D1B"/>
    <w:rsid w:val="004929CF"/>
    <w:rsid w:val="00492BA6"/>
    <w:rsid w:val="00492BD0"/>
    <w:rsid w:val="00492D25"/>
    <w:rsid w:val="0049322C"/>
    <w:rsid w:val="0049409C"/>
    <w:rsid w:val="004946F1"/>
    <w:rsid w:val="004951B2"/>
    <w:rsid w:val="0049558A"/>
    <w:rsid w:val="00495F16"/>
    <w:rsid w:val="00496427"/>
    <w:rsid w:val="00497942"/>
    <w:rsid w:val="00497BA2"/>
    <w:rsid w:val="00497C09"/>
    <w:rsid w:val="004A03D9"/>
    <w:rsid w:val="004A0452"/>
    <w:rsid w:val="004A0A56"/>
    <w:rsid w:val="004A0F58"/>
    <w:rsid w:val="004A0F72"/>
    <w:rsid w:val="004A1913"/>
    <w:rsid w:val="004A2A56"/>
    <w:rsid w:val="004A2B7C"/>
    <w:rsid w:val="004A311C"/>
    <w:rsid w:val="004A36D7"/>
    <w:rsid w:val="004A39F7"/>
    <w:rsid w:val="004A3D13"/>
    <w:rsid w:val="004A422D"/>
    <w:rsid w:val="004A4461"/>
    <w:rsid w:val="004A46D6"/>
    <w:rsid w:val="004A48CD"/>
    <w:rsid w:val="004A4A22"/>
    <w:rsid w:val="004A4EA6"/>
    <w:rsid w:val="004A4F61"/>
    <w:rsid w:val="004A5913"/>
    <w:rsid w:val="004A5CC5"/>
    <w:rsid w:val="004A5FDE"/>
    <w:rsid w:val="004A72DD"/>
    <w:rsid w:val="004A7827"/>
    <w:rsid w:val="004A782A"/>
    <w:rsid w:val="004A7849"/>
    <w:rsid w:val="004B0197"/>
    <w:rsid w:val="004B0CB9"/>
    <w:rsid w:val="004B114C"/>
    <w:rsid w:val="004B114F"/>
    <w:rsid w:val="004B169D"/>
    <w:rsid w:val="004B195B"/>
    <w:rsid w:val="004B1DE7"/>
    <w:rsid w:val="004B1F30"/>
    <w:rsid w:val="004B1F4F"/>
    <w:rsid w:val="004B21AA"/>
    <w:rsid w:val="004B2DA2"/>
    <w:rsid w:val="004B36E1"/>
    <w:rsid w:val="004B3977"/>
    <w:rsid w:val="004B425A"/>
    <w:rsid w:val="004B5391"/>
    <w:rsid w:val="004B588A"/>
    <w:rsid w:val="004B6081"/>
    <w:rsid w:val="004B60C6"/>
    <w:rsid w:val="004B63D8"/>
    <w:rsid w:val="004C02FC"/>
    <w:rsid w:val="004C04B6"/>
    <w:rsid w:val="004C06AB"/>
    <w:rsid w:val="004C1B3A"/>
    <w:rsid w:val="004C1D31"/>
    <w:rsid w:val="004C1D50"/>
    <w:rsid w:val="004C1E33"/>
    <w:rsid w:val="004C1E8C"/>
    <w:rsid w:val="004C228C"/>
    <w:rsid w:val="004C3692"/>
    <w:rsid w:val="004C3FA9"/>
    <w:rsid w:val="004C4CD9"/>
    <w:rsid w:val="004C55AF"/>
    <w:rsid w:val="004C5ADC"/>
    <w:rsid w:val="004C6696"/>
    <w:rsid w:val="004C66F8"/>
    <w:rsid w:val="004C6865"/>
    <w:rsid w:val="004C698D"/>
    <w:rsid w:val="004C7426"/>
    <w:rsid w:val="004C7673"/>
    <w:rsid w:val="004C7C00"/>
    <w:rsid w:val="004D0995"/>
    <w:rsid w:val="004D1207"/>
    <w:rsid w:val="004D2626"/>
    <w:rsid w:val="004D2E49"/>
    <w:rsid w:val="004D3216"/>
    <w:rsid w:val="004D3231"/>
    <w:rsid w:val="004D3E82"/>
    <w:rsid w:val="004D4281"/>
    <w:rsid w:val="004D430C"/>
    <w:rsid w:val="004D43AB"/>
    <w:rsid w:val="004D43E1"/>
    <w:rsid w:val="004D7324"/>
    <w:rsid w:val="004D741C"/>
    <w:rsid w:val="004D75AB"/>
    <w:rsid w:val="004D7ACC"/>
    <w:rsid w:val="004E03A4"/>
    <w:rsid w:val="004E0553"/>
    <w:rsid w:val="004E1760"/>
    <w:rsid w:val="004E1A4E"/>
    <w:rsid w:val="004E1DC0"/>
    <w:rsid w:val="004E1E27"/>
    <w:rsid w:val="004E218F"/>
    <w:rsid w:val="004E2B14"/>
    <w:rsid w:val="004E2D71"/>
    <w:rsid w:val="004E2FB8"/>
    <w:rsid w:val="004E3253"/>
    <w:rsid w:val="004E39DC"/>
    <w:rsid w:val="004E3A41"/>
    <w:rsid w:val="004E424D"/>
    <w:rsid w:val="004E429B"/>
    <w:rsid w:val="004E49A4"/>
    <w:rsid w:val="004E4C61"/>
    <w:rsid w:val="004E4C91"/>
    <w:rsid w:val="004E4CD6"/>
    <w:rsid w:val="004E594A"/>
    <w:rsid w:val="004E5C22"/>
    <w:rsid w:val="004E5C47"/>
    <w:rsid w:val="004E6D72"/>
    <w:rsid w:val="004E7139"/>
    <w:rsid w:val="004E71F8"/>
    <w:rsid w:val="004E7F8D"/>
    <w:rsid w:val="004F0308"/>
    <w:rsid w:val="004F081B"/>
    <w:rsid w:val="004F088A"/>
    <w:rsid w:val="004F0951"/>
    <w:rsid w:val="004F0B23"/>
    <w:rsid w:val="004F13B0"/>
    <w:rsid w:val="004F1475"/>
    <w:rsid w:val="004F1B4E"/>
    <w:rsid w:val="004F1C07"/>
    <w:rsid w:val="004F1CC2"/>
    <w:rsid w:val="004F1EFF"/>
    <w:rsid w:val="004F2200"/>
    <w:rsid w:val="004F2682"/>
    <w:rsid w:val="004F2C20"/>
    <w:rsid w:val="004F3CB9"/>
    <w:rsid w:val="004F4121"/>
    <w:rsid w:val="004F4318"/>
    <w:rsid w:val="004F4CD9"/>
    <w:rsid w:val="004F64DE"/>
    <w:rsid w:val="004F745D"/>
    <w:rsid w:val="004F7868"/>
    <w:rsid w:val="004F7948"/>
    <w:rsid w:val="004F7DF9"/>
    <w:rsid w:val="00500B8A"/>
    <w:rsid w:val="00501124"/>
    <w:rsid w:val="00501BF3"/>
    <w:rsid w:val="00501F32"/>
    <w:rsid w:val="0050239A"/>
    <w:rsid w:val="00502E1A"/>
    <w:rsid w:val="005046B6"/>
    <w:rsid w:val="00504709"/>
    <w:rsid w:val="0050587A"/>
    <w:rsid w:val="00505CA6"/>
    <w:rsid w:val="00505DF1"/>
    <w:rsid w:val="005060E7"/>
    <w:rsid w:val="005064E9"/>
    <w:rsid w:val="0050664B"/>
    <w:rsid w:val="00506B5B"/>
    <w:rsid w:val="00506C49"/>
    <w:rsid w:val="00506F1D"/>
    <w:rsid w:val="005071E0"/>
    <w:rsid w:val="0050738D"/>
    <w:rsid w:val="005075B3"/>
    <w:rsid w:val="00507677"/>
    <w:rsid w:val="00507AA7"/>
    <w:rsid w:val="00507CB2"/>
    <w:rsid w:val="005111E1"/>
    <w:rsid w:val="005118AB"/>
    <w:rsid w:val="00511F6E"/>
    <w:rsid w:val="005126AB"/>
    <w:rsid w:val="00512782"/>
    <w:rsid w:val="00512850"/>
    <w:rsid w:val="00512A8A"/>
    <w:rsid w:val="00512D58"/>
    <w:rsid w:val="00512FD5"/>
    <w:rsid w:val="00513CCD"/>
    <w:rsid w:val="00513F50"/>
    <w:rsid w:val="0051462C"/>
    <w:rsid w:val="00514651"/>
    <w:rsid w:val="0051468E"/>
    <w:rsid w:val="0051538E"/>
    <w:rsid w:val="00516544"/>
    <w:rsid w:val="00516633"/>
    <w:rsid w:val="00516873"/>
    <w:rsid w:val="005168C3"/>
    <w:rsid w:val="00516D20"/>
    <w:rsid w:val="005176E6"/>
    <w:rsid w:val="00520170"/>
    <w:rsid w:val="005202A8"/>
    <w:rsid w:val="00520F1E"/>
    <w:rsid w:val="005210F1"/>
    <w:rsid w:val="00521102"/>
    <w:rsid w:val="00521B39"/>
    <w:rsid w:val="0052200C"/>
    <w:rsid w:val="00522FFF"/>
    <w:rsid w:val="005230B2"/>
    <w:rsid w:val="00523D0D"/>
    <w:rsid w:val="00524885"/>
    <w:rsid w:val="00524F5A"/>
    <w:rsid w:val="005253D5"/>
    <w:rsid w:val="0052598B"/>
    <w:rsid w:val="00525BB5"/>
    <w:rsid w:val="00525EE7"/>
    <w:rsid w:val="005268D3"/>
    <w:rsid w:val="0052765D"/>
    <w:rsid w:val="00527DAC"/>
    <w:rsid w:val="0053069A"/>
    <w:rsid w:val="005309E7"/>
    <w:rsid w:val="00530AAE"/>
    <w:rsid w:val="00530F65"/>
    <w:rsid w:val="005317BC"/>
    <w:rsid w:val="00531B94"/>
    <w:rsid w:val="00532044"/>
    <w:rsid w:val="0053274C"/>
    <w:rsid w:val="00532FF0"/>
    <w:rsid w:val="00534390"/>
    <w:rsid w:val="00534ADF"/>
    <w:rsid w:val="00534D74"/>
    <w:rsid w:val="00534F40"/>
    <w:rsid w:val="00535941"/>
    <w:rsid w:val="00536003"/>
    <w:rsid w:val="0053608D"/>
    <w:rsid w:val="00536750"/>
    <w:rsid w:val="005379AA"/>
    <w:rsid w:val="00537AD7"/>
    <w:rsid w:val="00537CFB"/>
    <w:rsid w:val="00540013"/>
    <w:rsid w:val="00540801"/>
    <w:rsid w:val="00540BDD"/>
    <w:rsid w:val="00541C52"/>
    <w:rsid w:val="00542431"/>
    <w:rsid w:val="00542642"/>
    <w:rsid w:val="00542FD9"/>
    <w:rsid w:val="00543123"/>
    <w:rsid w:val="0054377C"/>
    <w:rsid w:val="00543803"/>
    <w:rsid w:val="00543A13"/>
    <w:rsid w:val="00543EA9"/>
    <w:rsid w:val="0054538F"/>
    <w:rsid w:val="005462E0"/>
    <w:rsid w:val="00546DFC"/>
    <w:rsid w:val="00547066"/>
    <w:rsid w:val="005478EB"/>
    <w:rsid w:val="00547BFE"/>
    <w:rsid w:val="00550048"/>
    <w:rsid w:val="0055024F"/>
    <w:rsid w:val="00550485"/>
    <w:rsid w:val="00550769"/>
    <w:rsid w:val="00550B6A"/>
    <w:rsid w:val="00550E68"/>
    <w:rsid w:val="0055219A"/>
    <w:rsid w:val="00552AF5"/>
    <w:rsid w:val="00554329"/>
    <w:rsid w:val="0055434D"/>
    <w:rsid w:val="00555BF3"/>
    <w:rsid w:val="00555DD8"/>
    <w:rsid w:val="005567A4"/>
    <w:rsid w:val="0055705B"/>
    <w:rsid w:val="0055784A"/>
    <w:rsid w:val="00557EEB"/>
    <w:rsid w:val="00561995"/>
    <w:rsid w:val="00561C53"/>
    <w:rsid w:val="00561CEF"/>
    <w:rsid w:val="00562506"/>
    <w:rsid w:val="00562E4F"/>
    <w:rsid w:val="0056320D"/>
    <w:rsid w:val="0056326B"/>
    <w:rsid w:val="0056348A"/>
    <w:rsid w:val="00564FFF"/>
    <w:rsid w:val="00565503"/>
    <w:rsid w:val="00565A22"/>
    <w:rsid w:val="00565B55"/>
    <w:rsid w:val="00565F69"/>
    <w:rsid w:val="00566184"/>
    <w:rsid w:val="0056649A"/>
    <w:rsid w:val="005667D8"/>
    <w:rsid w:val="00566831"/>
    <w:rsid w:val="00566849"/>
    <w:rsid w:val="00566A00"/>
    <w:rsid w:val="00566ED2"/>
    <w:rsid w:val="00567537"/>
    <w:rsid w:val="0056759A"/>
    <w:rsid w:val="00567674"/>
    <w:rsid w:val="00567BD5"/>
    <w:rsid w:val="0057020F"/>
    <w:rsid w:val="00570ABE"/>
    <w:rsid w:val="0057103B"/>
    <w:rsid w:val="00571A63"/>
    <w:rsid w:val="00571AD0"/>
    <w:rsid w:val="00572748"/>
    <w:rsid w:val="00572863"/>
    <w:rsid w:val="00572B12"/>
    <w:rsid w:val="00573360"/>
    <w:rsid w:val="005740E0"/>
    <w:rsid w:val="00574DB2"/>
    <w:rsid w:val="00574DDF"/>
    <w:rsid w:val="00575130"/>
    <w:rsid w:val="00575190"/>
    <w:rsid w:val="005753DC"/>
    <w:rsid w:val="00576201"/>
    <w:rsid w:val="00576753"/>
    <w:rsid w:val="00576D67"/>
    <w:rsid w:val="00576E53"/>
    <w:rsid w:val="00576F86"/>
    <w:rsid w:val="00577262"/>
    <w:rsid w:val="00577398"/>
    <w:rsid w:val="00577701"/>
    <w:rsid w:val="00577A61"/>
    <w:rsid w:val="00577BCD"/>
    <w:rsid w:val="005817DE"/>
    <w:rsid w:val="00581834"/>
    <w:rsid w:val="00581A3A"/>
    <w:rsid w:val="00581FFB"/>
    <w:rsid w:val="005820CA"/>
    <w:rsid w:val="005827BB"/>
    <w:rsid w:val="00582876"/>
    <w:rsid w:val="00582F42"/>
    <w:rsid w:val="00582F5D"/>
    <w:rsid w:val="005832B8"/>
    <w:rsid w:val="005842DD"/>
    <w:rsid w:val="00584DC2"/>
    <w:rsid w:val="0058549B"/>
    <w:rsid w:val="00585632"/>
    <w:rsid w:val="00585640"/>
    <w:rsid w:val="00585BC1"/>
    <w:rsid w:val="00585DDE"/>
    <w:rsid w:val="005864E9"/>
    <w:rsid w:val="00586550"/>
    <w:rsid w:val="0058684A"/>
    <w:rsid w:val="00586DA9"/>
    <w:rsid w:val="005873B5"/>
    <w:rsid w:val="00587886"/>
    <w:rsid w:val="00587894"/>
    <w:rsid w:val="00587BCF"/>
    <w:rsid w:val="00590169"/>
    <w:rsid w:val="0059039E"/>
    <w:rsid w:val="005904C1"/>
    <w:rsid w:val="00590869"/>
    <w:rsid w:val="00590BD2"/>
    <w:rsid w:val="0059132B"/>
    <w:rsid w:val="00591909"/>
    <w:rsid w:val="00592C9C"/>
    <w:rsid w:val="00594181"/>
    <w:rsid w:val="00594C1E"/>
    <w:rsid w:val="00594F07"/>
    <w:rsid w:val="005957A8"/>
    <w:rsid w:val="00595C72"/>
    <w:rsid w:val="00595F31"/>
    <w:rsid w:val="0059664D"/>
    <w:rsid w:val="00596F59"/>
    <w:rsid w:val="00597305"/>
    <w:rsid w:val="00597FE9"/>
    <w:rsid w:val="005A025C"/>
    <w:rsid w:val="005A0609"/>
    <w:rsid w:val="005A07FC"/>
    <w:rsid w:val="005A0C19"/>
    <w:rsid w:val="005A162C"/>
    <w:rsid w:val="005A166D"/>
    <w:rsid w:val="005A2F85"/>
    <w:rsid w:val="005A3CC7"/>
    <w:rsid w:val="005A5105"/>
    <w:rsid w:val="005A5C16"/>
    <w:rsid w:val="005A637E"/>
    <w:rsid w:val="005A6B29"/>
    <w:rsid w:val="005A767F"/>
    <w:rsid w:val="005A7724"/>
    <w:rsid w:val="005A799C"/>
    <w:rsid w:val="005A7A2F"/>
    <w:rsid w:val="005A7D05"/>
    <w:rsid w:val="005A7FFC"/>
    <w:rsid w:val="005B088D"/>
    <w:rsid w:val="005B0C0F"/>
    <w:rsid w:val="005B0EB8"/>
    <w:rsid w:val="005B0EFC"/>
    <w:rsid w:val="005B1267"/>
    <w:rsid w:val="005B155D"/>
    <w:rsid w:val="005B1B88"/>
    <w:rsid w:val="005B1ECF"/>
    <w:rsid w:val="005B221E"/>
    <w:rsid w:val="005B2449"/>
    <w:rsid w:val="005B2794"/>
    <w:rsid w:val="005B2B44"/>
    <w:rsid w:val="005B2B67"/>
    <w:rsid w:val="005B35A6"/>
    <w:rsid w:val="005B3AAF"/>
    <w:rsid w:val="005B3C6E"/>
    <w:rsid w:val="005B4260"/>
    <w:rsid w:val="005B4A9C"/>
    <w:rsid w:val="005B4C27"/>
    <w:rsid w:val="005B5481"/>
    <w:rsid w:val="005B55A3"/>
    <w:rsid w:val="005B55F2"/>
    <w:rsid w:val="005B6140"/>
    <w:rsid w:val="005B6B6D"/>
    <w:rsid w:val="005B6BF0"/>
    <w:rsid w:val="005B7099"/>
    <w:rsid w:val="005B7B4E"/>
    <w:rsid w:val="005B7F79"/>
    <w:rsid w:val="005C0F83"/>
    <w:rsid w:val="005C1CB3"/>
    <w:rsid w:val="005C36A5"/>
    <w:rsid w:val="005C3756"/>
    <w:rsid w:val="005C39F4"/>
    <w:rsid w:val="005C3D81"/>
    <w:rsid w:val="005C4433"/>
    <w:rsid w:val="005C4954"/>
    <w:rsid w:val="005C4B4E"/>
    <w:rsid w:val="005C54D4"/>
    <w:rsid w:val="005C55B7"/>
    <w:rsid w:val="005C64CA"/>
    <w:rsid w:val="005C6B16"/>
    <w:rsid w:val="005C6B18"/>
    <w:rsid w:val="005C717D"/>
    <w:rsid w:val="005C7251"/>
    <w:rsid w:val="005C7696"/>
    <w:rsid w:val="005C779D"/>
    <w:rsid w:val="005C7FD5"/>
    <w:rsid w:val="005D166D"/>
    <w:rsid w:val="005D191E"/>
    <w:rsid w:val="005D199D"/>
    <w:rsid w:val="005D1AD8"/>
    <w:rsid w:val="005D1B56"/>
    <w:rsid w:val="005D1ECF"/>
    <w:rsid w:val="005D1ED7"/>
    <w:rsid w:val="005D1F67"/>
    <w:rsid w:val="005D20A5"/>
    <w:rsid w:val="005D2AE5"/>
    <w:rsid w:val="005D3BD9"/>
    <w:rsid w:val="005D3E39"/>
    <w:rsid w:val="005D4217"/>
    <w:rsid w:val="005D4294"/>
    <w:rsid w:val="005D44A4"/>
    <w:rsid w:val="005D4716"/>
    <w:rsid w:val="005D4B9C"/>
    <w:rsid w:val="005D51C3"/>
    <w:rsid w:val="005D5437"/>
    <w:rsid w:val="005D6B44"/>
    <w:rsid w:val="005D7A49"/>
    <w:rsid w:val="005E0071"/>
    <w:rsid w:val="005E030B"/>
    <w:rsid w:val="005E0E38"/>
    <w:rsid w:val="005E1922"/>
    <w:rsid w:val="005E1993"/>
    <w:rsid w:val="005E1A01"/>
    <w:rsid w:val="005E2917"/>
    <w:rsid w:val="005E2CEA"/>
    <w:rsid w:val="005E2FAF"/>
    <w:rsid w:val="005E3BB2"/>
    <w:rsid w:val="005E4228"/>
    <w:rsid w:val="005E42CC"/>
    <w:rsid w:val="005E4401"/>
    <w:rsid w:val="005E4E35"/>
    <w:rsid w:val="005E51AF"/>
    <w:rsid w:val="005E5261"/>
    <w:rsid w:val="005E5427"/>
    <w:rsid w:val="005E5A2E"/>
    <w:rsid w:val="005E5C24"/>
    <w:rsid w:val="005E5D2F"/>
    <w:rsid w:val="005E7B9A"/>
    <w:rsid w:val="005E7E3D"/>
    <w:rsid w:val="005F035F"/>
    <w:rsid w:val="005F047A"/>
    <w:rsid w:val="005F07EB"/>
    <w:rsid w:val="005F1022"/>
    <w:rsid w:val="005F1095"/>
    <w:rsid w:val="005F131C"/>
    <w:rsid w:val="005F1611"/>
    <w:rsid w:val="005F182A"/>
    <w:rsid w:val="005F1B0E"/>
    <w:rsid w:val="005F1C7E"/>
    <w:rsid w:val="005F242F"/>
    <w:rsid w:val="005F2E1E"/>
    <w:rsid w:val="005F2E62"/>
    <w:rsid w:val="005F3A33"/>
    <w:rsid w:val="005F416A"/>
    <w:rsid w:val="005F41B2"/>
    <w:rsid w:val="005F4A4B"/>
    <w:rsid w:val="005F5947"/>
    <w:rsid w:val="005F5A30"/>
    <w:rsid w:val="005F61FC"/>
    <w:rsid w:val="005F6591"/>
    <w:rsid w:val="005F7457"/>
    <w:rsid w:val="005F7631"/>
    <w:rsid w:val="005F78E5"/>
    <w:rsid w:val="005F7A16"/>
    <w:rsid w:val="005F7FCB"/>
    <w:rsid w:val="006002DC"/>
    <w:rsid w:val="006002E4"/>
    <w:rsid w:val="006017C3"/>
    <w:rsid w:val="006028E9"/>
    <w:rsid w:val="00602A22"/>
    <w:rsid w:val="00602B02"/>
    <w:rsid w:val="00602BD0"/>
    <w:rsid w:val="00603776"/>
    <w:rsid w:val="00604088"/>
    <w:rsid w:val="0060505C"/>
    <w:rsid w:val="00605AB3"/>
    <w:rsid w:val="00605B05"/>
    <w:rsid w:val="006069DE"/>
    <w:rsid w:val="006070F1"/>
    <w:rsid w:val="006077DD"/>
    <w:rsid w:val="00607BDB"/>
    <w:rsid w:val="00607C8F"/>
    <w:rsid w:val="00607D6D"/>
    <w:rsid w:val="00610353"/>
    <w:rsid w:val="00610479"/>
    <w:rsid w:val="00610525"/>
    <w:rsid w:val="00610580"/>
    <w:rsid w:val="006107CC"/>
    <w:rsid w:val="006110D9"/>
    <w:rsid w:val="00611695"/>
    <w:rsid w:val="006116EB"/>
    <w:rsid w:val="006118E2"/>
    <w:rsid w:val="00611E17"/>
    <w:rsid w:val="0061267C"/>
    <w:rsid w:val="00613CD2"/>
    <w:rsid w:val="0061411D"/>
    <w:rsid w:val="00614648"/>
    <w:rsid w:val="00614904"/>
    <w:rsid w:val="00614AC0"/>
    <w:rsid w:val="00614FE7"/>
    <w:rsid w:val="0061545B"/>
    <w:rsid w:val="006155E0"/>
    <w:rsid w:val="00615C93"/>
    <w:rsid w:val="00615E33"/>
    <w:rsid w:val="00616261"/>
    <w:rsid w:val="006162AF"/>
    <w:rsid w:val="00616461"/>
    <w:rsid w:val="00616822"/>
    <w:rsid w:val="00616C54"/>
    <w:rsid w:val="00617380"/>
    <w:rsid w:val="00617974"/>
    <w:rsid w:val="0062056F"/>
    <w:rsid w:val="00620927"/>
    <w:rsid w:val="0062150C"/>
    <w:rsid w:val="00621C39"/>
    <w:rsid w:val="00622184"/>
    <w:rsid w:val="006227E6"/>
    <w:rsid w:val="0062361D"/>
    <w:rsid w:val="00623AC4"/>
    <w:rsid w:val="00623D66"/>
    <w:rsid w:val="00623EE3"/>
    <w:rsid w:val="0062409A"/>
    <w:rsid w:val="0062411F"/>
    <w:rsid w:val="0062442A"/>
    <w:rsid w:val="006251B6"/>
    <w:rsid w:val="0062537A"/>
    <w:rsid w:val="00625899"/>
    <w:rsid w:val="00625B59"/>
    <w:rsid w:val="0062695A"/>
    <w:rsid w:val="006269D8"/>
    <w:rsid w:val="006272E5"/>
    <w:rsid w:val="00627FEC"/>
    <w:rsid w:val="006301CB"/>
    <w:rsid w:val="006302E5"/>
    <w:rsid w:val="0063089D"/>
    <w:rsid w:val="00630B30"/>
    <w:rsid w:val="00630B50"/>
    <w:rsid w:val="00630E93"/>
    <w:rsid w:val="00631236"/>
    <w:rsid w:val="00631258"/>
    <w:rsid w:val="006315BA"/>
    <w:rsid w:val="0063181D"/>
    <w:rsid w:val="0063195E"/>
    <w:rsid w:val="0063256E"/>
    <w:rsid w:val="00634A21"/>
    <w:rsid w:val="00635349"/>
    <w:rsid w:val="00635662"/>
    <w:rsid w:val="00635D6F"/>
    <w:rsid w:val="006362BF"/>
    <w:rsid w:val="00636A2C"/>
    <w:rsid w:val="00636DD7"/>
    <w:rsid w:val="00636EE9"/>
    <w:rsid w:val="00637655"/>
    <w:rsid w:val="00637C58"/>
    <w:rsid w:val="00637D05"/>
    <w:rsid w:val="00637F40"/>
    <w:rsid w:val="0064099A"/>
    <w:rsid w:val="00640A8E"/>
    <w:rsid w:val="00640EA0"/>
    <w:rsid w:val="00640EF6"/>
    <w:rsid w:val="006419E7"/>
    <w:rsid w:val="00641AD3"/>
    <w:rsid w:val="006432FC"/>
    <w:rsid w:val="00643621"/>
    <w:rsid w:val="00643CD7"/>
    <w:rsid w:val="00643D4D"/>
    <w:rsid w:val="00643E75"/>
    <w:rsid w:val="006440A3"/>
    <w:rsid w:val="006454A7"/>
    <w:rsid w:val="00645780"/>
    <w:rsid w:val="00645C48"/>
    <w:rsid w:val="00645DEF"/>
    <w:rsid w:val="0064657D"/>
    <w:rsid w:val="0064675A"/>
    <w:rsid w:val="006468D5"/>
    <w:rsid w:val="00646BFB"/>
    <w:rsid w:val="006475DA"/>
    <w:rsid w:val="00647972"/>
    <w:rsid w:val="00647ECC"/>
    <w:rsid w:val="00647F67"/>
    <w:rsid w:val="0065008C"/>
    <w:rsid w:val="00650156"/>
    <w:rsid w:val="00650196"/>
    <w:rsid w:val="00650D72"/>
    <w:rsid w:val="006510E9"/>
    <w:rsid w:val="0065131F"/>
    <w:rsid w:val="00651A19"/>
    <w:rsid w:val="00651BAF"/>
    <w:rsid w:val="00651FDC"/>
    <w:rsid w:val="00652058"/>
    <w:rsid w:val="006535E2"/>
    <w:rsid w:val="00653A56"/>
    <w:rsid w:val="00653B18"/>
    <w:rsid w:val="00653B50"/>
    <w:rsid w:val="00654081"/>
    <w:rsid w:val="006542CD"/>
    <w:rsid w:val="006542EF"/>
    <w:rsid w:val="00654488"/>
    <w:rsid w:val="0065519A"/>
    <w:rsid w:val="00655F95"/>
    <w:rsid w:val="00656920"/>
    <w:rsid w:val="00656CC7"/>
    <w:rsid w:val="00656E54"/>
    <w:rsid w:val="00657403"/>
    <w:rsid w:val="0065766A"/>
    <w:rsid w:val="0066076B"/>
    <w:rsid w:val="00661765"/>
    <w:rsid w:val="006622E7"/>
    <w:rsid w:val="006623A4"/>
    <w:rsid w:val="0066330C"/>
    <w:rsid w:val="00663C56"/>
    <w:rsid w:val="00663E5F"/>
    <w:rsid w:val="00663FFB"/>
    <w:rsid w:val="00664A3B"/>
    <w:rsid w:val="00664CF5"/>
    <w:rsid w:val="0066567E"/>
    <w:rsid w:val="00665926"/>
    <w:rsid w:val="00665DAE"/>
    <w:rsid w:val="006664C3"/>
    <w:rsid w:val="0066674B"/>
    <w:rsid w:val="00666F10"/>
    <w:rsid w:val="00667618"/>
    <w:rsid w:val="00667A3B"/>
    <w:rsid w:val="006704AF"/>
    <w:rsid w:val="006717AA"/>
    <w:rsid w:val="00671877"/>
    <w:rsid w:val="00672753"/>
    <w:rsid w:val="00672AEE"/>
    <w:rsid w:val="00672D1A"/>
    <w:rsid w:val="00673003"/>
    <w:rsid w:val="0067359B"/>
    <w:rsid w:val="006740B1"/>
    <w:rsid w:val="00674527"/>
    <w:rsid w:val="0067462A"/>
    <w:rsid w:val="00675BF8"/>
    <w:rsid w:val="006763A9"/>
    <w:rsid w:val="0067661E"/>
    <w:rsid w:val="00676AA6"/>
    <w:rsid w:val="006770B1"/>
    <w:rsid w:val="00677294"/>
    <w:rsid w:val="006816B9"/>
    <w:rsid w:val="00681CC4"/>
    <w:rsid w:val="00681FD8"/>
    <w:rsid w:val="00682124"/>
    <w:rsid w:val="00682A76"/>
    <w:rsid w:val="00682E8D"/>
    <w:rsid w:val="006838CD"/>
    <w:rsid w:val="00683D6B"/>
    <w:rsid w:val="0068445D"/>
    <w:rsid w:val="00684916"/>
    <w:rsid w:val="00684A37"/>
    <w:rsid w:val="00684B85"/>
    <w:rsid w:val="00684EA0"/>
    <w:rsid w:val="006854DE"/>
    <w:rsid w:val="006857DF"/>
    <w:rsid w:val="00686282"/>
    <w:rsid w:val="006864C0"/>
    <w:rsid w:val="00686BD0"/>
    <w:rsid w:val="00686CA8"/>
    <w:rsid w:val="00686F6A"/>
    <w:rsid w:val="006874E1"/>
    <w:rsid w:val="00687E18"/>
    <w:rsid w:val="00690932"/>
    <w:rsid w:val="00690F1D"/>
    <w:rsid w:val="00691371"/>
    <w:rsid w:val="00691451"/>
    <w:rsid w:val="006927C0"/>
    <w:rsid w:val="006929C2"/>
    <w:rsid w:val="00692A27"/>
    <w:rsid w:val="00692F67"/>
    <w:rsid w:val="00692FA2"/>
    <w:rsid w:val="00693A3D"/>
    <w:rsid w:val="0069434C"/>
    <w:rsid w:val="00694F2B"/>
    <w:rsid w:val="00695348"/>
    <w:rsid w:val="006960C4"/>
    <w:rsid w:val="006961C9"/>
    <w:rsid w:val="00696518"/>
    <w:rsid w:val="0069651C"/>
    <w:rsid w:val="00696C17"/>
    <w:rsid w:val="00697226"/>
    <w:rsid w:val="00697652"/>
    <w:rsid w:val="006A0111"/>
    <w:rsid w:val="006A0D46"/>
    <w:rsid w:val="006A119C"/>
    <w:rsid w:val="006A123B"/>
    <w:rsid w:val="006A19B7"/>
    <w:rsid w:val="006A2517"/>
    <w:rsid w:val="006A385D"/>
    <w:rsid w:val="006A3C52"/>
    <w:rsid w:val="006A3D9A"/>
    <w:rsid w:val="006A4B87"/>
    <w:rsid w:val="006A57D1"/>
    <w:rsid w:val="006A602C"/>
    <w:rsid w:val="006A6D8A"/>
    <w:rsid w:val="006A70E6"/>
    <w:rsid w:val="006A7A90"/>
    <w:rsid w:val="006A7E6F"/>
    <w:rsid w:val="006A7EF3"/>
    <w:rsid w:val="006B01F6"/>
    <w:rsid w:val="006B0A3E"/>
    <w:rsid w:val="006B0D9E"/>
    <w:rsid w:val="006B1BF3"/>
    <w:rsid w:val="006B3484"/>
    <w:rsid w:val="006B364D"/>
    <w:rsid w:val="006B3873"/>
    <w:rsid w:val="006B3E2E"/>
    <w:rsid w:val="006B3EA5"/>
    <w:rsid w:val="006B610C"/>
    <w:rsid w:val="006B63C7"/>
    <w:rsid w:val="006B6822"/>
    <w:rsid w:val="006B6B84"/>
    <w:rsid w:val="006B6EB4"/>
    <w:rsid w:val="006B6FFB"/>
    <w:rsid w:val="006B73C9"/>
    <w:rsid w:val="006B76F6"/>
    <w:rsid w:val="006B7E8F"/>
    <w:rsid w:val="006C097C"/>
    <w:rsid w:val="006C118F"/>
    <w:rsid w:val="006C1957"/>
    <w:rsid w:val="006C1D40"/>
    <w:rsid w:val="006C3365"/>
    <w:rsid w:val="006C36AB"/>
    <w:rsid w:val="006C4282"/>
    <w:rsid w:val="006C46F1"/>
    <w:rsid w:val="006C47AE"/>
    <w:rsid w:val="006C49B0"/>
    <w:rsid w:val="006C4BD0"/>
    <w:rsid w:val="006C502F"/>
    <w:rsid w:val="006C5613"/>
    <w:rsid w:val="006C59AB"/>
    <w:rsid w:val="006C6342"/>
    <w:rsid w:val="006C7C53"/>
    <w:rsid w:val="006D0354"/>
    <w:rsid w:val="006D072D"/>
    <w:rsid w:val="006D08D5"/>
    <w:rsid w:val="006D09B4"/>
    <w:rsid w:val="006D100D"/>
    <w:rsid w:val="006D1433"/>
    <w:rsid w:val="006D1DFD"/>
    <w:rsid w:val="006D206A"/>
    <w:rsid w:val="006D2775"/>
    <w:rsid w:val="006D2B48"/>
    <w:rsid w:val="006D2B88"/>
    <w:rsid w:val="006D2ED0"/>
    <w:rsid w:val="006D31E1"/>
    <w:rsid w:val="006D36BE"/>
    <w:rsid w:val="006D38B5"/>
    <w:rsid w:val="006D3D22"/>
    <w:rsid w:val="006D436B"/>
    <w:rsid w:val="006D49BE"/>
    <w:rsid w:val="006D4FA5"/>
    <w:rsid w:val="006D5652"/>
    <w:rsid w:val="006D653C"/>
    <w:rsid w:val="006D67F4"/>
    <w:rsid w:val="006D69B8"/>
    <w:rsid w:val="006D6BC7"/>
    <w:rsid w:val="006D6E8A"/>
    <w:rsid w:val="006E025A"/>
    <w:rsid w:val="006E0688"/>
    <w:rsid w:val="006E0694"/>
    <w:rsid w:val="006E0F55"/>
    <w:rsid w:val="006E10F1"/>
    <w:rsid w:val="006E11EF"/>
    <w:rsid w:val="006E15DC"/>
    <w:rsid w:val="006E1638"/>
    <w:rsid w:val="006E1B2D"/>
    <w:rsid w:val="006E1B70"/>
    <w:rsid w:val="006E1D8D"/>
    <w:rsid w:val="006E2A82"/>
    <w:rsid w:val="006E31D3"/>
    <w:rsid w:val="006E3478"/>
    <w:rsid w:val="006E3989"/>
    <w:rsid w:val="006E3E1B"/>
    <w:rsid w:val="006E3F40"/>
    <w:rsid w:val="006E4333"/>
    <w:rsid w:val="006E4396"/>
    <w:rsid w:val="006E461A"/>
    <w:rsid w:val="006E4B37"/>
    <w:rsid w:val="006E538F"/>
    <w:rsid w:val="006E5E2B"/>
    <w:rsid w:val="006E669D"/>
    <w:rsid w:val="006E7365"/>
    <w:rsid w:val="006F006D"/>
    <w:rsid w:val="006F017C"/>
    <w:rsid w:val="006F04F4"/>
    <w:rsid w:val="006F0820"/>
    <w:rsid w:val="006F0EB0"/>
    <w:rsid w:val="006F15DC"/>
    <w:rsid w:val="006F1D96"/>
    <w:rsid w:val="006F1E8A"/>
    <w:rsid w:val="006F214C"/>
    <w:rsid w:val="006F28E0"/>
    <w:rsid w:val="006F2AAB"/>
    <w:rsid w:val="006F2DF2"/>
    <w:rsid w:val="006F30FE"/>
    <w:rsid w:val="006F322E"/>
    <w:rsid w:val="006F3B8E"/>
    <w:rsid w:val="006F415F"/>
    <w:rsid w:val="006F464A"/>
    <w:rsid w:val="006F48C5"/>
    <w:rsid w:val="006F4BE0"/>
    <w:rsid w:val="006F4EF7"/>
    <w:rsid w:val="006F5009"/>
    <w:rsid w:val="006F5099"/>
    <w:rsid w:val="006F5253"/>
    <w:rsid w:val="006F5B0E"/>
    <w:rsid w:val="006F6289"/>
    <w:rsid w:val="006F6553"/>
    <w:rsid w:val="006F676E"/>
    <w:rsid w:val="006F7379"/>
    <w:rsid w:val="006F7435"/>
    <w:rsid w:val="006F7A2A"/>
    <w:rsid w:val="00700F16"/>
    <w:rsid w:val="00701326"/>
    <w:rsid w:val="007018D8"/>
    <w:rsid w:val="0070226A"/>
    <w:rsid w:val="00702CB2"/>
    <w:rsid w:val="0070301D"/>
    <w:rsid w:val="007036FD"/>
    <w:rsid w:val="00703D16"/>
    <w:rsid w:val="007045EC"/>
    <w:rsid w:val="007046C6"/>
    <w:rsid w:val="007049DD"/>
    <w:rsid w:val="007057F0"/>
    <w:rsid w:val="00705B50"/>
    <w:rsid w:val="00705CDC"/>
    <w:rsid w:val="00705DB4"/>
    <w:rsid w:val="00706196"/>
    <w:rsid w:val="0070799E"/>
    <w:rsid w:val="00707A2E"/>
    <w:rsid w:val="00707B3B"/>
    <w:rsid w:val="00707EA0"/>
    <w:rsid w:val="007100A9"/>
    <w:rsid w:val="007106CB"/>
    <w:rsid w:val="00710E94"/>
    <w:rsid w:val="0071127D"/>
    <w:rsid w:val="007118A6"/>
    <w:rsid w:val="00711C2F"/>
    <w:rsid w:val="00711EAB"/>
    <w:rsid w:val="00712702"/>
    <w:rsid w:val="00713B6A"/>
    <w:rsid w:val="007145B8"/>
    <w:rsid w:val="00714830"/>
    <w:rsid w:val="007148A4"/>
    <w:rsid w:val="00714B20"/>
    <w:rsid w:val="00715921"/>
    <w:rsid w:val="00715DD1"/>
    <w:rsid w:val="00716030"/>
    <w:rsid w:val="007169BD"/>
    <w:rsid w:val="00716F95"/>
    <w:rsid w:val="00717441"/>
    <w:rsid w:val="007201C7"/>
    <w:rsid w:val="00720BC5"/>
    <w:rsid w:val="00721E5C"/>
    <w:rsid w:val="00722C2C"/>
    <w:rsid w:val="00723085"/>
    <w:rsid w:val="007235FB"/>
    <w:rsid w:val="007243C7"/>
    <w:rsid w:val="007244E0"/>
    <w:rsid w:val="00724A4F"/>
    <w:rsid w:val="00724BA0"/>
    <w:rsid w:val="00724CA0"/>
    <w:rsid w:val="00725044"/>
    <w:rsid w:val="007252CB"/>
    <w:rsid w:val="00726027"/>
    <w:rsid w:val="007261C8"/>
    <w:rsid w:val="007266EF"/>
    <w:rsid w:val="007267CB"/>
    <w:rsid w:val="00726C63"/>
    <w:rsid w:val="00727AC1"/>
    <w:rsid w:val="00727D60"/>
    <w:rsid w:val="007301AE"/>
    <w:rsid w:val="00730210"/>
    <w:rsid w:val="00730649"/>
    <w:rsid w:val="0073128F"/>
    <w:rsid w:val="00731E54"/>
    <w:rsid w:val="00732913"/>
    <w:rsid w:val="00734186"/>
    <w:rsid w:val="0073433E"/>
    <w:rsid w:val="00734D1F"/>
    <w:rsid w:val="007355FA"/>
    <w:rsid w:val="0073572E"/>
    <w:rsid w:val="007357E8"/>
    <w:rsid w:val="00735882"/>
    <w:rsid w:val="007358D6"/>
    <w:rsid w:val="00736EAF"/>
    <w:rsid w:val="00737064"/>
    <w:rsid w:val="00737255"/>
    <w:rsid w:val="007375CE"/>
    <w:rsid w:val="007376E5"/>
    <w:rsid w:val="007377D6"/>
    <w:rsid w:val="007378B3"/>
    <w:rsid w:val="00740295"/>
    <w:rsid w:val="0074035B"/>
    <w:rsid w:val="00740E58"/>
    <w:rsid w:val="00741208"/>
    <w:rsid w:val="00741931"/>
    <w:rsid w:val="00741B22"/>
    <w:rsid w:val="00741B73"/>
    <w:rsid w:val="00741DF1"/>
    <w:rsid w:val="00741FE7"/>
    <w:rsid w:val="00742281"/>
    <w:rsid w:val="007422CA"/>
    <w:rsid w:val="00742B8C"/>
    <w:rsid w:val="00743523"/>
    <w:rsid w:val="00743AB3"/>
    <w:rsid w:val="00744077"/>
    <w:rsid w:val="007441CE"/>
    <w:rsid w:val="00744814"/>
    <w:rsid w:val="00744D4B"/>
    <w:rsid w:val="00744E95"/>
    <w:rsid w:val="00746ECE"/>
    <w:rsid w:val="00747AEC"/>
    <w:rsid w:val="00747CEB"/>
    <w:rsid w:val="00747F2E"/>
    <w:rsid w:val="00750589"/>
    <w:rsid w:val="00751763"/>
    <w:rsid w:val="007524F1"/>
    <w:rsid w:val="0075300C"/>
    <w:rsid w:val="007532D9"/>
    <w:rsid w:val="00753561"/>
    <w:rsid w:val="00753AA9"/>
    <w:rsid w:val="0075401D"/>
    <w:rsid w:val="007549A8"/>
    <w:rsid w:val="00754A6E"/>
    <w:rsid w:val="00754C61"/>
    <w:rsid w:val="00754CB0"/>
    <w:rsid w:val="00754F9B"/>
    <w:rsid w:val="00755617"/>
    <w:rsid w:val="00755E94"/>
    <w:rsid w:val="00756215"/>
    <w:rsid w:val="00757419"/>
    <w:rsid w:val="00757472"/>
    <w:rsid w:val="007576A5"/>
    <w:rsid w:val="00757DE5"/>
    <w:rsid w:val="00757E4F"/>
    <w:rsid w:val="00760432"/>
    <w:rsid w:val="00760902"/>
    <w:rsid w:val="00760988"/>
    <w:rsid w:val="00760E24"/>
    <w:rsid w:val="00760F7D"/>
    <w:rsid w:val="0076119A"/>
    <w:rsid w:val="00761AE6"/>
    <w:rsid w:val="00762667"/>
    <w:rsid w:val="00762B04"/>
    <w:rsid w:val="00762DC7"/>
    <w:rsid w:val="00763084"/>
    <w:rsid w:val="00763A3E"/>
    <w:rsid w:val="00763F2E"/>
    <w:rsid w:val="007641AB"/>
    <w:rsid w:val="0076439D"/>
    <w:rsid w:val="00765276"/>
    <w:rsid w:val="00765C2D"/>
    <w:rsid w:val="00766011"/>
    <w:rsid w:val="00766271"/>
    <w:rsid w:val="00766A55"/>
    <w:rsid w:val="00766F56"/>
    <w:rsid w:val="007672AA"/>
    <w:rsid w:val="007673C9"/>
    <w:rsid w:val="00767662"/>
    <w:rsid w:val="00767CE8"/>
    <w:rsid w:val="00770162"/>
    <w:rsid w:val="00770611"/>
    <w:rsid w:val="0077093F"/>
    <w:rsid w:val="00770D85"/>
    <w:rsid w:val="00770E8D"/>
    <w:rsid w:val="007710BC"/>
    <w:rsid w:val="0077172F"/>
    <w:rsid w:val="00771888"/>
    <w:rsid w:val="0077253A"/>
    <w:rsid w:val="00772DE9"/>
    <w:rsid w:val="00773551"/>
    <w:rsid w:val="007736C1"/>
    <w:rsid w:val="00773A11"/>
    <w:rsid w:val="00773A72"/>
    <w:rsid w:val="00773BB5"/>
    <w:rsid w:val="00773EC5"/>
    <w:rsid w:val="00773EFE"/>
    <w:rsid w:val="00774428"/>
    <w:rsid w:val="007748C4"/>
    <w:rsid w:val="00774F34"/>
    <w:rsid w:val="00775E20"/>
    <w:rsid w:val="00776A1A"/>
    <w:rsid w:val="00776D3A"/>
    <w:rsid w:val="0077777F"/>
    <w:rsid w:val="00777862"/>
    <w:rsid w:val="007804EC"/>
    <w:rsid w:val="007818E1"/>
    <w:rsid w:val="007819D4"/>
    <w:rsid w:val="00781AE2"/>
    <w:rsid w:val="00781FE1"/>
    <w:rsid w:val="007820DB"/>
    <w:rsid w:val="00782A7E"/>
    <w:rsid w:val="00782AC8"/>
    <w:rsid w:val="00783EC2"/>
    <w:rsid w:val="007841D7"/>
    <w:rsid w:val="00784B51"/>
    <w:rsid w:val="007850DB"/>
    <w:rsid w:val="007866B0"/>
    <w:rsid w:val="007868CE"/>
    <w:rsid w:val="00786B36"/>
    <w:rsid w:val="0078725D"/>
    <w:rsid w:val="00787AC8"/>
    <w:rsid w:val="007901A7"/>
    <w:rsid w:val="0079065A"/>
    <w:rsid w:val="00790CA3"/>
    <w:rsid w:val="00791633"/>
    <w:rsid w:val="00791FC3"/>
    <w:rsid w:val="00792758"/>
    <w:rsid w:val="00792990"/>
    <w:rsid w:val="00792A44"/>
    <w:rsid w:val="00792BB2"/>
    <w:rsid w:val="00793334"/>
    <w:rsid w:val="007939CF"/>
    <w:rsid w:val="00794052"/>
    <w:rsid w:val="0079413D"/>
    <w:rsid w:val="00794AE4"/>
    <w:rsid w:val="00794CF0"/>
    <w:rsid w:val="007959CD"/>
    <w:rsid w:val="00795ABF"/>
    <w:rsid w:val="00795CA3"/>
    <w:rsid w:val="00796189"/>
    <w:rsid w:val="007963C1"/>
    <w:rsid w:val="00796EE8"/>
    <w:rsid w:val="00797287"/>
    <w:rsid w:val="00797304"/>
    <w:rsid w:val="00797876"/>
    <w:rsid w:val="007A04A2"/>
    <w:rsid w:val="007A0B27"/>
    <w:rsid w:val="007A1695"/>
    <w:rsid w:val="007A1709"/>
    <w:rsid w:val="007A177A"/>
    <w:rsid w:val="007A1F6E"/>
    <w:rsid w:val="007A21B2"/>
    <w:rsid w:val="007A23F3"/>
    <w:rsid w:val="007A2C3D"/>
    <w:rsid w:val="007A2E9C"/>
    <w:rsid w:val="007A339D"/>
    <w:rsid w:val="007A3F5B"/>
    <w:rsid w:val="007A516E"/>
    <w:rsid w:val="007A581A"/>
    <w:rsid w:val="007A635C"/>
    <w:rsid w:val="007A7016"/>
    <w:rsid w:val="007A7763"/>
    <w:rsid w:val="007A77E4"/>
    <w:rsid w:val="007A7985"/>
    <w:rsid w:val="007B0E7D"/>
    <w:rsid w:val="007B1334"/>
    <w:rsid w:val="007B1E78"/>
    <w:rsid w:val="007B233E"/>
    <w:rsid w:val="007B2783"/>
    <w:rsid w:val="007B2A4E"/>
    <w:rsid w:val="007B2E37"/>
    <w:rsid w:val="007B318E"/>
    <w:rsid w:val="007B3195"/>
    <w:rsid w:val="007B5199"/>
    <w:rsid w:val="007B5232"/>
    <w:rsid w:val="007B56AE"/>
    <w:rsid w:val="007B58DC"/>
    <w:rsid w:val="007B5BA3"/>
    <w:rsid w:val="007B5FC4"/>
    <w:rsid w:val="007B6CBD"/>
    <w:rsid w:val="007B6ED3"/>
    <w:rsid w:val="007B71F0"/>
    <w:rsid w:val="007B73FE"/>
    <w:rsid w:val="007B7B21"/>
    <w:rsid w:val="007C06BF"/>
    <w:rsid w:val="007C08A4"/>
    <w:rsid w:val="007C08BD"/>
    <w:rsid w:val="007C0A83"/>
    <w:rsid w:val="007C17D3"/>
    <w:rsid w:val="007C1879"/>
    <w:rsid w:val="007C2365"/>
    <w:rsid w:val="007C3160"/>
    <w:rsid w:val="007C3880"/>
    <w:rsid w:val="007C38DE"/>
    <w:rsid w:val="007C412C"/>
    <w:rsid w:val="007C437D"/>
    <w:rsid w:val="007C4607"/>
    <w:rsid w:val="007C4A1F"/>
    <w:rsid w:val="007C4D31"/>
    <w:rsid w:val="007C560A"/>
    <w:rsid w:val="007C6347"/>
    <w:rsid w:val="007C7C14"/>
    <w:rsid w:val="007D028B"/>
    <w:rsid w:val="007D0D89"/>
    <w:rsid w:val="007D0EB3"/>
    <w:rsid w:val="007D34F8"/>
    <w:rsid w:val="007D3E32"/>
    <w:rsid w:val="007D41A0"/>
    <w:rsid w:val="007D4806"/>
    <w:rsid w:val="007D4EFA"/>
    <w:rsid w:val="007D50CA"/>
    <w:rsid w:val="007D50CD"/>
    <w:rsid w:val="007D57B2"/>
    <w:rsid w:val="007D6293"/>
    <w:rsid w:val="007D6580"/>
    <w:rsid w:val="007D69C5"/>
    <w:rsid w:val="007D6E66"/>
    <w:rsid w:val="007D7294"/>
    <w:rsid w:val="007D79A5"/>
    <w:rsid w:val="007D7BA7"/>
    <w:rsid w:val="007D7C9D"/>
    <w:rsid w:val="007E0C30"/>
    <w:rsid w:val="007E2EF3"/>
    <w:rsid w:val="007E3581"/>
    <w:rsid w:val="007E3FBB"/>
    <w:rsid w:val="007E4D27"/>
    <w:rsid w:val="007E4EF4"/>
    <w:rsid w:val="007E530E"/>
    <w:rsid w:val="007E5B2B"/>
    <w:rsid w:val="007E625E"/>
    <w:rsid w:val="007E6D27"/>
    <w:rsid w:val="007E6D85"/>
    <w:rsid w:val="007F01F2"/>
    <w:rsid w:val="007F2535"/>
    <w:rsid w:val="007F273D"/>
    <w:rsid w:val="007F2E38"/>
    <w:rsid w:val="007F373A"/>
    <w:rsid w:val="007F383A"/>
    <w:rsid w:val="007F4745"/>
    <w:rsid w:val="007F4D44"/>
    <w:rsid w:val="007F5090"/>
    <w:rsid w:val="007F6121"/>
    <w:rsid w:val="007F6762"/>
    <w:rsid w:val="007F6EE1"/>
    <w:rsid w:val="007F7300"/>
    <w:rsid w:val="007F7583"/>
    <w:rsid w:val="007F76B6"/>
    <w:rsid w:val="00800243"/>
    <w:rsid w:val="00801156"/>
    <w:rsid w:val="008013C9"/>
    <w:rsid w:val="00801543"/>
    <w:rsid w:val="00802051"/>
    <w:rsid w:val="00802193"/>
    <w:rsid w:val="0080219B"/>
    <w:rsid w:val="00802445"/>
    <w:rsid w:val="00802FE9"/>
    <w:rsid w:val="00803A09"/>
    <w:rsid w:val="00803E45"/>
    <w:rsid w:val="00804517"/>
    <w:rsid w:val="008046EB"/>
    <w:rsid w:val="00804B1D"/>
    <w:rsid w:val="00804E44"/>
    <w:rsid w:val="0080568E"/>
    <w:rsid w:val="00805BD2"/>
    <w:rsid w:val="00806048"/>
    <w:rsid w:val="008064DC"/>
    <w:rsid w:val="008064F0"/>
    <w:rsid w:val="00806794"/>
    <w:rsid w:val="00806B20"/>
    <w:rsid w:val="0080706B"/>
    <w:rsid w:val="0080724D"/>
    <w:rsid w:val="0080761A"/>
    <w:rsid w:val="00807B78"/>
    <w:rsid w:val="00810B17"/>
    <w:rsid w:val="00810C36"/>
    <w:rsid w:val="00810D66"/>
    <w:rsid w:val="00810DCB"/>
    <w:rsid w:val="0081130C"/>
    <w:rsid w:val="00811C3A"/>
    <w:rsid w:val="00812B44"/>
    <w:rsid w:val="0081302F"/>
    <w:rsid w:val="00813796"/>
    <w:rsid w:val="00813961"/>
    <w:rsid w:val="00813978"/>
    <w:rsid w:val="00813B53"/>
    <w:rsid w:val="00813F6E"/>
    <w:rsid w:val="00813FDB"/>
    <w:rsid w:val="00814155"/>
    <w:rsid w:val="00814C6B"/>
    <w:rsid w:val="00814EB2"/>
    <w:rsid w:val="0081543D"/>
    <w:rsid w:val="0081565B"/>
    <w:rsid w:val="008162F3"/>
    <w:rsid w:val="00816695"/>
    <w:rsid w:val="00817351"/>
    <w:rsid w:val="008173CF"/>
    <w:rsid w:val="008211FB"/>
    <w:rsid w:val="00821315"/>
    <w:rsid w:val="00821C80"/>
    <w:rsid w:val="008236F8"/>
    <w:rsid w:val="0082372E"/>
    <w:rsid w:val="00823753"/>
    <w:rsid w:val="00823BE8"/>
    <w:rsid w:val="00823E6C"/>
    <w:rsid w:val="00823E87"/>
    <w:rsid w:val="00823ED8"/>
    <w:rsid w:val="0082492C"/>
    <w:rsid w:val="00824F03"/>
    <w:rsid w:val="00825B7A"/>
    <w:rsid w:val="008267FB"/>
    <w:rsid w:val="00827204"/>
    <w:rsid w:val="008276A5"/>
    <w:rsid w:val="00830784"/>
    <w:rsid w:val="00830D6E"/>
    <w:rsid w:val="00830DBC"/>
    <w:rsid w:val="00830F15"/>
    <w:rsid w:val="00831490"/>
    <w:rsid w:val="008316DB"/>
    <w:rsid w:val="00831751"/>
    <w:rsid w:val="00831C50"/>
    <w:rsid w:val="0083211C"/>
    <w:rsid w:val="0083249E"/>
    <w:rsid w:val="00832639"/>
    <w:rsid w:val="00833B66"/>
    <w:rsid w:val="00834881"/>
    <w:rsid w:val="008352FF"/>
    <w:rsid w:val="00835A80"/>
    <w:rsid w:val="00835BBB"/>
    <w:rsid w:val="00836204"/>
    <w:rsid w:val="0083634B"/>
    <w:rsid w:val="008369A0"/>
    <w:rsid w:val="00836EF9"/>
    <w:rsid w:val="00837902"/>
    <w:rsid w:val="00837F08"/>
    <w:rsid w:val="00840997"/>
    <w:rsid w:val="008409DE"/>
    <w:rsid w:val="00841824"/>
    <w:rsid w:val="00841D89"/>
    <w:rsid w:val="00842B3D"/>
    <w:rsid w:val="00842C1A"/>
    <w:rsid w:val="0084300E"/>
    <w:rsid w:val="008431C0"/>
    <w:rsid w:val="00843987"/>
    <w:rsid w:val="00843C52"/>
    <w:rsid w:val="00843CF5"/>
    <w:rsid w:val="008444C9"/>
    <w:rsid w:val="00844790"/>
    <w:rsid w:val="00844C3A"/>
    <w:rsid w:val="00844E44"/>
    <w:rsid w:val="008455E1"/>
    <w:rsid w:val="00845A46"/>
    <w:rsid w:val="00845E55"/>
    <w:rsid w:val="0084645C"/>
    <w:rsid w:val="00846491"/>
    <w:rsid w:val="00846B32"/>
    <w:rsid w:val="00847DEF"/>
    <w:rsid w:val="0085001E"/>
    <w:rsid w:val="0085056B"/>
    <w:rsid w:val="008506AE"/>
    <w:rsid w:val="00851AFF"/>
    <w:rsid w:val="00852100"/>
    <w:rsid w:val="00852271"/>
    <w:rsid w:val="008528CA"/>
    <w:rsid w:val="008529DD"/>
    <w:rsid w:val="00852B75"/>
    <w:rsid w:val="00852C92"/>
    <w:rsid w:val="00852D0B"/>
    <w:rsid w:val="0085414F"/>
    <w:rsid w:val="008541AC"/>
    <w:rsid w:val="00854940"/>
    <w:rsid w:val="0085534E"/>
    <w:rsid w:val="008553AC"/>
    <w:rsid w:val="0085595A"/>
    <w:rsid w:val="00856002"/>
    <w:rsid w:val="00856939"/>
    <w:rsid w:val="008570F5"/>
    <w:rsid w:val="00857F08"/>
    <w:rsid w:val="00860E8D"/>
    <w:rsid w:val="0086101E"/>
    <w:rsid w:val="00861063"/>
    <w:rsid w:val="00861D60"/>
    <w:rsid w:val="00861ED3"/>
    <w:rsid w:val="0086218C"/>
    <w:rsid w:val="00862749"/>
    <w:rsid w:val="0086303F"/>
    <w:rsid w:val="0086371E"/>
    <w:rsid w:val="008644C7"/>
    <w:rsid w:val="008650BB"/>
    <w:rsid w:val="00865485"/>
    <w:rsid w:val="0086568A"/>
    <w:rsid w:val="008656E1"/>
    <w:rsid w:val="00865727"/>
    <w:rsid w:val="00865D81"/>
    <w:rsid w:val="00865F96"/>
    <w:rsid w:val="00866681"/>
    <w:rsid w:val="0086764F"/>
    <w:rsid w:val="00867ADE"/>
    <w:rsid w:val="00867B01"/>
    <w:rsid w:val="00867EDA"/>
    <w:rsid w:val="0087006A"/>
    <w:rsid w:val="008702B4"/>
    <w:rsid w:val="00870384"/>
    <w:rsid w:val="00870473"/>
    <w:rsid w:val="008710AF"/>
    <w:rsid w:val="008718E7"/>
    <w:rsid w:val="00871F0D"/>
    <w:rsid w:val="00872776"/>
    <w:rsid w:val="00874354"/>
    <w:rsid w:val="008744C1"/>
    <w:rsid w:val="008747E3"/>
    <w:rsid w:val="00875086"/>
    <w:rsid w:val="0087626C"/>
    <w:rsid w:val="00876288"/>
    <w:rsid w:val="00877A4A"/>
    <w:rsid w:val="00877F05"/>
    <w:rsid w:val="008801D0"/>
    <w:rsid w:val="0088030B"/>
    <w:rsid w:val="00880D03"/>
    <w:rsid w:val="00881014"/>
    <w:rsid w:val="0088129B"/>
    <w:rsid w:val="00881FF9"/>
    <w:rsid w:val="008823D5"/>
    <w:rsid w:val="008824F4"/>
    <w:rsid w:val="008836FD"/>
    <w:rsid w:val="00884AC1"/>
    <w:rsid w:val="00884EC1"/>
    <w:rsid w:val="008852F3"/>
    <w:rsid w:val="00887935"/>
    <w:rsid w:val="00887A2A"/>
    <w:rsid w:val="0089034A"/>
    <w:rsid w:val="008908E4"/>
    <w:rsid w:val="00890E52"/>
    <w:rsid w:val="0089137C"/>
    <w:rsid w:val="008914F8"/>
    <w:rsid w:val="00891567"/>
    <w:rsid w:val="00892672"/>
    <w:rsid w:val="00892FE9"/>
    <w:rsid w:val="008931E5"/>
    <w:rsid w:val="008935C4"/>
    <w:rsid w:val="0089374E"/>
    <w:rsid w:val="00893912"/>
    <w:rsid w:val="008939E0"/>
    <w:rsid w:val="00893F03"/>
    <w:rsid w:val="0089401A"/>
    <w:rsid w:val="00894244"/>
    <w:rsid w:val="0089476A"/>
    <w:rsid w:val="00894A13"/>
    <w:rsid w:val="008955B4"/>
    <w:rsid w:val="00895E6B"/>
    <w:rsid w:val="008960FB"/>
    <w:rsid w:val="008964BB"/>
    <w:rsid w:val="00896E7E"/>
    <w:rsid w:val="0089782A"/>
    <w:rsid w:val="0089798D"/>
    <w:rsid w:val="00897BB9"/>
    <w:rsid w:val="00897F1A"/>
    <w:rsid w:val="008A001C"/>
    <w:rsid w:val="008A0B77"/>
    <w:rsid w:val="008A0BC1"/>
    <w:rsid w:val="008A15D1"/>
    <w:rsid w:val="008A1A0C"/>
    <w:rsid w:val="008A1DBE"/>
    <w:rsid w:val="008A1FAE"/>
    <w:rsid w:val="008A2570"/>
    <w:rsid w:val="008A3260"/>
    <w:rsid w:val="008A334D"/>
    <w:rsid w:val="008A3505"/>
    <w:rsid w:val="008A3586"/>
    <w:rsid w:val="008A3938"/>
    <w:rsid w:val="008A3C12"/>
    <w:rsid w:val="008A3D37"/>
    <w:rsid w:val="008A4672"/>
    <w:rsid w:val="008A53FB"/>
    <w:rsid w:val="008A5480"/>
    <w:rsid w:val="008A6875"/>
    <w:rsid w:val="008A6C58"/>
    <w:rsid w:val="008A6CF0"/>
    <w:rsid w:val="008A7C2E"/>
    <w:rsid w:val="008A7DAD"/>
    <w:rsid w:val="008A7EF0"/>
    <w:rsid w:val="008B006B"/>
    <w:rsid w:val="008B020B"/>
    <w:rsid w:val="008B051F"/>
    <w:rsid w:val="008B0995"/>
    <w:rsid w:val="008B0BD3"/>
    <w:rsid w:val="008B0F23"/>
    <w:rsid w:val="008B171C"/>
    <w:rsid w:val="008B1836"/>
    <w:rsid w:val="008B2519"/>
    <w:rsid w:val="008B255D"/>
    <w:rsid w:val="008B3605"/>
    <w:rsid w:val="008B3EB4"/>
    <w:rsid w:val="008B449C"/>
    <w:rsid w:val="008B44CB"/>
    <w:rsid w:val="008B47F0"/>
    <w:rsid w:val="008B4D71"/>
    <w:rsid w:val="008B4FB4"/>
    <w:rsid w:val="008B56D7"/>
    <w:rsid w:val="008B5AC7"/>
    <w:rsid w:val="008B5D01"/>
    <w:rsid w:val="008B5EA9"/>
    <w:rsid w:val="008B5FAC"/>
    <w:rsid w:val="008B667D"/>
    <w:rsid w:val="008B73AC"/>
    <w:rsid w:val="008B7742"/>
    <w:rsid w:val="008B7B23"/>
    <w:rsid w:val="008C09C4"/>
    <w:rsid w:val="008C0A36"/>
    <w:rsid w:val="008C197C"/>
    <w:rsid w:val="008C1E05"/>
    <w:rsid w:val="008C267D"/>
    <w:rsid w:val="008C307F"/>
    <w:rsid w:val="008C30B3"/>
    <w:rsid w:val="008C315D"/>
    <w:rsid w:val="008C3519"/>
    <w:rsid w:val="008C3D01"/>
    <w:rsid w:val="008C4309"/>
    <w:rsid w:val="008C4EFB"/>
    <w:rsid w:val="008C5447"/>
    <w:rsid w:val="008C5C16"/>
    <w:rsid w:val="008C63C7"/>
    <w:rsid w:val="008C7154"/>
    <w:rsid w:val="008C7470"/>
    <w:rsid w:val="008C77CC"/>
    <w:rsid w:val="008D0308"/>
    <w:rsid w:val="008D0DE8"/>
    <w:rsid w:val="008D1969"/>
    <w:rsid w:val="008D2EFA"/>
    <w:rsid w:val="008D3326"/>
    <w:rsid w:val="008D369F"/>
    <w:rsid w:val="008D3B01"/>
    <w:rsid w:val="008D3E33"/>
    <w:rsid w:val="008D3F6F"/>
    <w:rsid w:val="008D3F84"/>
    <w:rsid w:val="008D45E7"/>
    <w:rsid w:val="008D4EA9"/>
    <w:rsid w:val="008D5B6A"/>
    <w:rsid w:val="008D6D20"/>
    <w:rsid w:val="008D6DEC"/>
    <w:rsid w:val="008D752B"/>
    <w:rsid w:val="008D7E59"/>
    <w:rsid w:val="008E0647"/>
    <w:rsid w:val="008E1194"/>
    <w:rsid w:val="008E1430"/>
    <w:rsid w:val="008E147D"/>
    <w:rsid w:val="008E1B33"/>
    <w:rsid w:val="008E2A61"/>
    <w:rsid w:val="008E2CBF"/>
    <w:rsid w:val="008E2FA9"/>
    <w:rsid w:val="008E3472"/>
    <w:rsid w:val="008E3598"/>
    <w:rsid w:val="008E37DB"/>
    <w:rsid w:val="008E3FBF"/>
    <w:rsid w:val="008E43BA"/>
    <w:rsid w:val="008E46CA"/>
    <w:rsid w:val="008E4BDE"/>
    <w:rsid w:val="008E4EA4"/>
    <w:rsid w:val="008E560E"/>
    <w:rsid w:val="008E5A79"/>
    <w:rsid w:val="008E5B11"/>
    <w:rsid w:val="008E695B"/>
    <w:rsid w:val="008E6EBA"/>
    <w:rsid w:val="008E71E2"/>
    <w:rsid w:val="008E723D"/>
    <w:rsid w:val="008E7336"/>
    <w:rsid w:val="008E7930"/>
    <w:rsid w:val="008E7DE7"/>
    <w:rsid w:val="008F0598"/>
    <w:rsid w:val="008F05FF"/>
    <w:rsid w:val="008F0696"/>
    <w:rsid w:val="008F0771"/>
    <w:rsid w:val="008F2DE3"/>
    <w:rsid w:val="008F2E09"/>
    <w:rsid w:val="008F2F49"/>
    <w:rsid w:val="008F34D3"/>
    <w:rsid w:val="008F40D6"/>
    <w:rsid w:val="008F41B1"/>
    <w:rsid w:val="008F45D7"/>
    <w:rsid w:val="008F54EE"/>
    <w:rsid w:val="008F5572"/>
    <w:rsid w:val="008F5CA7"/>
    <w:rsid w:val="008F5D48"/>
    <w:rsid w:val="008F5FE6"/>
    <w:rsid w:val="008F61F0"/>
    <w:rsid w:val="008F6555"/>
    <w:rsid w:val="008F6CF0"/>
    <w:rsid w:val="008F6F1C"/>
    <w:rsid w:val="008F7CE0"/>
    <w:rsid w:val="008F7E47"/>
    <w:rsid w:val="0090068B"/>
    <w:rsid w:val="00900A6C"/>
    <w:rsid w:val="00900C5B"/>
    <w:rsid w:val="00901054"/>
    <w:rsid w:val="00902000"/>
    <w:rsid w:val="0090250A"/>
    <w:rsid w:val="0090373A"/>
    <w:rsid w:val="00903ADD"/>
    <w:rsid w:val="00903F42"/>
    <w:rsid w:val="00905573"/>
    <w:rsid w:val="00906097"/>
    <w:rsid w:val="00906E1F"/>
    <w:rsid w:val="00907066"/>
    <w:rsid w:val="00907785"/>
    <w:rsid w:val="009102C7"/>
    <w:rsid w:val="009102E2"/>
    <w:rsid w:val="00910AC2"/>
    <w:rsid w:val="00910AC4"/>
    <w:rsid w:val="00911055"/>
    <w:rsid w:val="009112A4"/>
    <w:rsid w:val="00911750"/>
    <w:rsid w:val="0091180B"/>
    <w:rsid w:val="00911841"/>
    <w:rsid w:val="009119D3"/>
    <w:rsid w:val="00911E7A"/>
    <w:rsid w:val="00911ECF"/>
    <w:rsid w:val="00911EFA"/>
    <w:rsid w:val="00912090"/>
    <w:rsid w:val="00912AEC"/>
    <w:rsid w:val="00912F47"/>
    <w:rsid w:val="009137BF"/>
    <w:rsid w:val="009137FF"/>
    <w:rsid w:val="009139C8"/>
    <w:rsid w:val="0091422D"/>
    <w:rsid w:val="0091464A"/>
    <w:rsid w:val="00915994"/>
    <w:rsid w:val="00916973"/>
    <w:rsid w:val="00916C84"/>
    <w:rsid w:val="00916D1E"/>
    <w:rsid w:val="009207E4"/>
    <w:rsid w:val="00920822"/>
    <w:rsid w:val="00921431"/>
    <w:rsid w:val="00921C3B"/>
    <w:rsid w:val="0092257D"/>
    <w:rsid w:val="0092264C"/>
    <w:rsid w:val="009226F5"/>
    <w:rsid w:val="00922E74"/>
    <w:rsid w:val="00922FFC"/>
    <w:rsid w:val="00923FD2"/>
    <w:rsid w:val="00924C39"/>
    <w:rsid w:val="0092513F"/>
    <w:rsid w:val="00925EE8"/>
    <w:rsid w:val="0092621D"/>
    <w:rsid w:val="00926BF3"/>
    <w:rsid w:val="00926FC9"/>
    <w:rsid w:val="00927183"/>
    <w:rsid w:val="00927276"/>
    <w:rsid w:val="0092760B"/>
    <w:rsid w:val="0093006B"/>
    <w:rsid w:val="00930B0B"/>
    <w:rsid w:val="00930FD3"/>
    <w:rsid w:val="00931222"/>
    <w:rsid w:val="00931563"/>
    <w:rsid w:val="009315DE"/>
    <w:rsid w:val="00931AC0"/>
    <w:rsid w:val="009333AA"/>
    <w:rsid w:val="0093389A"/>
    <w:rsid w:val="00934411"/>
    <w:rsid w:val="00934725"/>
    <w:rsid w:val="009349FA"/>
    <w:rsid w:val="00934CC3"/>
    <w:rsid w:val="00934D75"/>
    <w:rsid w:val="00935054"/>
    <w:rsid w:val="009353E4"/>
    <w:rsid w:val="00935ABA"/>
    <w:rsid w:val="00935ACB"/>
    <w:rsid w:val="00935BE6"/>
    <w:rsid w:val="009360FC"/>
    <w:rsid w:val="009367B9"/>
    <w:rsid w:val="00936B98"/>
    <w:rsid w:val="00937651"/>
    <w:rsid w:val="0093777D"/>
    <w:rsid w:val="009379F3"/>
    <w:rsid w:val="00940A6A"/>
    <w:rsid w:val="00940CE6"/>
    <w:rsid w:val="00942332"/>
    <w:rsid w:val="00942884"/>
    <w:rsid w:val="009438ED"/>
    <w:rsid w:val="00943CDC"/>
    <w:rsid w:val="00943DB0"/>
    <w:rsid w:val="0094431E"/>
    <w:rsid w:val="009443A1"/>
    <w:rsid w:val="009445AB"/>
    <w:rsid w:val="009448D1"/>
    <w:rsid w:val="00944B0E"/>
    <w:rsid w:val="00945836"/>
    <w:rsid w:val="00945865"/>
    <w:rsid w:val="009458AE"/>
    <w:rsid w:val="00945922"/>
    <w:rsid w:val="00945923"/>
    <w:rsid w:val="00945CAE"/>
    <w:rsid w:val="0094699F"/>
    <w:rsid w:val="00946CE7"/>
    <w:rsid w:val="009475D6"/>
    <w:rsid w:val="00947E3A"/>
    <w:rsid w:val="00950061"/>
    <w:rsid w:val="00950594"/>
    <w:rsid w:val="00950950"/>
    <w:rsid w:val="0095152D"/>
    <w:rsid w:val="00951EE2"/>
    <w:rsid w:val="00951F78"/>
    <w:rsid w:val="00951FF9"/>
    <w:rsid w:val="00952CE4"/>
    <w:rsid w:val="00952D93"/>
    <w:rsid w:val="00953109"/>
    <w:rsid w:val="00953E52"/>
    <w:rsid w:val="0095451A"/>
    <w:rsid w:val="00954F1B"/>
    <w:rsid w:val="00955841"/>
    <w:rsid w:val="00955BBD"/>
    <w:rsid w:val="00955BC0"/>
    <w:rsid w:val="00955CC2"/>
    <w:rsid w:val="0095666C"/>
    <w:rsid w:val="0095678F"/>
    <w:rsid w:val="0095779C"/>
    <w:rsid w:val="00957BCF"/>
    <w:rsid w:val="0096026A"/>
    <w:rsid w:val="009606F7"/>
    <w:rsid w:val="00960A32"/>
    <w:rsid w:val="00960DC1"/>
    <w:rsid w:val="00960FFF"/>
    <w:rsid w:val="0096115F"/>
    <w:rsid w:val="00962525"/>
    <w:rsid w:val="00962818"/>
    <w:rsid w:val="00962C9B"/>
    <w:rsid w:val="009631F1"/>
    <w:rsid w:val="0096346B"/>
    <w:rsid w:val="009636A4"/>
    <w:rsid w:val="009636B9"/>
    <w:rsid w:val="00964173"/>
    <w:rsid w:val="0096422B"/>
    <w:rsid w:val="00964327"/>
    <w:rsid w:val="009650D8"/>
    <w:rsid w:val="00965947"/>
    <w:rsid w:val="009664D4"/>
    <w:rsid w:val="009676E5"/>
    <w:rsid w:val="009677B0"/>
    <w:rsid w:val="00967EA4"/>
    <w:rsid w:val="00970369"/>
    <w:rsid w:val="0097041A"/>
    <w:rsid w:val="00971922"/>
    <w:rsid w:val="009727B6"/>
    <w:rsid w:val="00972B0C"/>
    <w:rsid w:val="00972DCD"/>
    <w:rsid w:val="00972E41"/>
    <w:rsid w:val="009748FB"/>
    <w:rsid w:val="00974970"/>
    <w:rsid w:val="00974B91"/>
    <w:rsid w:val="00974C6B"/>
    <w:rsid w:val="00975E68"/>
    <w:rsid w:val="00976134"/>
    <w:rsid w:val="00976976"/>
    <w:rsid w:val="00976AA8"/>
    <w:rsid w:val="00976D93"/>
    <w:rsid w:val="00977D94"/>
    <w:rsid w:val="009802C7"/>
    <w:rsid w:val="00980518"/>
    <w:rsid w:val="00981477"/>
    <w:rsid w:val="00981E7A"/>
    <w:rsid w:val="00982096"/>
    <w:rsid w:val="00982BC6"/>
    <w:rsid w:val="00982D6D"/>
    <w:rsid w:val="00982DF2"/>
    <w:rsid w:val="00983441"/>
    <w:rsid w:val="0098380E"/>
    <w:rsid w:val="00983B7B"/>
    <w:rsid w:val="00983CC6"/>
    <w:rsid w:val="0098400C"/>
    <w:rsid w:val="0098413B"/>
    <w:rsid w:val="00984541"/>
    <w:rsid w:val="00985857"/>
    <w:rsid w:val="0098597A"/>
    <w:rsid w:val="00985FB9"/>
    <w:rsid w:val="0098631D"/>
    <w:rsid w:val="00986C96"/>
    <w:rsid w:val="00986CBA"/>
    <w:rsid w:val="00987250"/>
    <w:rsid w:val="009872D6"/>
    <w:rsid w:val="00987313"/>
    <w:rsid w:val="0098760C"/>
    <w:rsid w:val="00987F03"/>
    <w:rsid w:val="009902CE"/>
    <w:rsid w:val="00990C0F"/>
    <w:rsid w:val="00990F55"/>
    <w:rsid w:val="00991884"/>
    <w:rsid w:val="00991BF6"/>
    <w:rsid w:val="00992B80"/>
    <w:rsid w:val="009939FD"/>
    <w:rsid w:val="009942C1"/>
    <w:rsid w:val="00994B16"/>
    <w:rsid w:val="00994C08"/>
    <w:rsid w:val="00994E33"/>
    <w:rsid w:val="0099578C"/>
    <w:rsid w:val="0099598A"/>
    <w:rsid w:val="009962FE"/>
    <w:rsid w:val="00996D67"/>
    <w:rsid w:val="00997351"/>
    <w:rsid w:val="00997AED"/>
    <w:rsid w:val="00997B58"/>
    <w:rsid w:val="00997FFC"/>
    <w:rsid w:val="009A0372"/>
    <w:rsid w:val="009A0844"/>
    <w:rsid w:val="009A2040"/>
    <w:rsid w:val="009A22D7"/>
    <w:rsid w:val="009A2B8A"/>
    <w:rsid w:val="009A31C9"/>
    <w:rsid w:val="009A34A1"/>
    <w:rsid w:val="009A3A74"/>
    <w:rsid w:val="009A3E21"/>
    <w:rsid w:val="009A427D"/>
    <w:rsid w:val="009A4A45"/>
    <w:rsid w:val="009A4DF9"/>
    <w:rsid w:val="009A4F7E"/>
    <w:rsid w:val="009A55C4"/>
    <w:rsid w:val="009A55C9"/>
    <w:rsid w:val="009A55E8"/>
    <w:rsid w:val="009A5F8F"/>
    <w:rsid w:val="009A6410"/>
    <w:rsid w:val="009A6D63"/>
    <w:rsid w:val="009A7317"/>
    <w:rsid w:val="009A73F6"/>
    <w:rsid w:val="009A78AC"/>
    <w:rsid w:val="009A7956"/>
    <w:rsid w:val="009A7D5B"/>
    <w:rsid w:val="009A7FED"/>
    <w:rsid w:val="009B008C"/>
    <w:rsid w:val="009B0E16"/>
    <w:rsid w:val="009B12BE"/>
    <w:rsid w:val="009B1AF7"/>
    <w:rsid w:val="009B1BB4"/>
    <w:rsid w:val="009B210A"/>
    <w:rsid w:val="009B2256"/>
    <w:rsid w:val="009B2401"/>
    <w:rsid w:val="009B29F8"/>
    <w:rsid w:val="009B32D0"/>
    <w:rsid w:val="009B36D4"/>
    <w:rsid w:val="009B38C9"/>
    <w:rsid w:val="009B3A86"/>
    <w:rsid w:val="009B3F63"/>
    <w:rsid w:val="009B401F"/>
    <w:rsid w:val="009B60EC"/>
    <w:rsid w:val="009B65F7"/>
    <w:rsid w:val="009B6617"/>
    <w:rsid w:val="009B6DCC"/>
    <w:rsid w:val="009B75E9"/>
    <w:rsid w:val="009C0F68"/>
    <w:rsid w:val="009C1672"/>
    <w:rsid w:val="009C1BF0"/>
    <w:rsid w:val="009C24D5"/>
    <w:rsid w:val="009C27EE"/>
    <w:rsid w:val="009C3394"/>
    <w:rsid w:val="009C3E3C"/>
    <w:rsid w:val="009C4882"/>
    <w:rsid w:val="009C4CE1"/>
    <w:rsid w:val="009C4D62"/>
    <w:rsid w:val="009C5774"/>
    <w:rsid w:val="009C605F"/>
    <w:rsid w:val="009C6B78"/>
    <w:rsid w:val="009C7521"/>
    <w:rsid w:val="009C79BE"/>
    <w:rsid w:val="009C7AB6"/>
    <w:rsid w:val="009C7F85"/>
    <w:rsid w:val="009D06F4"/>
    <w:rsid w:val="009D0A66"/>
    <w:rsid w:val="009D0B82"/>
    <w:rsid w:val="009D0CC5"/>
    <w:rsid w:val="009D2DCA"/>
    <w:rsid w:val="009D3165"/>
    <w:rsid w:val="009D3B88"/>
    <w:rsid w:val="009D3BAA"/>
    <w:rsid w:val="009D491E"/>
    <w:rsid w:val="009D4FF9"/>
    <w:rsid w:val="009D5078"/>
    <w:rsid w:val="009D533A"/>
    <w:rsid w:val="009D5DFC"/>
    <w:rsid w:val="009D60D9"/>
    <w:rsid w:val="009D6360"/>
    <w:rsid w:val="009D6A3E"/>
    <w:rsid w:val="009D723B"/>
    <w:rsid w:val="009D75DC"/>
    <w:rsid w:val="009D7944"/>
    <w:rsid w:val="009E00DB"/>
    <w:rsid w:val="009E0585"/>
    <w:rsid w:val="009E0DF7"/>
    <w:rsid w:val="009E0E24"/>
    <w:rsid w:val="009E1363"/>
    <w:rsid w:val="009E1878"/>
    <w:rsid w:val="009E202F"/>
    <w:rsid w:val="009E23BD"/>
    <w:rsid w:val="009E2453"/>
    <w:rsid w:val="009E2588"/>
    <w:rsid w:val="009E29F6"/>
    <w:rsid w:val="009E2A23"/>
    <w:rsid w:val="009E2FF1"/>
    <w:rsid w:val="009E319F"/>
    <w:rsid w:val="009E3216"/>
    <w:rsid w:val="009E3927"/>
    <w:rsid w:val="009E3C4A"/>
    <w:rsid w:val="009E417A"/>
    <w:rsid w:val="009E4C8B"/>
    <w:rsid w:val="009E5BE4"/>
    <w:rsid w:val="009E6983"/>
    <w:rsid w:val="009E7B39"/>
    <w:rsid w:val="009F0B18"/>
    <w:rsid w:val="009F1438"/>
    <w:rsid w:val="009F1916"/>
    <w:rsid w:val="009F1BF1"/>
    <w:rsid w:val="009F1F9B"/>
    <w:rsid w:val="009F2250"/>
    <w:rsid w:val="009F238B"/>
    <w:rsid w:val="009F3047"/>
    <w:rsid w:val="009F368B"/>
    <w:rsid w:val="009F37D9"/>
    <w:rsid w:val="009F3DBE"/>
    <w:rsid w:val="009F3F6F"/>
    <w:rsid w:val="009F3FEE"/>
    <w:rsid w:val="009F4647"/>
    <w:rsid w:val="009F5C36"/>
    <w:rsid w:val="009F66AE"/>
    <w:rsid w:val="009F7385"/>
    <w:rsid w:val="009F7D9B"/>
    <w:rsid w:val="009F7E9D"/>
    <w:rsid w:val="00A01A5A"/>
    <w:rsid w:val="00A02558"/>
    <w:rsid w:val="00A025E5"/>
    <w:rsid w:val="00A02A48"/>
    <w:rsid w:val="00A02AD3"/>
    <w:rsid w:val="00A02CB0"/>
    <w:rsid w:val="00A039B4"/>
    <w:rsid w:val="00A03A8D"/>
    <w:rsid w:val="00A05299"/>
    <w:rsid w:val="00A05393"/>
    <w:rsid w:val="00A058EB"/>
    <w:rsid w:val="00A0609C"/>
    <w:rsid w:val="00A06298"/>
    <w:rsid w:val="00A0660A"/>
    <w:rsid w:val="00A0743B"/>
    <w:rsid w:val="00A07677"/>
    <w:rsid w:val="00A07D8A"/>
    <w:rsid w:val="00A07E51"/>
    <w:rsid w:val="00A106BD"/>
    <w:rsid w:val="00A108EC"/>
    <w:rsid w:val="00A11331"/>
    <w:rsid w:val="00A119FE"/>
    <w:rsid w:val="00A12051"/>
    <w:rsid w:val="00A126ED"/>
    <w:rsid w:val="00A13381"/>
    <w:rsid w:val="00A141C7"/>
    <w:rsid w:val="00A14910"/>
    <w:rsid w:val="00A152CE"/>
    <w:rsid w:val="00A159DC"/>
    <w:rsid w:val="00A15C78"/>
    <w:rsid w:val="00A15D09"/>
    <w:rsid w:val="00A15D47"/>
    <w:rsid w:val="00A16648"/>
    <w:rsid w:val="00A17267"/>
    <w:rsid w:val="00A179BF"/>
    <w:rsid w:val="00A17A30"/>
    <w:rsid w:val="00A17ACC"/>
    <w:rsid w:val="00A20AA1"/>
    <w:rsid w:val="00A20E8C"/>
    <w:rsid w:val="00A218F4"/>
    <w:rsid w:val="00A22484"/>
    <w:rsid w:val="00A2274D"/>
    <w:rsid w:val="00A23936"/>
    <w:rsid w:val="00A24316"/>
    <w:rsid w:val="00A245D0"/>
    <w:rsid w:val="00A2465D"/>
    <w:rsid w:val="00A24C25"/>
    <w:rsid w:val="00A2516C"/>
    <w:rsid w:val="00A25B6E"/>
    <w:rsid w:val="00A261DA"/>
    <w:rsid w:val="00A26215"/>
    <w:rsid w:val="00A264FB"/>
    <w:rsid w:val="00A26696"/>
    <w:rsid w:val="00A271C0"/>
    <w:rsid w:val="00A27550"/>
    <w:rsid w:val="00A27A50"/>
    <w:rsid w:val="00A27CD4"/>
    <w:rsid w:val="00A27E57"/>
    <w:rsid w:val="00A306AE"/>
    <w:rsid w:val="00A312C1"/>
    <w:rsid w:val="00A312F9"/>
    <w:rsid w:val="00A31492"/>
    <w:rsid w:val="00A32646"/>
    <w:rsid w:val="00A33D14"/>
    <w:rsid w:val="00A344FD"/>
    <w:rsid w:val="00A355B4"/>
    <w:rsid w:val="00A35B1C"/>
    <w:rsid w:val="00A35D02"/>
    <w:rsid w:val="00A35EBD"/>
    <w:rsid w:val="00A360A4"/>
    <w:rsid w:val="00A36329"/>
    <w:rsid w:val="00A37280"/>
    <w:rsid w:val="00A4012C"/>
    <w:rsid w:val="00A4030B"/>
    <w:rsid w:val="00A4069D"/>
    <w:rsid w:val="00A40C35"/>
    <w:rsid w:val="00A414E5"/>
    <w:rsid w:val="00A41DFA"/>
    <w:rsid w:val="00A421BB"/>
    <w:rsid w:val="00A42A3D"/>
    <w:rsid w:val="00A42EED"/>
    <w:rsid w:val="00A43246"/>
    <w:rsid w:val="00A433AC"/>
    <w:rsid w:val="00A441BF"/>
    <w:rsid w:val="00A44BA3"/>
    <w:rsid w:val="00A44CEB"/>
    <w:rsid w:val="00A450FB"/>
    <w:rsid w:val="00A4554D"/>
    <w:rsid w:val="00A45D63"/>
    <w:rsid w:val="00A46408"/>
    <w:rsid w:val="00A46EE2"/>
    <w:rsid w:val="00A46EEC"/>
    <w:rsid w:val="00A47406"/>
    <w:rsid w:val="00A505EA"/>
    <w:rsid w:val="00A50E9B"/>
    <w:rsid w:val="00A510A2"/>
    <w:rsid w:val="00A51824"/>
    <w:rsid w:val="00A52151"/>
    <w:rsid w:val="00A521D9"/>
    <w:rsid w:val="00A53876"/>
    <w:rsid w:val="00A53A8B"/>
    <w:rsid w:val="00A550FC"/>
    <w:rsid w:val="00A5603D"/>
    <w:rsid w:val="00A560B4"/>
    <w:rsid w:val="00A56528"/>
    <w:rsid w:val="00A56676"/>
    <w:rsid w:val="00A566B0"/>
    <w:rsid w:val="00A56AB6"/>
    <w:rsid w:val="00A56ECE"/>
    <w:rsid w:val="00A57A4C"/>
    <w:rsid w:val="00A6010D"/>
    <w:rsid w:val="00A601E1"/>
    <w:rsid w:val="00A60770"/>
    <w:rsid w:val="00A6111D"/>
    <w:rsid w:val="00A614D1"/>
    <w:rsid w:val="00A61662"/>
    <w:rsid w:val="00A6198B"/>
    <w:rsid w:val="00A61D19"/>
    <w:rsid w:val="00A626C7"/>
    <w:rsid w:val="00A6419F"/>
    <w:rsid w:val="00A64AA9"/>
    <w:rsid w:val="00A64D7F"/>
    <w:rsid w:val="00A658BE"/>
    <w:rsid w:val="00A66228"/>
    <w:rsid w:val="00A66A87"/>
    <w:rsid w:val="00A66E70"/>
    <w:rsid w:val="00A67988"/>
    <w:rsid w:val="00A702A3"/>
    <w:rsid w:val="00A70E2F"/>
    <w:rsid w:val="00A70E7E"/>
    <w:rsid w:val="00A71B0D"/>
    <w:rsid w:val="00A71B43"/>
    <w:rsid w:val="00A72AC0"/>
    <w:rsid w:val="00A733E1"/>
    <w:rsid w:val="00A73CEE"/>
    <w:rsid w:val="00A74F02"/>
    <w:rsid w:val="00A75D26"/>
    <w:rsid w:val="00A76490"/>
    <w:rsid w:val="00A766F1"/>
    <w:rsid w:val="00A76FC0"/>
    <w:rsid w:val="00A8020D"/>
    <w:rsid w:val="00A803A7"/>
    <w:rsid w:val="00A8048C"/>
    <w:rsid w:val="00A8078A"/>
    <w:rsid w:val="00A80BDE"/>
    <w:rsid w:val="00A80CC4"/>
    <w:rsid w:val="00A81716"/>
    <w:rsid w:val="00A81782"/>
    <w:rsid w:val="00A81924"/>
    <w:rsid w:val="00A824F2"/>
    <w:rsid w:val="00A83F03"/>
    <w:rsid w:val="00A842EC"/>
    <w:rsid w:val="00A84909"/>
    <w:rsid w:val="00A84D89"/>
    <w:rsid w:val="00A84F6D"/>
    <w:rsid w:val="00A85746"/>
    <w:rsid w:val="00A8645B"/>
    <w:rsid w:val="00A8695D"/>
    <w:rsid w:val="00A86C54"/>
    <w:rsid w:val="00A86DF5"/>
    <w:rsid w:val="00A86E97"/>
    <w:rsid w:val="00A876FC"/>
    <w:rsid w:val="00A9035B"/>
    <w:rsid w:val="00A92434"/>
    <w:rsid w:val="00A9273A"/>
    <w:rsid w:val="00A929D9"/>
    <w:rsid w:val="00A92A55"/>
    <w:rsid w:val="00A9359F"/>
    <w:rsid w:val="00A935CF"/>
    <w:rsid w:val="00A94411"/>
    <w:rsid w:val="00A944A8"/>
    <w:rsid w:val="00A9453A"/>
    <w:rsid w:val="00A94F43"/>
    <w:rsid w:val="00A955CF"/>
    <w:rsid w:val="00A959A1"/>
    <w:rsid w:val="00A95A17"/>
    <w:rsid w:val="00A95B11"/>
    <w:rsid w:val="00A95BCA"/>
    <w:rsid w:val="00A95C1A"/>
    <w:rsid w:val="00A96C8E"/>
    <w:rsid w:val="00AA01C2"/>
    <w:rsid w:val="00AA0269"/>
    <w:rsid w:val="00AA060E"/>
    <w:rsid w:val="00AA0E94"/>
    <w:rsid w:val="00AA0F77"/>
    <w:rsid w:val="00AA1044"/>
    <w:rsid w:val="00AA1090"/>
    <w:rsid w:val="00AA145F"/>
    <w:rsid w:val="00AA1B86"/>
    <w:rsid w:val="00AA1CE0"/>
    <w:rsid w:val="00AA2075"/>
    <w:rsid w:val="00AA27A5"/>
    <w:rsid w:val="00AA2A2A"/>
    <w:rsid w:val="00AA2ADE"/>
    <w:rsid w:val="00AA432A"/>
    <w:rsid w:val="00AA4518"/>
    <w:rsid w:val="00AA5623"/>
    <w:rsid w:val="00AA56B1"/>
    <w:rsid w:val="00AA5806"/>
    <w:rsid w:val="00AA6070"/>
    <w:rsid w:val="00AA6A73"/>
    <w:rsid w:val="00AA6B88"/>
    <w:rsid w:val="00AA6E2C"/>
    <w:rsid w:val="00AA7A87"/>
    <w:rsid w:val="00AB02A3"/>
    <w:rsid w:val="00AB0357"/>
    <w:rsid w:val="00AB03B3"/>
    <w:rsid w:val="00AB04B7"/>
    <w:rsid w:val="00AB07FC"/>
    <w:rsid w:val="00AB08EE"/>
    <w:rsid w:val="00AB0AD5"/>
    <w:rsid w:val="00AB1897"/>
    <w:rsid w:val="00AB1A2E"/>
    <w:rsid w:val="00AB1B93"/>
    <w:rsid w:val="00AB2192"/>
    <w:rsid w:val="00AB2AEC"/>
    <w:rsid w:val="00AB336B"/>
    <w:rsid w:val="00AB3484"/>
    <w:rsid w:val="00AB35CA"/>
    <w:rsid w:val="00AB3AD6"/>
    <w:rsid w:val="00AB45CE"/>
    <w:rsid w:val="00AB4A3F"/>
    <w:rsid w:val="00AB4D70"/>
    <w:rsid w:val="00AB4DC1"/>
    <w:rsid w:val="00AB579B"/>
    <w:rsid w:val="00AB5E48"/>
    <w:rsid w:val="00AB6082"/>
    <w:rsid w:val="00AB615A"/>
    <w:rsid w:val="00AB6546"/>
    <w:rsid w:val="00AB70D6"/>
    <w:rsid w:val="00AB7E2E"/>
    <w:rsid w:val="00AC054F"/>
    <w:rsid w:val="00AC0726"/>
    <w:rsid w:val="00AC08E6"/>
    <w:rsid w:val="00AC0A86"/>
    <w:rsid w:val="00AC0C12"/>
    <w:rsid w:val="00AC19FB"/>
    <w:rsid w:val="00AC1FD0"/>
    <w:rsid w:val="00AC2AAB"/>
    <w:rsid w:val="00AC2EF1"/>
    <w:rsid w:val="00AC3473"/>
    <w:rsid w:val="00AC3653"/>
    <w:rsid w:val="00AC36B6"/>
    <w:rsid w:val="00AC38A6"/>
    <w:rsid w:val="00AC3AB0"/>
    <w:rsid w:val="00AC4B45"/>
    <w:rsid w:val="00AC630B"/>
    <w:rsid w:val="00AC6401"/>
    <w:rsid w:val="00AC68EF"/>
    <w:rsid w:val="00AC69C1"/>
    <w:rsid w:val="00AC6A24"/>
    <w:rsid w:val="00AC740C"/>
    <w:rsid w:val="00AC78A2"/>
    <w:rsid w:val="00AC7B28"/>
    <w:rsid w:val="00AC7B5C"/>
    <w:rsid w:val="00AD076D"/>
    <w:rsid w:val="00AD0C8F"/>
    <w:rsid w:val="00AD0DC4"/>
    <w:rsid w:val="00AD1676"/>
    <w:rsid w:val="00AD204D"/>
    <w:rsid w:val="00AD27BA"/>
    <w:rsid w:val="00AD29BF"/>
    <w:rsid w:val="00AD2B7D"/>
    <w:rsid w:val="00AD3A1F"/>
    <w:rsid w:val="00AD3AAF"/>
    <w:rsid w:val="00AD4054"/>
    <w:rsid w:val="00AD46B7"/>
    <w:rsid w:val="00AD4CD4"/>
    <w:rsid w:val="00AD4F3C"/>
    <w:rsid w:val="00AD5101"/>
    <w:rsid w:val="00AD6800"/>
    <w:rsid w:val="00AD694E"/>
    <w:rsid w:val="00AD6C51"/>
    <w:rsid w:val="00AD6E10"/>
    <w:rsid w:val="00AD7332"/>
    <w:rsid w:val="00AD7900"/>
    <w:rsid w:val="00AD7916"/>
    <w:rsid w:val="00AE02E5"/>
    <w:rsid w:val="00AE065D"/>
    <w:rsid w:val="00AE075F"/>
    <w:rsid w:val="00AE0784"/>
    <w:rsid w:val="00AE08FD"/>
    <w:rsid w:val="00AE1098"/>
    <w:rsid w:val="00AE1469"/>
    <w:rsid w:val="00AE1916"/>
    <w:rsid w:val="00AE1B7F"/>
    <w:rsid w:val="00AE1EEC"/>
    <w:rsid w:val="00AE248F"/>
    <w:rsid w:val="00AE264E"/>
    <w:rsid w:val="00AE2BBE"/>
    <w:rsid w:val="00AE31AD"/>
    <w:rsid w:val="00AE3230"/>
    <w:rsid w:val="00AE3656"/>
    <w:rsid w:val="00AE397B"/>
    <w:rsid w:val="00AE4274"/>
    <w:rsid w:val="00AE4283"/>
    <w:rsid w:val="00AE50BB"/>
    <w:rsid w:val="00AE57F9"/>
    <w:rsid w:val="00AE5B88"/>
    <w:rsid w:val="00AE6EE4"/>
    <w:rsid w:val="00AE730A"/>
    <w:rsid w:val="00AE7370"/>
    <w:rsid w:val="00AE7CF2"/>
    <w:rsid w:val="00AE7F7D"/>
    <w:rsid w:val="00AF14FA"/>
    <w:rsid w:val="00AF170A"/>
    <w:rsid w:val="00AF1A6E"/>
    <w:rsid w:val="00AF1AD3"/>
    <w:rsid w:val="00AF2A2A"/>
    <w:rsid w:val="00AF2B67"/>
    <w:rsid w:val="00AF36F7"/>
    <w:rsid w:val="00AF3C9C"/>
    <w:rsid w:val="00AF3FCA"/>
    <w:rsid w:val="00AF43A3"/>
    <w:rsid w:val="00AF48E5"/>
    <w:rsid w:val="00AF5007"/>
    <w:rsid w:val="00AF5162"/>
    <w:rsid w:val="00AF5717"/>
    <w:rsid w:val="00AF6297"/>
    <w:rsid w:val="00AF697A"/>
    <w:rsid w:val="00AF7715"/>
    <w:rsid w:val="00AF7A51"/>
    <w:rsid w:val="00AF7EDD"/>
    <w:rsid w:val="00B000DE"/>
    <w:rsid w:val="00B0018A"/>
    <w:rsid w:val="00B0024D"/>
    <w:rsid w:val="00B009C1"/>
    <w:rsid w:val="00B009DF"/>
    <w:rsid w:val="00B01FB7"/>
    <w:rsid w:val="00B027CD"/>
    <w:rsid w:val="00B0301B"/>
    <w:rsid w:val="00B03081"/>
    <w:rsid w:val="00B03BD8"/>
    <w:rsid w:val="00B03C22"/>
    <w:rsid w:val="00B03C91"/>
    <w:rsid w:val="00B03D44"/>
    <w:rsid w:val="00B03E74"/>
    <w:rsid w:val="00B04B82"/>
    <w:rsid w:val="00B04BD2"/>
    <w:rsid w:val="00B04DF8"/>
    <w:rsid w:val="00B04E0F"/>
    <w:rsid w:val="00B06044"/>
    <w:rsid w:val="00B07626"/>
    <w:rsid w:val="00B07C20"/>
    <w:rsid w:val="00B07FA3"/>
    <w:rsid w:val="00B1019A"/>
    <w:rsid w:val="00B1043F"/>
    <w:rsid w:val="00B10BBC"/>
    <w:rsid w:val="00B11A76"/>
    <w:rsid w:val="00B11E5C"/>
    <w:rsid w:val="00B129AF"/>
    <w:rsid w:val="00B12BD0"/>
    <w:rsid w:val="00B13005"/>
    <w:rsid w:val="00B132DE"/>
    <w:rsid w:val="00B13D81"/>
    <w:rsid w:val="00B14EE4"/>
    <w:rsid w:val="00B157E1"/>
    <w:rsid w:val="00B158F9"/>
    <w:rsid w:val="00B15C87"/>
    <w:rsid w:val="00B16A05"/>
    <w:rsid w:val="00B16F26"/>
    <w:rsid w:val="00B17022"/>
    <w:rsid w:val="00B17BED"/>
    <w:rsid w:val="00B17D44"/>
    <w:rsid w:val="00B210DE"/>
    <w:rsid w:val="00B21353"/>
    <w:rsid w:val="00B21568"/>
    <w:rsid w:val="00B225A1"/>
    <w:rsid w:val="00B225CC"/>
    <w:rsid w:val="00B2291A"/>
    <w:rsid w:val="00B229E1"/>
    <w:rsid w:val="00B22CAA"/>
    <w:rsid w:val="00B23424"/>
    <w:rsid w:val="00B23718"/>
    <w:rsid w:val="00B23C0C"/>
    <w:rsid w:val="00B242A9"/>
    <w:rsid w:val="00B247D5"/>
    <w:rsid w:val="00B2556D"/>
    <w:rsid w:val="00B25A29"/>
    <w:rsid w:val="00B25ACB"/>
    <w:rsid w:val="00B25ECF"/>
    <w:rsid w:val="00B26215"/>
    <w:rsid w:val="00B263A0"/>
    <w:rsid w:val="00B263FD"/>
    <w:rsid w:val="00B26C0E"/>
    <w:rsid w:val="00B27007"/>
    <w:rsid w:val="00B27429"/>
    <w:rsid w:val="00B27E0F"/>
    <w:rsid w:val="00B3029E"/>
    <w:rsid w:val="00B3077D"/>
    <w:rsid w:val="00B30E17"/>
    <w:rsid w:val="00B30E1A"/>
    <w:rsid w:val="00B31258"/>
    <w:rsid w:val="00B3154D"/>
    <w:rsid w:val="00B31733"/>
    <w:rsid w:val="00B31766"/>
    <w:rsid w:val="00B3213F"/>
    <w:rsid w:val="00B32199"/>
    <w:rsid w:val="00B32280"/>
    <w:rsid w:val="00B3286F"/>
    <w:rsid w:val="00B34086"/>
    <w:rsid w:val="00B35686"/>
    <w:rsid w:val="00B3577B"/>
    <w:rsid w:val="00B35CE1"/>
    <w:rsid w:val="00B3680A"/>
    <w:rsid w:val="00B36E84"/>
    <w:rsid w:val="00B3773F"/>
    <w:rsid w:val="00B377F0"/>
    <w:rsid w:val="00B406E9"/>
    <w:rsid w:val="00B40814"/>
    <w:rsid w:val="00B409A3"/>
    <w:rsid w:val="00B40A14"/>
    <w:rsid w:val="00B40DA1"/>
    <w:rsid w:val="00B412AE"/>
    <w:rsid w:val="00B413D6"/>
    <w:rsid w:val="00B41EC4"/>
    <w:rsid w:val="00B42720"/>
    <w:rsid w:val="00B4324A"/>
    <w:rsid w:val="00B433D1"/>
    <w:rsid w:val="00B43490"/>
    <w:rsid w:val="00B435DA"/>
    <w:rsid w:val="00B43690"/>
    <w:rsid w:val="00B43777"/>
    <w:rsid w:val="00B43C60"/>
    <w:rsid w:val="00B44254"/>
    <w:rsid w:val="00B4461D"/>
    <w:rsid w:val="00B446E8"/>
    <w:rsid w:val="00B447AE"/>
    <w:rsid w:val="00B449B5"/>
    <w:rsid w:val="00B45A1E"/>
    <w:rsid w:val="00B45A9B"/>
    <w:rsid w:val="00B45D10"/>
    <w:rsid w:val="00B46539"/>
    <w:rsid w:val="00B476FE"/>
    <w:rsid w:val="00B47B2B"/>
    <w:rsid w:val="00B47D8F"/>
    <w:rsid w:val="00B47DF0"/>
    <w:rsid w:val="00B47E8F"/>
    <w:rsid w:val="00B508D1"/>
    <w:rsid w:val="00B50F88"/>
    <w:rsid w:val="00B511BE"/>
    <w:rsid w:val="00B51869"/>
    <w:rsid w:val="00B51B0C"/>
    <w:rsid w:val="00B51D6E"/>
    <w:rsid w:val="00B51EBA"/>
    <w:rsid w:val="00B5261C"/>
    <w:rsid w:val="00B53226"/>
    <w:rsid w:val="00B53B99"/>
    <w:rsid w:val="00B53F8E"/>
    <w:rsid w:val="00B5483C"/>
    <w:rsid w:val="00B54A18"/>
    <w:rsid w:val="00B5585B"/>
    <w:rsid w:val="00B55877"/>
    <w:rsid w:val="00B55EE3"/>
    <w:rsid w:val="00B567B1"/>
    <w:rsid w:val="00B568B2"/>
    <w:rsid w:val="00B569D2"/>
    <w:rsid w:val="00B56C24"/>
    <w:rsid w:val="00B56C43"/>
    <w:rsid w:val="00B5767B"/>
    <w:rsid w:val="00B57774"/>
    <w:rsid w:val="00B60033"/>
    <w:rsid w:val="00B60439"/>
    <w:rsid w:val="00B60697"/>
    <w:rsid w:val="00B609C8"/>
    <w:rsid w:val="00B6134F"/>
    <w:rsid w:val="00B615F6"/>
    <w:rsid w:val="00B621A2"/>
    <w:rsid w:val="00B62606"/>
    <w:rsid w:val="00B62733"/>
    <w:rsid w:val="00B62A45"/>
    <w:rsid w:val="00B631EC"/>
    <w:rsid w:val="00B6431E"/>
    <w:rsid w:val="00B6454B"/>
    <w:rsid w:val="00B65771"/>
    <w:rsid w:val="00B6647E"/>
    <w:rsid w:val="00B66E88"/>
    <w:rsid w:val="00B66FE6"/>
    <w:rsid w:val="00B67AB9"/>
    <w:rsid w:val="00B701A0"/>
    <w:rsid w:val="00B70285"/>
    <w:rsid w:val="00B702CE"/>
    <w:rsid w:val="00B704D4"/>
    <w:rsid w:val="00B7080A"/>
    <w:rsid w:val="00B71313"/>
    <w:rsid w:val="00B71655"/>
    <w:rsid w:val="00B721A7"/>
    <w:rsid w:val="00B72638"/>
    <w:rsid w:val="00B72EBD"/>
    <w:rsid w:val="00B73739"/>
    <w:rsid w:val="00B73C56"/>
    <w:rsid w:val="00B74472"/>
    <w:rsid w:val="00B75147"/>
    <w:rsid w:val="00B75818"/>
    <w:rsid w:val="00B76693"/>
    <w:rsid w:val="00B76AAD"/>
    <w:rsid w:val="00B76D1E"/>
    <w:rsid w:val="00B76F42"/>
    <w:rsid w:val="00B776AB"/>
    <w:rsid w:val="00B77B07"/>
    <w:rsid w:val="00B804F1"/>
    <w:rsid w:val="00B80A04"/>
    <w:rsid w:val="00B80F16"/>
    <w:rsid w:val="00B818B1"/>
    <w:rsid w:val="00B818DE"/>
    <w:rsid w:val="00B82247"/>
    <w:rsid w:val="00B822A0"/>
    <w:rsid w:val="00B822D9"/>
    <w:rsid w:val="00B8251B"/>
    <w:rsid w:val="00B8291D"/>
    <w:rsid w:val="00B8295A"/>
    <w:rsid w:val="00B82E15"/>
    <w:rsid w:val="00B83345"/>
    <w:rsid w:val="00B83490"/>
    <w:rsid w:val="00B84627"/>
    <w:rsid w:val="00B85555"/>
    <w:rsid w:val="00B873CB"/>
    <w:rsid w:val="00B875D3"/>
    <w:rsid w:val="00B87DC8"/>
    <w:rsid w:val="00B90533"/>
    <w:rsid w:val="00B906B5"/>
    <w:rsid w:val="00B90BA9"/>
    <w:rsid w:val="00B91AFC"/>
    <w:rsid w:val="00B91B11"/>
    <w:rsid w:val="00B92770"/>
    <w:rsid w:val="00B92BA3"/>
    <w:rsid w:val="00B933CB"/>
    <w:rsid w:val="00B93A66"/>
    <w:rsid w:val="00B93D77"/>
    <w:rsid w:val="00B94D84"/>
    <w:rsid w:val="00B9561E"/>
    <w:rsid w:val="00B95CC4"/>
    <w:rsid w:val="00B95E1B"/>
    <w:rsid w:val="00B9634D"/>
    <w:rsid w:val="00B972FF"/>
    <w:rsid w:val="00B9750F"/>
    <w:rsid w:val="00B97B15"/>
    <w:rsid w:val="00BA05F4"/>
    <w:rsid w:val="00BA09E5"/>
    <w:rsid w:val="00BA11B2"/>
    <w:rsid w:val="00BA179C"/>
    <w:rsid w:val="00BA1C18"/>
    <w:rsid w:val="00BA22B5"/>
    <w:rsid w:val="00BA2334"/>
    <w:rsid w:val="00BA238A"/>
    <w:rsid w:val="00BA2617"/>
    <w:rsid w:val="00BA2689"/>
    <w:rsid w:val="00BA2EB6"/>
    <w:rsid w:val="00BA35DB"/>
    <w:rsid w:val="00BA3676"/>
    <w:rsid w:val="00BA3DA9"/>
    <w:rsid w:val="00BA3EEC"/>
    <w:rsid w:val="00BA3F3A"/>
    <w:rsid w:val="00BA4176"/>
    <w:rsid w:val="00BA46B1"/>
    <w:rsid w:val="00BA4E3A"/>
    <w:rsid w:val="00BA5057"/>
    <w:rsid w:val="00BA5321"/>
    <w:rsid w:val="00BA5B85"/>
    <w:rsid w:val="00BA5F87"/>
    <w:rsid w:val="00BA640C"/>
    <w:rsid w:val="00BA79F7"/>
    <w:rsid w:val="00BA7EB9"/>
    <w:rsid w:val="00BB00C0"/>
    <w:rsid w:val="00BB05CD"/>
    <w:rsid w:val="00BB0DE3"/>
    <w:rsid w:val="00BB12B4"/>
    <w:rsid w:val="00BB1455"/>
    <w:rsid w:val="00BB1683"/>
    <w:rsid w:val="00BB223D"/>
    <w:rsid w:val="00BB314D"/>
    <w:rsid w:val="00BB3273"/>
    <w:rsid w:val="00BB33A0"/>
    <w:rsid w:val="00BB39A7"/>
    <w:rsid w:val="00BB3DC4"/>
    <w:rsid w:val="00BB468B"/>
    <w:rsid w:val="00BB50C8"/>
    <w:rsid w:val="00BB5A4F"/>
    <w:rsid w:val="00BB5BDC"/>
    <w:rsid w:val="00BB5F4F"/>
    <w:rsid w:val="00BB6613"/>
    <w:rsid w:val="00BB67A7"/>
    <w:rsid w:val="00BB688E"/>
    <w:rsid w:val="00BB731F"/>
    <w:rsid w:val="00BB753F"/>
    <w:rsid w:val="00BB765C"/>
    <w:rsid w:val="00BC01EE"/>
    <w:rsid w:val="00BC03F9"/>
    <w:rsid w:val="00BC1028"/>
    <w:rsid w:val="00BC111E"/>
    <w:rsid w:val="00BC183F"/>
    <w:rsid w:val="00BC1B81"/>
    <w:rsid w:val="00BC1D64"/>
    <w:rsid w:val="00BC20C0"/>
    <w:rsid w:val="00BC255B"/>
    <w:rsid w:val="00BC3106"/>
    <w:rsid w:val="00BC39D1"/>
    <w:rsid w:val="00BC4A68"/>
    <w:rsid w:val="00BC524A"/>
    <w:rsid w:val="00BC57A0"/>
    <w:rsid w:val="00BC6367"/>
    <w:rsid w:val="00BC66D9"/>
    <w:rsid w:val="00BC6C1F"/>
    <w:rsid w:val="00BC7209"/>
    <w:rsid w:val="00BD0085"/>
    <w:rsid w:val="00BD00CB"/>
    <w:rsid w:val="00BD12B1"/>
    <w:rsid w:val="00BD12DE"/>
    <w:rsid w:val="00BD1463"/>
    <w:rsid w:val="00BD1986"/>
    <w:rsid w:val="00BD26B8"/>
    <w:rsid w:val="00BD28A9"/>
    <w:rsid w:val="00BD2DFA"/>
    <w:rsid w:val="00BD30C7"/>
    <w:rsid w:val="00BD32AE"/>
    <w:rsid w:val="00BD33C4"/>
    <w:rsid w:val="00BD3937"/>
    <w:rsid w:val="00BD39D6"/>
    <w:rsid w:val="00BD3C88"/>
    <w:rsid w:val="00BD401A"/>
    <w:rsid w:val="00BD42DF"/>
    <w:rsid w:val="00BD4637"/>
    <w:rsid w:val="00BD49FE"/>
    <w:rsid w:val="00BD53C5"/>
    <w:rsid w:val="00BD5C4F"/>
    <w:rsid w:val="00BD60A2"/>
    <w:rsid w:val="00BD63D5"/>
    <w:rsid w:val="00BD68E0"/>
    <w:rsid w:val="00BD6A01"/>
    <w:rsid w:val="00BD6D82"/>
    <w:rsid w:val="00BD7159"/>
    <w:rsid w:val="00BD7828"/>
    <w:rsid w:val="00BD7AC4"/>
    <w:rsid w:val="00BE0722"/>
    <w:rsid w:val="00BE0913"/>
    <w:rsid w:val="00BE0FA0"/>
    <w:rsid w:val="00BE165D"/>
    <w:rsid w:val="00BE1A27"/>
    <w:rsid w:val="00BE1C18"/>
    <w:rsid w:val="00BE1E32"/>
    <w:rsid w:val="00BE20AD"/>
    <w:rsid w:val="00BE243F"/>
    <w:rsid w:val="00BE342B"/>
    <w:rsid w:val="00BE365C"/>
    <w:rsid w:val="00BE4020"/>
    <w:rsid w:val="00BE4191"/>
    <w:rsid w:val="00BE445E"/>
    <w:rsid w:val="00BE47D0"/>
    <w:rsid w:val="00BE5B34"/>
    <w:rsid w:val="00BE5EA1"/>
    <w:rsid w:val="00BE600F"/>
    <w:rsid w:val="00BE736B"/>
    <w:rsid w:val="00BE7803"/>
    <w:rsid w:val="00BF0B90"/>
    <w:rsid w:val="00BF0CE5"/>
    <w:rsid w:val="00BF1D5F"/>
    <w:rsid w:val="00BF1E0F"/>
    <w:rsid w:val="00BF2940"/>
    <w:rsid w:val="00BF329E"/>
    <w:rsid w:val="00BF497A"/>
    <w:rsid w:val="00BF51C9"/>
    <w:rsid w:val="00BF5745"/>
    <w:rsid w:val="00BF5CE3"/>
    <w:rsid w:val="00BF5D97"/>
    <w:rsid w:val="00BF64FD"/>
    <w:rsid w:val="00BF66E7"/>
    <w:rsid w:val="00BF678B"/>
    <w:rsid w:val="00BF6D03"/>
    <w:rsid w:val="00BF6D95"/>
    <w:rsid w:val="00BF7426"/>
    <w:rsid w:val="00BF7442"/>
    <w:rsid w:val="00BF74D5"/>
    <w:rsid w:val="00BF75A3"/>
    <w:rsid w:val="00BF78A9"/>
    <w:rsid w:val="00C0012E"/>
    <w:rsid w:val="00C001B0"/>
    <w:rsid w:val="00C007CF"/>
    <w:rsid w:val="00C00D26"/>
    <w:rsid w:val="00C01344"/>
    <w:rsid w:val="00C01A47"/>
    <w:rsid w:val="00C01AD8"/>
    <w:rsid w:val="00C01C02"/>
    <w:rsid w:val="00C02538"/>
    <w:rsid w:val="00C0269C"/>
    <w:rsid w:val="00C02B28"/>
    <w:rsid w:val="00C02F76"/>
    <w:rsid w:val="00C03684"/>
    <w:rsid w:val="00C03F30"/>
    <w:rsid w:val="00C04319"/>
    <w:rsid w:val="00C0593E"/>
    <w:rsid w:val="00C059E8"/>
    <w:rsid w:val="00C069FE"/>
    <w:rsid w:val="00C0724F"/>
    <w:rsid w:val="00C074AD"/>
    <w:rsid w:val="00C07560"/>
    <w:rsid w:val="00C075DB"/>
    <w:rsid w:val="00C07E75"/>
    <w:rsid w:val="00C10621"/>
    <w:rsid w:val="00C1166D"/>
    <w:rsid w:val="00C11731"/>
    <w:rsid w:val="00C119A0"/>
    <w:rsid w:val="00C123A6"/>
    <w:rsid w:val="00C13CFE"/>
    <w:rsid w:val="00C1484A"/>
    <w:rsid w:val="00C15D89"/>
    <w:rsid w:val="00C16F8E"/>
    <w:rsid w:val="00C17CC4"/>
    <w:rsid w:val="00C20906"/>
    <w:rsid w:val="00C20BAB"/>
    <w:rsid w:val="00C21453"/>
    <w:rsid w:val="00C21943"/>
    <w:rsid w:val="00C21B2B"/>
    <w:rsid w:val="00C22416"/>
    <w:rsid w:val="00C23092"/>
    <w:rsid w:val="00C230F6"/>
    <w:rsid w:val="00C238DB"/>
    <w:rsid w:val="00C23FAB"/>
    <w:rsid w:val="00C24C9D"/>
    <w:rsid w:val="00C2568C"/>
    <w:rsid w:val="00C2590B"/>
    <w:rsid w:val="00C25A20"/>
    <w:rsid w:val="00C25C89"/>
    <w:rsid w:val="00C25DFB"/>
    <w:rsid w:val="00C25FB9"/>
    <w:rsid w:val="00C262A4"/>
    <w:rsid w:val="00C264F6"/>
    <w:rsid w:val="00C26B07"/>
    <w:rsid w:val="00C2715E"/>
    <w:rsid w:val="00C2799E"/>
    <w:rsid w:val="00C27C61"/>
    <w:rsid w:val="00C27DA1"/>
    <w:rsid w:val="00C300F2"/>
    <w:rsid w:val="00C30C36"/>
    <w:rsid w:val="00C322A3"/>
    <w:rsid w:val="00C326FE"/>
    <w:rsid w:val="00C329A0"/>
    <w:rsid w:val="00C330CA"/>
    <w:rsid w:val="00C33309"/>
    <w:rsid w:val="00C3342D"/>
    <w:rsid w:val="00C36C74"/>
    <w:rsid w:val="00C37D1E"/>
    <w:rsid w:val="00C407EE"/>
    <w:rsid w:val="00C40869"/>
    <w:rsid w:val="00C408EA"/>
    <w:rsid w:val="00C40F22"/>
    <w:rsid w:val="00C4169B"/>
    <w:rsid w:val="00C419F9"/>
    <w:rsid w:val="00C41A39"/>
    <w:rsid w:val="00C41F50"/>
    <w:rsid w:val="00C424CF"/>
    <w:rsid w:val="00C425FE"/>
    <w:rsid w:val="00C42CA0"/>
    <w:rsid w:val="00C42CB3"/>
    <w:rsid w:val="00C43E9C"/>
    <w:rsid w:val="00C44862"/>
    <w:rsid w:val="00C4486B"/>
    <w:rsid w:val="00C45261"/>
    <w:rsid w:val="00C4675B"/>
    <w:rsid w:val="00C46917"/>
    <w:rsid w:val="00C46AF1"/>
    <w:rsid w:val="00C47141"/>
    <w:rsid w:val="00C47156"/>
    <w:rsid w:val="00C474ED"/>
    <w:rsid w:val="00C4764C"/>
    <w:rsid w:val="00C47CD5"/>
    <w:rsid w:val="00C47E50"/>
    <w:rsid w:val="00C501CC"/>
    <w:rsid w:val="00C509DA"/>
    <w:rsid w:val="00C50BA5"/>
    <w:rsid w:val="00C513DF"/>
    <w:rsid w:val="00C5189E"/>
    <w:rsid w:val="00C51B3D"/>
    <w:rsid w:val="00C52045"/>
    <w:rsid w:val="00C520FC"/>
    <w:rsid w:val="00C52ABC"/>
    <w:rsid w:val="00C52C1C"/>
    <w:rsid w:val="00C53890"/>
    <w:rsid w:val="00C54348"/>
    <w:rsid w:val="00C54362"/>
    <w:rsid w:val="00C565A9"/>
    <w:rsid w:val="00C56AA9"/>
    <w:rsid w:val="00C56E94"/>
    <w:rsid w:val="00C5765E"/>
    <w:rsid w:val="00C57826"/>
    <w:rsid w:val="00C57B27"/>
    <w:rsid w:val="00C61376"/>
    <w:rsid w:val="00C61C4F"/>
    <w:rsid w:val="00C61DAD"/>
    <w:rsid w:val="00C6259A"/>
    <w:rsid w:val="00C62759"/>
    <w:rsid w:val="00C62F17"/>
    <w:rsid w:val="00C6314B"/>
    <w:rsid w:val="00C6398E"/>
    <w:rsid w:val="00C63A68"/>
    <w:rsid w:val="00C643E4"/>
    <w:rsid w:val="00C64577"/>
    <w:rsid w:val="00C64A69"/>
    <w:rsid w:val="00C64DA0"/>
    <w:rsid w:val="00C650CD"/>
    <w:rsid w:val="00C66997"/>
    <w:rsid w:val="00C66B3A"/>
    <w:rsid w:val="00C66E8E"/>
    <w:rsid w:val="00C66EB8"/>
    <w:rsid w:val="00C67268"/>
    <w:rsid w:val="00C678D6"/>
    <w:rsid w:val="00C67EAF"/>
    <w:rsid w:val="00C70768"/>
    <w:rsid w:val="00C70ACC"/>
    <w:rsid w:val="00C7181D"/>
    <w:rsid w:val="00C71AA4"/>
    <w:rsid w:val="00C71DED"/>
    <w:rsid w:val="00C72377"/>
    <w:rsid w:val="00C72FCB"/>
    <w:rsid w:val="00C73505"/>
    <w:rsid w:val="00C735A7"/>
    <w:rsid w:val="00C73DA4"/>
    <w:rsid w:val="00C73EE5"/>
    <w:rsid w:val="00C743C2"/>
    <w:rsid w:val="00C74F14"/>
    <w:rsid w:val="00C76367"/>
    <w:rsid w:val="00C7637D"/>
    <w:rsid w:val="00C76863"/>
    <w:rsid w:val="00C7697A"/>
    <w:rsid w:val="00C76DCC"/>
    <w:rsid w:val="00C77042"/>
    <w:rsid w:val="00C771D2"/>
    <w:rsid w:val="00C801A0"/>
    <w:rsid w:val="00C80867"/>
    <w:rsid w:val="00C80BA9"/>
    <w:rsid w:val="00C81173"/>
    <w:rsid w:val="00C814CD"/>
    <w:rsid w:val="00C816EB"/>
    <w:rsid w:val="00C818F3"/>
    <w:rsid w:val="00C819DC"/>
    <w:rsid w:val="00C82312"/>
    <w:rsid w:val="00C8331E"/>
    <w:rsid w:val="00C83C77"/>
    <w:rsid w:val="00C83D99"/>
    <w:rsid w:val="00C84661"/>
    <w:rsid w:val="00C84811"/>
    <w:rsid w:val="00C85384"/>
    <w:rsid w:val="00C855EE"/>
    <w:rsid w:val="00C85962"/>
    <w:rsid w:val="00C86903"/>
    <w:rsid w:val="00C86EE8"/>
    <w:rsid w:val="00C87E94"/>
    <w:rsid w:val="00C90884"/>
    <w:rsid w:val="00C90A43"/>
    <w:rsid w:val="00C90C38"/>
    <w:rsid w:val="00C914EF"/>
    <w:rsid w:val="00C91AC8"/>
    <w:rsid w:val="00C91C80"/>
    <w:rsid w:val="00C91CE1"/>
    <w:rsid w:val="00C924FA"/>
    <w:rsid w:val="00C92977"/>
    <w:rsid w:val="00C93146"/>
    <w:rsid w:val="00C941CF"/>
    <w:rsid w:val="00C94203"/>
    <w:rsid w:val="00C9493E"/>
    <w:rsid w:val="00C94AC3"/>
    <w:rsid w:val="00C954BE"/>
    <w:rsid w:val="00C95834"/>
    <w:rsid w:val="00C9688A"/>
    <w:rsid w:val="00C96CCA"/>
    <w:rsid w:val="00CA00D5"/>
    <w:rsid w:val="00CA1751"/>
    <w:rsid w:val="00CA1B79"/>
    <w:rsid w:val="00CA1C38"/>
    <w:rsid w:val="00CA497A"/>
    <w:rsid w:val="00CA4B68"/>
    <w:rsid w:val="00CA4CDC"/>
    <w:rsid w:val="00CA522B"/>
    <w:rsid w:val="00CA538F"/>
    <w:rsid w:val="00CA57C3"/>
    <w:rsid w:val="00CA57D4"/>
    <w:rsid w:val="00CA5BC7"/>
    <w:rsid w:val="00CA6166"/>
    <w:rsid w:val="00CA6B28"/>
    <w:rsid w:val="00CA6C00"/>
    <w:rsid w:val="00CA7491"/>
    <w:rsid w:val="00CA7D80"/>
    <w:rsid w:val="00CB07CF"/>
    <w:rsid w:val="00CB08E3"/>
    <w:rsid w:val="00CB248A"/>
    <w:rsid w:val="00CB2E93"/>
    <w:rsid w:val="00CB3094"/>
    <w:rsid w:val="00CB30D7"/>
    <w:rsid w:val="00CB31A9"/>
    <w:rsid w:val="00CB33C4"/>
    <w:rsid w:val="00CB3A0C"/>
    <w:rsid w:val="00CB3A8F"/>
    <w:rsid w:val="00CB3D10"/>
    <w:rsid w:val="00CB41DD"/>
    <w:rsid w:val="00CB434A"/>
    <w:rsid w:val="00CB493E"/>
    <w:rsid w:val="00CB4ABD"/>
    <w:rsid w:val="00CB4FB9"/>
    <w:rsid w:val="00CB50E5"/>
    <w:rsid w:val="00CB53D1"/>
    <w:rsid w:val="00CB5935"/>
    <w:rsid w:val="00CB59E8"/>
    <w:rsid w:val="00CB5ADC"/>
    <w:rsid w:val="00CB5AF6"/>
    <w:rsid w:val="00CB5B03"/>
    <w:rsid w:val="00CB5ED4"/>
    <w:rsid w:val="00CB61C5"/>
    <w:rsid w:val="00CB6C11"/>
    <w:rsid w:val="00CB71E7"/>
    <w:rsid w:val="00CB75E5"/>
    <w:rsid w:val="00CB7872"/>
    <w:rsid w:val="00CB7C41"/>
    <w:rsid w:val="00CC0191"/>
    <w:rsid w:val="00CC0BC5"/>
    <w:rsid w:val="00CC0C25"/>
    <w:rsid w:val="00CC0F78"/>
    <w:rsid w:val="00CC182E"/>
    <w:rsid w:val="00CC2523"/>
    <w:rsid w:val="00CC2645"/>
    <w:rsid w:val="00CC269B"/>
    <w:rsid w:val="00CC29F3"/>
    <w:rsid w:val="00CC2F97"/>
    <w:rsid w:val="00CC3875"/>
    <w:rsid w:val="00CC3B09"/>
    <w:rsid w:val="00CC3F4A"/>
    <w:rsid w:val="00CC4217"/>
    <w:rsid w:val="00CC44B2"/>
    <w:rsid w:val="00CC4BC4"/>
    <w:rsid w:val="00CC4C27"/>
    <w:rsid w:val="00CC50A6"/>
    <w:rsid w:val="00CC54C3"/>
    <w:rsid w:val="00CC56FA"/>
    <w:rsid w:val="00CC5C59"/>
    <w:rsid w:val="00CC5EC1"/>
    <w:rsid w:val="00CC6427"/>
    <w:rsid w:val="00CC708D"/>
    <w:rsid w:val="00CC7233"/>
    <w:rsid w:val="00CC7791"/>
    <w:rsid w:val="00CD000B"/>
    <w:rsid w:val="00CD0A43"/>
    <w:rsid w:val="00CD0C80"/>
    <w:rsid w:val="00CD1784"/>
    <w:rsid w:val="00CD235D"/>
    <w:rsid w:val="00CD2416"/>
    <w:rsid w:val="00CD2878"/>
    <w:rsid w:val="00CD452F"/>
    <w:rsid w:val="00CD4623"/>
    <w:rsid w:val="00CD5591"/>
    <w:rsid w:val="00CD5595"/>
    <w:rsid w:val="00CD5BBB"/>
    <w:rsid w:val="00CD69F7"/>
    <w:rsid w:val="00CD70F3"/>
    <w:rsid w:val="00CD7336"/>
    <w:rsid w:val="00CD7AF1"/>
    <w:rsid w:val="00CE0032"/>
    <w:rsid w:val="00CE10CC"/>
    <w:rsid w:val="00CE1599"/>
    <w:rsid w:val="00CE15EA"/>
    <w:rsid w:val="00CE1639"/>
    <w:rsid w:val="00CE1A71"/>
    <w:rsid w:val="00CE21B8"/>
    <w:rsid w:val="00CE23F9"/>
    <w:rsid w:val="00CE269E"/>
    <w:rsid w:val="00CE2C7A"/>
    <w:rsid w:val="00CE2F57"/>
    <w:rsid w:val="00CE2FCF"/>
    <w:rsid w:val="00CE3ABA"/>
    <w:rsid w:val="00CE3B8D"/>
    <w:rsid w:val="00CE4150"/>
    <w:rsid w:val="00CE4AD9"/>
    <w:rsid w:val="00CE59EF"/>
    <w:rsid w:val="00CE5BD7"/>
    <w:rsid w:val="00CE6071"/>
    <w:rsid w:val="00CE67A5"/>
    <w:rsid w:val="00CE6F52"/>
    <w:rsid w:val="00CE7201"/>
    <w:rsid w:val="00CE7DED"/>
    <w:rsid w:val="00CF00FE"/>
    <w:rsid w:val="00CF0610"/>
    <w:rsid w:val="00CF0A94"/>
    <w:rsid w:val="00CF171E"/>
    <w:rsid w:val="00CF1C27"/>
    <w:rsid w:val="00CF2867"/>
    <w:rsid w:val="00CF297C"/>
    <w:rsid w:val="00CF2EB8"/>
    <w:rsid w:val="00CF344A"/>
    <w:rsid w:val="00CF3F96"/>
    <w:rsid w:val="00CF45F6"/>
    <w:rsid w:val="00CF4C37"/>
    <w:rsid w:val="00CF5154"/>
    <w:rsid w:val="00CF5350"/>
    <w:rsid w:val="00CF54DE"/>
    <w:rsid w:val="00CF55CF"/>
    <w:rsid w:val="00CF5AD6"/>
    <w:rsid w:val="00CF5F7C"/>
    <w:rsid w:val="00CF6283"/>
    <w:rsid w:val="00CF6539"/>
    <w:rsid w:val="00CF6C56"/>
    <w:rsid w:val="00CF6EB1"/>
    <w:rsid w:val="00CF6EE4"/>
    <w:rsid w:val="00CF7953"/>
    <w:rsid w:val="00D001AD"/>
    <w:rsid w:val="00D008AB"/>
    <w:rsid w:val="00D0091D"/>
    <w:rsid w:val="00D00D9B"/>
    <w:rsid w:val="00D0149F"/>
    <w:rsid w:val="00D01696"/>
    <w:rsid w:val="00D025B4"/>
    <w:rsid w:val="00D025C8"/>
    <w:rsid w:val="00D027D9"/>
    <w:rsid w:val="00D02A55"/>
    <w:rsid w:val="00D034CA"/>
    <w:rsid w:val="00D03555"/>
    <w:rsid w:val="00D03708"/>
    <w:rsid w:val="00D03D1E"/>
    <w:rsid w:val="00D04331"/>
    <w:rsid w:val="00D043D5"/>
    <w:rsid w:val="00D044BE"/>
    <w:rsid w:val="00D04831"/>
    <w:rsid w:val="00D0514D"/>
    <w:rsid w:val="00D058D8"/>
    <w:rsid w:val="00D05FF3"/>
    <w:rsid w:val="00D06EC0"/>
    <w:rsid w:val="00D071CE"/>
    <w:rsid w:val="00D0765C"/>
    <w:rsid w:val="00D07737"/>
    <w:rsid w:val="00D0776A"/>
    <w:rsid w:val="00D10364"/>
    <w:rsid w:val="00D10A59"/>
    <w:rsid w:val="00D10CE5"/>
    <w:rsid w:val="00D1124C"/>
    <w:rsid w:val="00D11975"/>
    <w:rsid w:val="00D12428"/>
    <w:rsid w:val="00D124B9"/>
    <w:rsid w:val="00D12735"/>
    <w:rsid w:val="00D12A42"/>
    <w:rsid w:val="00D12F1A"/>
    <w:rsid w:val="00D1376C"/>
    <w:rsid w:val="00D14748"/>
    <w:rsid w:val="00D14BB3"/>
    <w:rsid w:val="00D15ACA"/>
    <w:rsid w:val="00D15B93"/>
    <w:rsid w:val="00D15EDA"/>
    <w:rsid w:val="00D1648A"/>
    <w:rsid w:val="00D164FD"/>
    <w:rsid w:val="00D17012"/>
    <w:rsid w:val="00D17481"/>
    <w:rsid w:val="00D20105"/>
    <w:rsid w:val="00D21313"/>
    <w:rsid w:val="00D21FC6"/>
    <w:rsid w:val="00D22622"/>
    <w:rsid w:val="00D230E8"/>
    <w:rsid w:val="00D2352A"/>
    <w:rsid w:val="00D2368E"/>
    <w:rsid w:val="00D2407C"/>
    <w:rsid w:val="00D2466C"/>
    <w:rsid w:val="00D24849"/>
    <w:rsid w:val="00D248D8"/>
    <w:rsid w:val="00D24ACB"/>
    <w:rsid w:val="00D252B4"/>
    <w:rsid w:val="00D25895"/>
    <w:rsid w:val="00D259D2"/>
    <w:rsid w:val="00D25F31"/>
    <w:rsid w:val="00D2653B"/>
    <w:rsid w:val="00D26C5D"/>
    <w:rsid w:val="00D26C7D"/>
    <w:rsid w:val="00D2712D"/>
    <w:rsid w:val="00D272C7"/>
    <w:rsid w:val="00D2790F"/>
    <w:rsid w:val="00D27C59"/>
    <w:rsid w:val="00D27CE7"/>
    <w:rsid w:val="00D305E8"/>
    <w:rsid w:val="00D309B7"/>
    <w:rsid w:val="00D30F49"/>
    <w:rsid w:val="00D3193C"/>
    <w:rsid w:val="00D31B16"/>
    <w:rsid w:val="00D31DCD"/>
    <w:rsid w:val="00D32223"/>
    <w:rsid w:val="00D32294"/>
    <w:rsid w:val="00D3237B"/>
    <w:rsid w:val="00D32B9E"/>
    <w:rsid w:val="00D3486D"/>
    <w:rsid w:val="00D35322"/>
    <w:rsid w:val="00D35C11"/>
    <w:rsid w:val="00D35E3A"/>
    <w:rsid w:val="00D36305"/>
    <w:rsid w:val="00D363FB"/>
    <w:rsid w:val="00D36F40"/>
    <w:rsid w:val="00D37E19"/>
    <w:rsid w:val="00D37ECF"/>
    <w:rsid w:val="00D37FAF"/>
    <w:rsid w:val="00D40FA9"/>
    <w:rsid w:val="00D41BCE"/>
    <w:rsid w:val="00D41BDA"/>
    <w:rsid w:val="00D41E08"/>
    <w:rsid w:val="00D42AC2"/>
    <w:rsid w:val="00D42D9F"/>
    <w:rsid w:val="00D42E2F"/>
    <w:rsid w:val="00D42FF2"/>
    <w:rsid w:val="00D435AC"/>
    <w:rsid w:val="00D4487B"/>
    <w:rsid w:val="00D44975"/>
    <w:rsid w:val="00D45509"/>
    <w:rsid w:val="00D45B7A"/>
    <w:rsid w:val="00D46404"/>
    <w:rsid w:val="00D4736E"/>
    <w:rsid w:val="00D47428"/>
    <w:rsid w:val="00D47C38"/>
    <w:rsid w:val="00D47EDF"/>
    <w:rsid w:val="00D50A66"/>
    <w:rsid w:val="00D51364"/>
    <w:rsid w:val="00D51A31"/>
    <w:rsid w:val="00D51D29"/>
    <w:rsid w:val="00D522F2"/>
    <w:rsid w:val="00D52539"/>
    <w:rsid w:val="00D5292C"/>
    <w:rsid w:val="00D52CDA"/>
    <w:rsid w:val="00D53888"/>
    <w:rsid w:val="00D53A6A"/>
    <w:rsid w:val="00D542FD"/>
    <w:rsid w:val="00D556F6"/>
    <w:rsid w:val="00D55D3B"/>
    <w:rsid w:val="00D56172"/>
    <w:rsid w:val="00D56676"/>
    <w:rsid w:val="00D567F4"/>
    <w:rsid w:val="00D57511"/>
    <w:rsid w:val="00D57937"/>
    <w:rsid w:val="00D60330"/>
    <w:rsid w:val="00D609A3"/>
    <w:rsid w:val="00D60AF9"/>
    <w:rsid w:val="00D60B47"/>
    <w:rsid w:val="00D60C51"/>
    <w:rsid w:val="00D61152"/>
    <w:rsid w:val="00D618AC"/>
    <w:rsid w:val="00D61A1B"/>
    <w:rsid w:val="00D61B32"/>
    <w:rsid w:val="00D61F51"/>
    <w:rsid w:val="00D620A3"/>
    <w:rsid w:val="00D620DA"/>
    <w:rsid w:val="00D62709"/>
    <w:rsid w:val="00D62732"/>
    <w:rsid w:val="00D63BCD"/>
    <w:rsid w:val="00D643B7"/>
    <w:rsid w:val="00D64DB6"/>
    <w:rsid w:val="00D64E48"/>
    <w:rsid w:val="00D64EAA"/>
    <w:rsid w:val="00D651DE"/>
    <w:rsid w:val="00D65F71"/>
    <w:rsid w:val="00D66261"/>
    <w:rsid w:val="00D66454"/>
    <w:rsid w:val="00D66856"/>
    <w:rsid w:val="00D672BD"/>
    <w:rsid w:val="00D672E9"/>
    <w:rsid w:val="00D675C1"/>
    <w:rsid w:val="00D67881"/>
    <w:rsid w:val="00D67B01"/>
    <w:rsid w:val="00D67CCB"/>
    <w:rsid w:val="00D67D42"/>
    <w:rsid w:val="00D67D9E"/>
    <w:rsid w:val="00D7076D"/>
    <w:rsid w:val="00D707CE"/>
    <w:rsid w:val="00D70B3D"/>
    <w:rsid w:val="00D7133E"/>
    <w:rsid w:val="00D71570"/>
    <w:rsid w:val="00D71711"/>
    <w:rsid w:val="00D717AB"/>
    <w:rsid w:val="00D7244D"/>
    <w:rsid w:val="00D7250A"/>
    <w:rsid w:val="00D72C8C"/>
    <w:rsid w:val="00D72EC9"/>
    <w:rsid w:val="00D73226"/>
    <w:rsid w:val="00D74AB9"/>
    <w:rsid w:val="00D75728"/>
    <w:rsid w:val="00D75A26"/>
    <w:rsid w:val="00D76186"/>
    <w:rsid w:val="00D76968"/>
    <w:rsid w:val="00D76A3E"/>
    <w:rsid w:val="00D7703A"/>
    <w:rsid w:val="00D77A43"/>
    <w:rsid w:val="00D800D0"/>
    <w:rsid w:val="00D81355"/>
    <w:rsid w:val="00D825D2"/>
    <w:rsid w:val="00D82856"/>
    <w:rsid w:val="00D83C03"/>
    <w:rsid w:val="00D83D25"/>
    <w:rsid w:val="00D83DDB"/>
    <w:rsid w:val="00D84871"/>
    <w:rsid w:val="00D8488C"/>
    <w:rsid w:val="00D84899"/>
    <w:rsid w:val="00D8548E"/>
    <w:rsid w:val="00D85623"/>
    <w:rsid w:val="00D8571F"/>
    <w:rsid w:val="00D86013"/>
    <w:rsid w:val="00D86533"/>
    <w:rsid w:val="00D8678B"/>
    <w:rsid w:val="00D86C87"/>
    <w:rsid w:val="00D9026D"/>
    <w:rsid w:val="00D90BC3"/>
    <w:rsid w:val="00D90CC5"/>
    <w:rsid w:val="00D91064"/>
    <w:rsid w:val="00D91F62"/>
    <w:rsid w:val="00D9242B"/>
    <w:rsid w:val="00D9306B"/>
    <w:rsid w:val="00D935F2"/>
    <w:rsid w:val="00D938D0"/>
    <w:rsid w:val="00D93B48"/>
    <w:rsid w:val="00D93BFB"/>
    <w:rsid w:val="00D93D44"/>
    <w:rsid w:val="00D9402A"/>
    <w:rsid w:val="00D94EA9"/>
    <w:rsid w:val="00D9526D"/>
    <w:rsid w:val="00D95437"/>
    <w:rsid w:val="00D956AD"/>
    <w:rsid w:val="00D963C9"/>
    <w:rsid w:val="00D97482"/>
    <w:rsid w:val="00D97920"/>
    <w:rsid w:val="00D97B56"/>
    <w:rsid w:val="00DA0415"/>
    <w:rsid w:val="00DA1263"/>
    <w:rsid w:val="00DA14B4"/>
    <w:rsid w:val="00DA1759"/>
    <w:rsid w:val="00DA1952"/>
    <w:rsid w:val="00DA26BA"/>
    <w:rsid w:val="00DA28F4"/>
    <w:rsid w:val="00DA2E25"/>
    <w:rsid w:val="00DA3348"/>
    <w:rsid w:val="00DA355D"/>
    <w:rsid w:val="00DA46DC"/>
    <w:rsid w:val="00DA4E53"/>
    <w:rsid w:val="00DA4F18"/>
    <w:rsid w:val="00DA585A"/>
    <w:rsid w:val="00DA5F24"/>
    <w:rsid w:val="00DB023D"/>
    <w:rsid w:val="00DB0F9A"/>
    <w:rsid w:val="00DB13A8"/>
    <w:rsid w:val="00DB1658"/>
    <w:rsid w:val="00DB16DE"/>
    <w:rsid w:val="00DB20FC"/>
    <w:rsid w:val="00DB2C9D"/>
    <w:rsid w:val="00DB2CF6"/>
    <w:rsid w:val="00DB311B"/>
    <w:rsid w:val="00DB3262"/>
    <w:rsid w:val="00DB3D5F"/>
    <w:rsid w:val="00DB3DA7"/>
    <w:rsid w:val="00DB4386"/>
    <w:rsid w:val="00DB4499"/>
    <w:rsid w:val="00DB4702"/>
    <w:rsid w:val="00DB4925"/>
    <w:rsid w:val="00DB49FE"/>
    <w:rsid w:val="00DB4E2B"/>
    <w:rsid w:val="00DB5376"/>
    <w:rsid w:val="00DB58AA"/>
    <w:rsid w:val="00DB5BE8"/>
    <w:rsid w:val="00DB6339"/>
    <w:rsid w:val="00DB6906"/>
    <w:rsid w:val="00DB6939"/>
    <w:rsid w:val="00DB75FB"/>
    <w:rsid w:val="00DC14AE"/>
    <w:rsid w:val="00DC1526"/>
    <w:rsid w:val="00DC17BA"/>
    <w:rsid w:val="00DC18FF"/>
    <w:rsid w:val="00DC1AC1"/>
    <w:rsid w:val="00DC2578"/>
    <w:rsid w:val="00DC2AA0"/>
    <w:rsid w:val="00DC2E47"/>
    <w:rsid w:val="00DC3F59"/>
    <w:rsid w:val="00DC4C05"/>
    <w:rsid w:val="00DC606E"/>
    <w:rsid w:val="00DC6F8A"/>
    <w:rsid w:val="00DD08DE"/>
    <w:rsid w:val="00DD0E14"/>
    <w:rsid w:val="00DD1627"/>
    <w:rsid w:val="00DD19D8"/>
    <w:rsid w:val="00DD1FE5"/>
    <w:rsid w:val="00DD220F"/>
    <w:rsid w:val="00DD249E"/>
    <w:rsid w:val="00DD2F22"/>
    <w:rsid w:val="00DD35F5"/>
    <w:rsid w:val="00DD3BBB"/>
    <w:rsid w:val="00DD4719"/>
    <w:rsid w:val="00DD4779"/>
    <w:rsid w:val="00DD49A2"/>
    <w:rsid w:val="00DD4C53"/>
    <w:rsid w:val="00DD4CF0"/>
    <w:rsid w:val="00DD5057"/>
    <w:rsid w:val="00DD5C73"/>
    <w:rsid w:val="00DD5D59"/>
    <w:rsid w:val="00DD5EDA"/>
    <w:rsid w:val="00DD6665"/>
    <w:rsid w:val="00DD68D1"/>
    <w:rsid w:val="00DD7183"/>
    <w:rsid w:val="00DD7DA0"/>
    <w:rsid w:val="00DE0200"/>
    <w:rsid w:val="00DE04C3"/>
    <w:rsid w:val="00DE1194"/>
    <w:rsid w:val="00DE1519"/>
    <w:rsid w:val="00DE1756"/>
    <w:rsid w:val="00DE18E9"/>
    <w:rsid w:val="00DE1B17"/>
    <w:rsid w:val="00DE1F9A"/>
    <w:rsid w:val="00DE2078"/>
    <w:rsid w:val="00DE307F"/>
    <w:rsid w:val="00DE318E"/>
    <w:rsid w:val="00DE322C"/>
    <w:rsid w:val="00DE4111"/>
    <w:rsid w:val="00DE4E14"/>
    <w:rsid w:val="00DE501C"/>
    <w:rsid w:val="00DE5824"/>
    <w:rsid w:val="00DE5840"/>
    <w:rsid w:val="00DE61C6"/>
    <w:rsid w:val="00DE62BC"/>
    <w:rsid w:val="00DE6833"/>
    <w:rsid w:val="00DE6A1A"/>
    <w:rsid w:val="00DE6F34"/>
    <w:rsid w:val="00DE7301"/>
    <w:rsid w:val="00DE7EF5"/>
    <w:rsid w:val="00DF023C"/>
    <w:rsid w:val="00DF08D4"/>
    <w:rsid w:val="00DF0B23"/>
    <w:rsid w:val="00DF1851"/>
    <w:rsid w:val="00DF2B83"/>
    <w:rsid w:val="00DF34DE"/>
    <w:rsid w:val="00DF38F5"/>
    <w:rsid w:val="00DF586F"/>
    <w:rsid w:val="00DF5A0A"/>
    <w:rsid w:val="00DF5CEF"/>
    <w:rsid w:val="00DF6393"/>
    <w:rsid w:val="00DF7419"/>
    <w:rsid w:val="00DF75FB"/>
    <w:rsid w:val="00DF7E3E"/>
    <w:rsid w:val="00E006E3"/>
    <w:rsid w:val="00E00A9F"/>
    <w:rsid w:val="00E01FA9"/>
    <w:rsid w:val="00E021FD"/>
    <w:rsid w:val="00E02B04"/>
    <w:rsid w:val="00E03388"/>
    <w:rsid w:val="00E03563"/>
    <w:rsid w:val="00E04958"/>
    <w:rsid w:val="00E04F24"/>
    <w:rsid w:val="00E05337"/>
    <w:rsid w:val="00E115D8"/>
    <w:rsid w:val="00E117FE"/>
    <w:rsid w:val="00E11D71"/>
    <w:rsid w:val="00E122E0"/>
    <w:rsid w:val="00E12B2F"/>
    <w:rsid w:val="00E12DE7"/>
    <w:rsid w:val="00E12FE2"/>
    <w:rsid w:val="00E13224"/>
    <w:rsid w:val="00E14398"/>
    <w:rsid w:val="00E1509D"/>
    <w:rsid w:val="00E15446"/>
    <w:rsid w:val="00E155A3"/>
    <w:rsid w:val="00E15878"/>
    <w:rsid w:val="00E15A37"/>
    <w:rsid w:val="00E15BBA"/>
    <w:rsid w:val="00E15CED"/>
    <w:rsid w:val="00E16040"/>
    <w:rsid w:val="00E163BA"/>
    <w:rsid w:val="00E16AD7"/>
    <w:rsid w:val="00E16C28"/>
    <w:rsid w:val="00E17C90"/>
    <w:rsid w:val="00E17FBC"/>
    <w:rsid w:val="00E20BC1"/>
    <w:rsid w:val="00E2138B"/>
    <w:rsid w:val="00E22416"/>
    <w:rsid w:val="00E239B6"/>
    <w:rsid w:val="00E23BEE"/>
    <w:rsid w:val="00E2482E"/>
    <w:rsid w:val="00E24BF3"/>
    <w:rsid w:val="00E259AC"/>
    <w:rsid w:val="00E25ED8"/>
    <w:rsid w:val="00E26629"/>
    <w:rsid w:val="00E2673B"/>
    <w:rsid w:val="00E26A49"/>
    <w:rsid w:val="00E26EC5"/>
    <w:rsid w:val="00E26EF9"/>
    <w:rsid w:val="00E274A8"/>
    <w:rsid w:val="00E27575"/>
    <w:rsid w:val="00E2786F"/>
    <w:rsid w:val="00E278C5"/>
    <w:rsid w:val="00E27F28"/>
    <w:rsid w:val="00E30096"/>
    <w:rsid w:val="00E304A5"/>
    <w:rsid w:val="00E3158D"/>
    <w:rsid w:val="00E31EF4"/>
    <w:rsid w:val="00E323F5"/>
    <w:rsid w:val="00E32E27"/>
    <w:rsid w:val="00E33569"/>
    <w:rsid w:val="00E33BD4"/>
    <w:rsid w:val="00E343B9"/>
    <w:rsid w:val="00E34FD3"/>
    <w:rsid w:val="00E34FDD"/>
    <w:rsid w:val="00E35CC3"/>
    <w:rsid w:val="00E35D21"/>
    <w:rsid w:val="00E36772"/>
    <w:rsid w:val="00E3684C"/>
    <w:rsid w:val="00E3687C"/>
    <w:rsid w:val="00E36CA5"/>
    <w:rsid w:val="00E36EA4"/>
    <w:rsid w:val="00E371EC"/>
    <w:rsid w:val="00E37997"/>
    <w:rsid w:val="00E37D7E"/>
    <w:rsid w:val="00E37E6C"/>
    <w:rsid w:val="00E37F31"/>
    <w:rsid w:val="00E40594"/>
    <w:rsid w:val="00E4069B"/>
    <w:rsid w:val="00E406A2"/>
    <w:rsid w:val="00E40778"/>
    <w:rsid w:val="00E410CA"/>
    <w:rsid w:val="00E411E1"/>
    <w:rsid w:val="00E41494"/>
    <w:rsid w:val="00E418E6"/>
    <w:rsid w:val="00E418F2"/>
    <w:rsid w:val="00E42680"/>
    <w:rsid w:val="00E42E32"/>
    <w:rsid w:val="00E431B3"/>
    <w:rsid w:val="00E432E5"/>
    <w:rsid w:val="00E445C9"/>
    <w:rsid w:val="00E4493D"/>
    <w:rsid w:val="00E45B39"/>
    <w:rsid w:val="00E45C87"/>
    <w:rsid w:val="00E45EA2"/>
    <w:rsid w:val="00E46364"/>
    <w:rsid w:val="00E46766"/>
    <w:rsid w:val="00E46AE9"/>
    <w:rsid w:val="00E50467"/>
    <w:rsid w:val="00E51388"/>
    <w:rsid w:val="00E514E3"/>
    <w:rsid w:val="00E51ADC"/>
    <w:rsid w:val="00E5206F"/>
    <w:rsid w:val="00E5208D"/>
    <w:rsid w:val="00E52804"/>
    <w:rsid w:val="00E52CFB"/>
    <w:rsid w:val="00E531FE"/>
    <w:rsid w:val="00E5336E"/>
    <w:rsid w:val="00E53673"/>
    <w:rsid w:val="00E53A64"/>
    <w:rsid w:val="00E53D96"/>
    <w:rsid w:val="00E5545D"/>
    <w:rsid w:val="00E556A5"/>
    <w:rsid w:val="00E557FA"/>
    <w:rsid w:val="00E55923"/>
    <w:rsid w:val="00E55EE0"/>
    <w:rsid w:val="00E55F7C"/>
    <w:rsid w:val="00E5607C"/>
    <w:rsid w:val="00E560DE"/>
    <w:rsid w:val="00E56402"/>
    <w:rsid w:val="00E5657C"/>
    <w:rsid w:val="00E567C0"/>
    <w:rsid w:val="00E56E2E"/>
    <w:rsid w:val="00E575BF"/>
    <w:rsid w:val="00E577A7"/>
    <w:rsid w:val="00E57D96"/>
    <w:rsid w:val="00E57E8A"/>
    <w:rsid w:val="00E60595"/>
    <w:rsid w:val="00E606FA"/>
    <w:rsid w:val="00E60844"/>
    <w:rsid w:val="00E60A6F"/>
    <w:rsid w:val="00E60E62"/>
    <w:rsid w:val="00E610FD"/>
    <w:rsid w:val="00E611E5"/>
    <w:rsid w:val="00E613F0"/>
    <w:rsid w:val="00E622CD"/>
    <w:rsid w:val="00E622F4"/>
    <w:rsid w:val="00E62445"/>
    <w:rsid w:val="00E62C7C"/>
    <w:rsid w:val="00E6391F"/>
    <w:rsid w:val="00E641FC"/>
    <w:rsid w:val="00E645FB"/>
    <w:rsid w:val="00E64C07"/>
    <w:rsid w:val="00E64CD8"/>
    <w:rsid w:val="00E65759"/>
    <w:rsid w:val="00E65CE3"/>
    <w:rsid w:val="00E65E06"/>
    <w:rsid w:val="00E6619E"/>
    <w:rsid w:val="00E66360"/>
    <w:rsid w:val="00E67305"/>
    <w:rsid w:val="00E67F02"/>
    <w:rsid w:val="00E70124"/>
    <w:rsid w:val="00E70C58"/>
    <w:rsid w:val="00E710B9"/>
    <w:rsid w:val="00E717D5"/>
    <w:rsid w:val="00E71C58"/>
    <w:rsid w:val="00E7215C"/>
    <w:rsid w:val="00E72636"/>
    <w:rsid w:val="00E73226"/>
    <w:rsid w:val="00E74425"/>
    <w:rsid w:val="00E744EB"/>
    <w:rsid w:val="00E74FC1"/>
    <w:rsid w:val="00E752F3"/>
    <w:rsid w:val="00E7547C"/>
    <w:rsid w:val="00E75B57"/>
    <w:rsid w:val="00E75C2F"/>
    <w:rsid w:val="00E76566"/>
    <w:rsid w:val="00E7788D"/>
    <w:rsid w:val="00E77A63"/>
    <w:rsid w:val="00E77F68"/>
    <w:rsid w:val="00E80031"/>
    <w:rsid w:val="00E8083A"/>
    <w:rsid w:val="00E80BAE"/>
    <w:rsid w:val="00E80FB3"/>
    <w:rsid w:val="00E8110C"/>
    <w:rsid w:val="00E81183"/>
    <w:rsid w:val="00E817EB"/>
    <w:rsid w:val="00E81AD2"/>
    <w:rsid w:val="00E81CF8"/>
    <w:rsid w:val="00E825EF"/>
    <w:rsid w:val="00E82C2E"/>
    <w:rsid w:val="00E82FFE"/>
    <w:rsid w:val="00E83C54"/>
    <w:rsid w:val="00E83E99"/>
    <w:rsid w:val="00E84BEB"/>
    <w:rsid w:val="00E84FA0"/>
    <w:rsid w:val="00E85CF1"/>
    <w:rsid w:val="00E86082"/>
    <w:rsid w:val="00E86369"/>
    <w:rsid w:val="00E86AE2"/>
    <w:rsid w:val="00E87269"/>
    <w:rsid w:val="00E8796C"/>
    <w:rsid w:val="00E87A9B"/>
    <w:rsid w:val="00E90264"/>
    <w:rsid w:val="00E90FC5"/>
    <w:rsid w:val="00E91991"/>
    <w:rsid w:val="00E92450"/>
    <w:rsid w:val="00E92555"/>
    <w:rsid w:val="00E92B67"/>
    <w:rsid w:val="00E93492"/>
    <w:rsid w:val="00E93ACB"/>
    <w:rsid w:val="00E941A7"/>
    <w:rsid w:val="00E94302"/>
    <w:rsid w:val="00E943A5"/>
    <w:rsid w:val="00E94D80"/>
    <w:rsid w:val="00E950B8"/>
    <w:rsid w:val="00E96022"/>
    <w:rsid w:val="00E96849"/>
    <w:rsid w:val="00E968D6"/>
    <w:rsid w:val="00E96EBA"/>
    <w:rsid w:val="00E97649"/>
    <w:rsid w:val="00EA0281"/>
    <w:rsid w:val="00EA02C5"/>
    <w:rsid w:val="00EA036A"/>
    <w:rsid w:val="00EA0D81"/>
    <w:rsid w:val="00EA131C"/>
    <w:rsid w:val="00EA1A41"/>
    <w:rsid w:val="00EA1DF4"/>
    <w:rsid w:val="00EA1E62"/>
    <w:rsid w:val="00EA28CA"/>
    <w:rsid w:val="00EA291E"/>
    <w:rsid w:val="00EA3E22"/>
    <w:rsid w:val="00EA401B"/>
    <w:rsid w:val="00EA413C"/>
    <w:rsid w:val="00EA4643"/>
    <w:rsid w:val="00EA4817"/>
    <w:rsid w:val="00EA6254"/>
    <w:rsid w:val="00EA62EF"/>
    <w:rsid w:val="00EA6654"/>
    <w:rsid w:val="00EA675A"/>
    <w:rsid w:val="00EA73B7"/>
    <w:rsid w:val="00EA7A7E"/>
    <w:rsid w:val="00EA7C36"/>
    <w:rsid w:val="00EB0A47"/>
    <w:rsid w:val="00EB1598"/>
    <w:rsid w:val="00EB1763"/>
    <w:rsid w:val="00EB1846"/>
    <w:rsid w:val="00EB1E66"/>
    <w:rsid w:val="00EB3998"/>
    <w:rsid w:val="00EB3E73"/>
    <w:rsid w:val="00EB476F"/>
    <w:rsid w:val="00EB50EA"/>
    <w:rsid w:val="00EB5730"/>
    <w:rsid w:val="00EB5F7B"/>
    <w:rsid w:val="00EB695A"/>
    <w:rsid w:val="00EB78A5"/>
    <w:rsid w:val="00EC0EE6"/>
    <w:rsid w:val="00EC1383"/>
    <w:rsid w:val="00EC181A"/>
    <w:rsid w:val="00EC1D35"/>
    <w:rsid w:val="00EC22E9"/>
    <w:rsid w:val="00EC2D57"/>
    <w:rsid w:val="00EC301A"/>
    <w:rsid w:val="00EC39FE"/>
    <w:rsid w:val="00EC3B1B"/>
    <w:rsid w:val="00EC3DCA"/>
    <w:rsid w:val="00EC3E41"/>
    <w:rsid w:val="00EC3F89"/>
    <w:rsid w:val="00EC44BA"/>
    <w:rsid w:val="00EC4BD0"/>
    <w:rsid w:val="00EC4BE3"/>
    <w:rsid w:val="00EC4FC4"/>
    <w:rsid w:val="00EC5B4A"/>
    <w:rsid w:val="00EC694A"/>
    <w:rsid w:val="00EC6DA4"/>
    <w:rsid w:val="00EC7B03"/>
    <w:rsid w:val="00EC7F11"/>
    <w:rsid w:val="00ED08AA"/>
    <w:rsid w:val="00ED0E72"/>
    <w:rsid w:val="00ED10AF"/>
    <w:rsid w:val="00ED13C8"/>
    <w:rsid w:val="00ED1586"/>
    <w:rsid w:val="00ED2508"/>
    <w:rsid w:val="00ED2755"/>
    <w:rsid w:val="00ED2958"/>
    <w:rsid w:val="00ED30C7"/>
    <w:rsid w:val="00ED3A90"/>
    <w:rsid w:val="00ED3D67"/>
    <w:rsid w:val="00ED3D8C"/>
    <w:rsid w:val="00ED464C"/>
    <w:rsid w:val="00ED48C7"/>
    <w:rsid w:val="00ED4A4B"/>
    <w:rsid w:val="00ED4EE9"/>
    <w:rsid w:val="00ED6331"/>
    <w:rsid w:val="00ED761E"/>
    <w:rsid w:val="00EE03B4"/>
    <w:rsid w:val="00EE0624"/>
    <w:rsid w:val="00EE06FD"/>
    <w:rsid w:val="00EE0BEB"/>
    <w:rsid w:val="00EE1ACD"/>
    <w:rsid w:val="00EE1CA6"/>
    <w:rsid w:val="00EE1E06"/>
    <w:rsid w:val="00EE2277"/>
    <w:rsid w:val="00EE2452"/>
    <w:rsid w:val="00EE2957"/>
    <w:rsid w:val="00EE4A63"/>
    <w:rsid w:val="00EE4BA3"/>
    <w:rsid w:val="00EE4FE4"/>
    <w:rsid w:val="00EE67C3"/>
    <w:rsid w:val="00EE6A53"/>
    <w:rsid w:val="00EE6EEF"/>
    <w:rsid w:val="00EE722F"/>
    <w:rsid w:val="00EE735B"/>
    <w:rsid w:val="00EE7850"/>
    <w:rsid w:val="00EF06B0"/>
    <w:rsid w:val="00EF0AAF"/>
    <w:rsid w:val="00EF1BA5"/>
    <w:rsid w:val="00EF2BB9"/>
    <w:rsid w:val="00EF2F51"/>
    <w:rsid w:val="00EF36A8"/>
    <w:rsid w:val="00EF43BC"/>
    <w:rsid w:val="00EF45C4"/>
    <w:rsid w:val="00EF4711"/>
    <w:rsid w:val="00EF4B55"/>
    <w:rsid w:val="00EF4B58"/>
    <w:rsid w:val="00EF4DA1"/>
    <w:rsid w:val="00EF592B"/>
    <w:rsid w:val="00EF638E"/>
    <w:rsid w:val="00EF65D3"/>
    <w:rsid w:val="00EF7259"/>
    <w:rsid w:val="00EF75D0"/>
    <w:rsid w:val="00EF76C3"/>
    <w:rsid w:val="00F0006D"/>
    <w:rsid w:val="00F001F5"/>
    <w:rsid w:val="00F0029A"/>
    <w:rsid w:val="00F01339"/>
    <w:rsid w:val="00F03C87"/>
    <w:rsid w:val="00F04407"/>
    <w:rsid w:val="00F04489"/>
    <w:rsid w:val="00F05519"/>
    <w:rsid w:val="00F05B0E"/>
    <w:rsid w:val="00F05BC8"/>
    <w:rsid w:val="00F068B9"/>
    <w:rsid w:val="00F06E45"/>
    <w:rsid w:val="00F06F52"/>
    <w:rsid w:val="00F07D4E"/>
    <w:rsid w:val="00F07E53"/>
    <w:rsid w:val="00F1018C"/>
    <w:rsid w:val="00F10CF4"/>
    <w:rsid w:val="00F10E69"/>
    <w:rsid w:val="00F1101A"/>
    <w:rsid w:val="00F1143D"/>
    <w:rsid w:val="00F1154A"/>
    <w:rsid w:val="00F11C8B"/>
    <w:rsid w:val="00F13970"/>
    <w:rsid w:val="00F14128"/>
    <w:rsid w:val="00F146A9"/>
    <w:rsid w:val="00F1477E"/>
    <w:rsid w:val="00F14988"/>
    <w:rsid w:val="00F14B9D"/>
    <w:rsid w:val="00F15586"/>
    <w:rsid w:val="00F17215"/>
    <w:rsid w:val="00F173A4"/>
    <w:rsid w:val="00F177FC"/>
    <w:rsid w:val="00F20B8D"/>
    <w:rsid w:val="00F210A1"/>
    <w:rsid w:val="00F212C4"/>
    <w:rsid w:val="00F21D9C"/>
    <w:rsid w:val="00F221FD"/>
    <w:rsid w:val="00F22F72"/>
    <w:rsid w:val="00F22FC5"/>
    <w:rsid w:val="00F238C4"/>
    <w:rsid w:val="00F2393D"/>
    <w:rsid w:val="00F23B11"/>
    <w:rsid w:val="00F23E6D"/>
    <w:rsid w:val="00F24367"/>
    <w:rsid w:val="00F2463C"/>
    <w:rsid w:val="00F25D42"/>
    <w:rsid w:val="00F266A6"/>
    <w:rsid w:val="00F26D70"/>
    <w:rsid w:val="00F27BB3"/>
    <w:rsid w:val="00F30380"/>
    <w:rsid w:val="00F310F9"/>
    <w:rsid w:val="00F31395"/>
    <w:rsid w:val="00F31FC3"/>
    <w:rsid w:val="00F3281F"/>
    <w:rsid w:val="00F32D35"/>
    <w:rsid w:val="00F32EAB"/>
    <w:rsid w:val="00F3379E"/>
    <w:rsid w:val="00F3439A"/>
    <w:rsid w:val="00F345B3"/>
    <w:rsid w:val="00F34882"/>
    <w:rsid w:val="00F34C7B"/>
    <w:rsid w:val="00F35A0C"/>
    <w:rsid w:val="00F36D2F"/>
    <w:rsid w:val="00F36E7C"/>
    <w:rsid w:val="00F376E5"/>
    <w:rsid w:val="00F3787B"/>
    <w:rsid w:val="00F37A26"/>
    <w:rsid w:val="00F37AB6"/>
    <w:rsid w:val="00F40309"/>
    <w:rsid w:val="00F404B1"/>
    <w:rsid w:val="00F408C2"/>
    <w:rsid w:val="00F44125"/>
    <w:rsid w:val="00F45022"/>
    <w:rsid w:val="00F455DC"/>
    <w:rsid w:val="00F4571D"/>
    <w:rsid w:val="00F45E66"/>
    <w:rsid w:val="00F45FD8"/>
    <w:rsid w:val="00F46325"/>
    <w:rsid w:val="00F469DF"/>
    <w:rsid w:val="00F46A95"/>
    <w:rsid w:val="00F473A3"/>
    <w:rsid w:val="00F50D7E"/>
    <w:rsid w:val="00F50EA5"/>
    <w:rsid w:val="00F51003"/>
    <w:rsid w:val="00F5255D"/>
    <w:rsid w:val="00F52E02"/>
    <w:rsid w:val="00F52F07"/>
    <w:rsid w:val="00F530AA"/>
    <w:rsid w:val="00F53203"/>
    <w:rsid w:val="00F54447"/>
    <w:rsid w:val="00F5480D"/>
    <w:rsid w:val="00F548C9"/>
    <w:rsid w:val="00F55D8B"/>
    <w:rsid w:val="00F56CAC"/>
    <w:rsid w:val="00F56D0E"/>
    <w:rsid w:val="00F5733E"/>
    <w:rsid w:val="00F602BB"/>
    <w:rsid w:val="00F605EA"/>
    <w:rsid w:val="00F609FC"/>
    <w:rsid w:val="00F60B5D"/>
    <w:rsid w:val="00F6144A"/>
    <w:rsid w:val="00F615BD"/>
    <w:rsid w:val="00F61667"/>
    <w:rsid w:val="00F61984"/>
    <w:rsid w:val="00F6246A"/>
    <w:rsid w:val="00F624CC"/>
    <w:rsid w:val="00F62C2D"/>
    <w:rsid w:val="00F63819"/>
    <w:rsid w:val="00F64538"/>
    <w:rsid w:val="00F6458D"/>
    <w:rsid w:val="00F648AB"/>
    <w:rsid w:val="00F64F1C"/>
    <w:rsid w:val="00F655FB"/>
    <w:rsid w:val="00F6593A"/>
    <w:rsid w:val="00F6643E"/>
    <w:rsid w:val="00F66850"/>
    <w:rsid w:val="00F6774B"/>
    <w:rsid w:val="00F67840"/>
    <w:rsid w:val="00F67BCC"/>
    <w:rsid w:val="00F7148B"/>
    <w:rsid w:val="00F716D4"/>
    <w:rsid w:val="00F72118"/>
    <w:rsid w:val="00F723D8"/>
    <w:rsid w:val="00F7248B"/>
    <w:rsid w:val="00F72D92"/>
    <w:rsid w:val="00F744E6"/>
    <w:rsid w:val="00F74823"/>
    <w:rsid w:val="00F74CCB"/>
    <w:rsid w:val="00F75AF0"/>
    <w:rsid w:val="00F765F5"/>
    <w:rsid w:val="00F76E36"/>
    <w:rsid w:val="00F7708A"/>
    <w:rsid w:val="00F778D9"/>
    <w:rsid w:val="00F77AFB"/>
    <w:rsid w:val="00F8084B"/>
    <w:rsid w:val="00F815C7"/>
    <w:rsid w:val="00F818FA"/>
    <w:rsid w:val="00F81A86"/>
    <w:rsid w:val="00F8252E"/>
    <w:rsid w:val="00F83005"/>
    <w:rsid w:val="00F830AC"/>
    <w:rsid w:val="00F830B3"/>
    <w:rsid w:val="00F83441"/>
    <w:rsid w:val="00F8391A"/>
    <w:rsid w:val="00F83E6A"/>
    <w:rsid w:val="00F83EE4"/>
    <w:rsid w:val="00F841DE"/>
    <w:rsid w:val="00F84DFE"/>
    <w:rsid w:val="00F851B7"/>
    <w:rsid w:val="00F8647B"/>
    <w:rsid w:val="00F86A00"/>
    <w:rsid w:val="00F86BFE"/>
    <w:rsid w:val="00F86E5D"/>
    <w:rsid w:val="00F872D6"/>
    <w:rsid w:val="00F87529"/>
    <w:rsid w:val="00F87E06"/>
    <w:rsid w:val="00F90029"/>
    <w:rsid w:val="00F903F1"/>
    <w:rsid w:val="00F910FA"/>
    <w:rsid w:val="00F92B17"/>
    <w:rsid w:val="00F92DC3"/>
    <w:rsid w:val="00F936B7"/>
    <w:rsid w:val="00F93719"/>
    <w:rsid w:val="00F9388A"/>
    <w:rsid w:val="00F94658"/>
    <w:rsid w:val="00F94AA5"/>
    <w:rsid w:val="00F94CD5"/>
    <w:rsid w:val="00F94CF2"/>
    <w:rsid w:val="00F94D17"/>
    <w:rsid w:val="00F9597B"/>
    <w:rsid w:val="00F9608D"/>
    <w:rsid w:val="00F964B4"/>
    <w:rsid w:val="00F96AD2"/>
    <w:rsid w:val="00F96B69"/>
    <w:rsid w:val="00F96CEB"/>
    <w:rsid w:val="00F97CA1"/>
    <w:rsid w:val="00F97D6A"/>
    <w:rsid w:val="00FA0030"/>
    <w:rsid w:val="00FA016B"/>
    <w:rsid w:val="00FA0409"/>
    <w:rsid w:val="00FA041F"/>
    <w:rsid w:val="00FA0730"/>
    <w:rsid w:val="00FA0ADC"/>
    <w:rsid w:val="00FA154C"/>
    <w:rsid w:val="00FA21AF"/>
    <w:rsid w:val="00FA2453"/>
    <w:rsid w:val="00FA2587"/>
    <w:rsid w:val="00FA26B3"/>
    <w:rsid w:val="00FA2F50"/>
    <w:rsid w:val="00FA3E07"/>
    <w:rsid w:val="00FA4A30"/>
    <w:rsid w:val="00FA56B9"/>
    <w:rsid w:val="00FA573E"/>
    <w:rsid w:val="00FA5C5C"/>
    <w:rsid w:val="00FA5F02"/>
    <w:rsid w:val="00FA5F86"/>
    <w:rsid w:val="00FA6295"/>
    <w:rsid w:val="00FA64BB"/>
    <w:rsid w:val="00FA6AAE"/>
    <w:rsid w:val="00FA6F06"/>
    <w:rsid w:val="00FA7132"/>
    <w:rsid w:val="00FA78EF"/>
    <w:rsid w:val="00FB052F"/>
    <w:rsid w:val="00FB1B29"/>
    <w:rsid w:val="00FB2512"/>
    <w:rsid w:val="00FB25C6"/>
    <w:rsid w:val="00FB2E47"/>
    <w:rsid w:val="00FB367B"/>
    <w:rsid w:val="00FB3D0E"/>
    <w:rsid w:val="00FB4317"/>
    <w:rsid w:val="00FB449C"/>
    <w:rsid w:val="00FB51EA"/>
    <w:rsid w:val="00FB530C"/>
    <w:rsid w:val="00FB54D1"/>
    <w:rsid w:val="00FB5757"/>
    <w:rsid w:val="00FB5BE8"/>
    <w:rsid w:val="00FB644A"/>
    <w:rsid w:val="00FB6541"/>
    <w:rsid w:val="00FB6D07"/>
    <w:rsid w:val="00FB7CE1"/>
    <w:rsid w:val="00FC01F0"/>
    <w:rsid w:val="00FC0216"/>
    <w:rsid w:val="00FC0276"/>
    <w:rsid w:val="00FC0696"/>
    <w:rsid w:val="00FC1680"/>
    <w:rsid w:val="00FC1B43"/>
    <w:rsid w:val="00FC3D46"/>
    <w:rsid w:val="00FC4C83"/>
    <w:rsid w:val="00FC4E44"/>
    <w:rsid w:val="00FC55A8"/>
    <w:rsid w:val="00FC579E"/>
    <w:rsid w:val="00FC6A7E"/>
    <w:rsid w:val="00FC6BA8"/>
    <w:rsid w:val="00FC72D6"/>
    <w:rsid w:val="00FC7860"/>
    <w:rsid w:val="00FC7B3A"/>
    <w:rsid w:val="00FD0C23"/>
    <w:rsid w:val="00FD0E78"/>
    <w:rsid w:val="00FD10D9"/>
    <w:rsid w:val="00FD10E2"/>
    <w:rsid w:val="00FD173A"/>
    <w:rsid w:val="00FD197F"/>
    <w:rsid w:val="00FD1DF0"/>
    <w:rsid w:val="00FD1E97"/>
    <w:rsid w:val="00FD27CD"/>
    <w:rsid w:val="00FD2E08"/>
    <w:rsid w:val="00FD315A"/>
    <w:rsid w:val="00FD3557"/>
    <w:rsid w:val="00FD355B"/>
    <w:rsid w:val="00FD3677"/>
    <w:rsid w:val="00FD3AC5"/>
    <w:rsid w:val="00FD3CEC"/>
    <w:rsid w:val="00FD4182"/>
    <w:rsid w:val="00FD4580"/>
    <w:rsid w:val="00FD4650"/>
    <w:rsid w:val="00FD4F07"/>
    <w:rsid w:val="00FD5A35"/>
    <w:rsid w:val="00FD5FC1"/>
    <w:rsid w:val="00FD6018"/>
    <w:rsid w:val="00FD60FD"/>
    <w:rsid w:val="00FD6AE9"/>
    <w:rsid w:val="00FD6D39"/>
    <w:rsid w:val="00FD76E8"/>
    <w:rsid w:val="00FD7996"/>
    <w:rsid w:val="00FD7EB1"/>
    <w:rsid w:val="00FE07DE"/>
    <w:rsid w:val="00FE07FD"/>
    <w:rsid w:val="00FE168E"/>
    <w:rsid w:val="00FE2C1C"/>
    <w:rsid w:val="00FE3142"/>
    <w:rsid w:val="00FE323E"/>
    <w:rsid w:val="00FE3524"/>
    <w:rsid w:val="00FE3762"/>
    <w:rsid w:val="00FE3AD4"/>
    <w:rsid w:val="00FE3CB6"/>
    <w:rsid w:val="00FE3D73"/>
    <w:rsid w:val="00FE4424"/>
    <w:rsid w:val="00FE478E"/>
    <w:rsid w:val="00FE49F0"/>
    <w:rsid w:val="00FE4D6A"/>
    <w:rsid w:val="00FE55C1"/>
    <w:rsid w:val="00FE5A0A"/>
    <w:rsid w:val="00FE5A90"/>
    <w:rsid w:val="00FE5E1E"/>
    <w:rsid w:val="00FE6138"/>
    <w:rsid w:val="00FE63F7"/>
    <w:rsid w:val="00FE6724"/>
    <w:rsid w:val="00FE749E"/>
    <w:rsid w:val="00FE7740"/>
    <w:rsid w:val="00FE78A6"/>
    <w:rsid w:val="00FE79C0"/>
    <w:rsid w:val="00FE7F8F"/>
    <w:rsid w:val="00FF0068"/>
    <w:rsid w:val="00FF0D62"/>
    <w:rsid w:val="00FF1079"/>
    <w:rsid w:val="00FF1A08"/>
    <w:rsid w:val="00FF1CC6"/>
    <w:rsid w:val="00FF200A"/>
    <w:rsid w:val="00FF275C"/>
    <w:rsid w:val="00FF2AEA"/>
    <w:rsid w:val="00FF2B0E"/>
    <w:rsid w:val="00FF31AD"/>
    <w:rsid w:val="00FF3902"/>
    <w:rsid w:val="00FF404B"/>
    <w:rsid w:val="00FF4849"/>
    <w:rsid w:val="00FF48DC"/>
    <w:rsid w:val="00FF4DBC"/>
    <w:rsid w:val="00FF4E7E"/>
    <w:rsid w:val="00FF5ED0"/>
    <w:rsid w:val="00FF66D9"/>
    <w:rsid w:val="00FF6A79"/>
    <w:rsid w:val="00FF6A8B"/>
    <w:rsid w:val="00FF6D36"/>
    <w:rsid w:val="00FF6D38"/>
    <w:rsid w:val="00FF6F3D"/>
    <w:rsid w:val="00FF6F52"/>
    <w:rsid w:val="00FF6FB3"/>
    <w:rsid w:val="00FF76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6A3DAA2"/>
  <w15:chartTrackingRefBased/>
  <w15:docId w15:val="{E8B01721-E953-47B8-BA8A-1F82A2F9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561"/>
    <w:pPr>
      <w:spacing w:line="360" w:lineRule="auto"/>
    </w:pPr>
    <w:rPr>
      <w:rFonts w:ascii="Arial" w:hAnsi="Arial"/>
      <w:sz w:val="24"/>
      <w:szCs w:val="24"/>
      <w:lang w:val="en-US" w:eastAsia="en-US"/>
    </w:rPr>
  </w:style>
  <w:style w:type="paragraph" w:styleId="Heading1">
    <w:name w:val="heading 1"/>
    <w:aliases w:val="Heading"/>
    <w:basedOn w:val="Normal"/>
    <w:next w:val="Normal"/>
    <w:link w:val="Heading1Char"/>
    <w:uiPriority w:val="9"/>
    <w:qFormat/>
    <w:rsid w:val="00FE478E"/>
    <w:pPr>
      <w:keepNext/>
      <w:outlineLvl w:val="0"/>
    </w:pPr>
    <w:rPr>
      <w:b/>
      <w:bCs/>
      <w:sz w:val="16"/>
      <w:lang w:val="en-CA"/>
    </w:rPr>
  </w:style>
  <w:style w:type="paragraph" w:styleId="Heading2">
    <w:name w:val="heading 2"/>
    <w:aliases w:val="Subheading"/>
    <w:basedOn w:val="Normal"/>
    <w:next w:val="Normal"/>
    <w:link w:val="Heading2Char"/>
    <w:uiPriority w:val="9"/>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046E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55EE3"/>
    <w:pPr>
      <w:keepNext/>
      <w:spacing w:before="240" w:after="60" w:line="240" w:lineRule="auto"/>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rsid w:val="00A550FC"/>
    <w:pPr>
      <w:tabs>
        <w:tab w:val="center" w:pos="4320"/>
        <w:tab w:val="right" w:pos="8640"/>
      </w:tabs>
    </w:pPr>
  </w:style>
  <w:style w:type="character" w:customStyle="1" w:styleId="Heading2Char">
    <w:name w:val="Heading 2 Char"/>
    <w:aliases w:val="Subheading Char"/>
    <w:link w:val="Heading2"/>
    <w:uiPriority w:val="9"/>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customStyle="1" w:styleId="LightGrid-Accent31">
    <w:name w:val="Light Grid - Accent 31"/>
    <w:basedOn w:val="List"/>
    <w:autoRedefine/>
    <w:uiPriority w:val="34"/>
    <w:qFormat/>
    <w:rsid w:val="008A1A0C"/>
    <w:pPr>
      <w:ind w:left="0" w:firstLine="0"/>
      <w:contextualSpacing w:val="0"/>
      <w:jc w:val="both"/>
    </w:p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basedOn w:val="PartiesCounselAgent"/>
    <w:link w:val="DecisionBodyChar"/>
    <w:autoRedefine/>
    <w:rsid w:val="00500B8A"/>
    <w:pPr>
      <w:widowControl w:val="0"/>
      <w:spacing w:line="240" w:lineRule="auto"/>
      <w:ind w:left="1440" w:right="1440"/>
    </w:pPr>
    <w:rPr>
      <w:bCs/>
      <w:sz w:val="20"/>
      <w:szCs w:val="20"/>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cs="Arial"/>
      <w:b w:val="0"/>
      <w:noProof/>
      <w:sz w:val="24"/>
      <w:szCs w:val="24"/>
      <w:lang w:val="en-CA"/>
    </w:rPr>
  </w:style>
  <w:style w:type="paragraph" w:styleId="Caption">
    <w:name w:val="caption"/>
    <w:basedOn w:val="Normal"/>
    <w:next w:val="Normal"/>
    <w:qFormat/>
    <w:rsid w:val="008046EB"/>
    <w:rPr>
      <w:b/>
      <w:bCs/>
      <w:sz w:val="20"/>
      <w:szCs w:val="20"/>
    </w:rPr>
  </w:style>
  <w:style w:type="table" w:styleId="TableGrid">
    <w:name w:val="Table Grid"/>
    <w:basedOn w:val="TableNormal"/>
    <w:uiPriority w:val="59"/>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F404B1"/>
    <w:rPr>
      <w:sz w:val="24"/>
      <w:szCs w:val="24"/>
      <w:lang w:val="en-US" w:eastAsia="en-US"/>
    </w:rPr>
  </w:style>
  <w:style w:type="paragraph" w:customStyle="1" w:styleId="MediumGrid1-Accent21">
    <w:name w:val="Medium Grid 1 - Accent 21"/>
    <w:basedOn w:val="Normal"/>
    <w:uiPriority w:val="34"/>
    <w:qFormat/>
    <w:rsid w:val="00586DA9"/>
    <w:pPr>
      <w:ind w:left="720"/>
    </w:pPr>
  </w:style>
  <w:style w:type="character" w:styleId="CommentReference">
    <w:name w:val="annotation reference"/>
    <w:rsid w:val="009F1438"/>
    <w:rPr>
      <w:sz w:val="16"/>
      <w:szCs w:val="16"/>
    </w:rPr>
  </w:style>
  <w:style w:type="paragraph" w:styleId="CommentText">
    <w:name w:val="annotation text"/>
    <w:basedOn w:val="Normal"/>
    <w:link w:val="CommentTextChar"/>
    <w:rsid w:val="009F1438"/>
    <w:rPr>
      <w:sz w:val="20"/>
      <w:szCs w:val="20"/>
    </w:rPr>
  </w:style>
  <w:style w:type="character" w:customStyle="1" w:styleId="CommentTextChar">
    <w:name w:val="Comment Text Char"/>
    <w:link w:val="CommentText"/>
    <w:rsid w:val="009F1438"/>
    <w:rPr>
      <w:lang w:val="en-US" w:eastAsia="en-US"/>
    </w:rPr>
  </w:style>
  <w:style w:type="paragraph" w:styleId="CommentSubject">
    <w:name w:val="annotation subject"/>
    <w:basedOn w:val="CommentText"/>
    <w:next w:val="CommentText"/>
    <w:link w:val="CommentSubjectChar"/>
    <w:rsid w:val="009F1438"/>
    <w:rPr>
      <w:b/>
      <w:bCs/>
    </w:rPr>
  </w:style>
  <w:style w:type="character" w:customStyle="1" w:styleId="CommentSubjectChar">
    <w:name w:val="Comment Subject Char"/>
    <w:link w:val="CommentSubject"/>
    <w:rsid w:val="009F1438"/>
    <w:rPr>
      <w:b/>
      <w:bCs/>
      <w:lang w:val="en-US" w:eastAsia="en-US"/>
    </w:rPr>
  </w:style>
  <w:style w:type="paragraph" w:customStyle="1" w:styleId="ColorfulList-Accent11">
    <w:name w:val="Colorful List - Accent 11"/>
    <w:basedOn w:val="Normal"/>
    <w:uiPriority w:val="34"/>
    <w:qFormat/>
    <w:rsid w:val="006162AF"/>
    <w:pPr>
      <w:ind w:left="720"/>
    </w:pPr>
  </w:style>
  <w:style w:type="paragraph" w:styleId="ListParagraph">
    <w:name w:val="List Paragraph"/>
    <w:basedOn w:val="Normal"/>
    <w:link w:val="ListParagraphChar"/>
    <w:uiPriority w:val="34"/>
    <w:qFormat/>
    <w:rsid w:val="00DA3348"/>
  </w:style>
  <w:style w:type="character" w:customStyle="1" w:styleId="DecisionBodyChar">
    <w:name w:val="DecisionBody Char"/>
    <w:link w:val="DecisionBody"/>
    <w:locked/>
    <w:rsid w:val="00500B8A"/>
    <w:rPr>
      <w:rFonts w:ascii="Arial" w:hAnsi="Arial"/>
      <w:bCs/>
      <w:lang w:eastAsia="en-US"/>
    </w:rPr>
  </w:style>
  <w:style w:type="character" w:customStyle="1" w:styleId="Heading4Char">
    <w:name w:val="Heading 4 Char"/>
    <w:link w:val="Heading4"/>
    <w:semiHidden/>
    <w:rsid w:val="00B55EE3"/>
    <w:rPr>
      <w:rFonts w:ascii="Calibri" w:hAnsi="Calibri"/>
      <w:b/>
      <w:bCs/>
      <w:sz w:val="28"/>
      <w:szCs w:val="28"/>
      <w:lang w:val="en-US" w:eastAsia="en-US"/>
    </w:rPr>
  </w:style>
  <w:style w:type="paragraph" w:customStyle="1" w:styleId="section-e">
    <w:name w:val="section-e"/>
    <w:basedOn w:val="Normal"/>
    <w:rsid w:val="00B55EE3"/>
    <w:pPr>
      <w:spacing w:before="100" w:beforeAutospacing="1" w:after="100" w:afterAutospacing="1" w:line="240" w:lineRule="auto"/>
    </w:pPr>
    <w:rPr>
      <w:rFonts w:ascii="Times New Roman" w:hAnsi="Times New Roman"/>
      <w:lang w:val="en-CA" w:eastAsia="en-CA"/>
    </w:rPr>
  </w:style>
  <w:style w:type="character" w:customStyle="1" w:styleId="fr-link">
    <w:name w:val="fr-link"/>
    <w:rsid w:val="00B55EE3"/>
  </w:style>
  <w:style w:type="paragraph" w:customStyle="1" w:styleId="clause-e">
    <w:name w:val="clause-e"/>
    <w:basedOn w:val="Normal"/>
    <w:rsid w:val="00B55EE3"/>
    <w:pPr>
      <w:spacing w:before="100" w:beforeAutospacing="1" w:after="100" w:afterAutospacing="1" w:line="240" w:lineRule="auto"/>
    </w:pPr>
    <w:rPr>
      <w:rFonts w:ascii="Times New Roman" w:hAnsi="Times New Roman"/>
      <w:lang w:val="en-CA" w:eastAsia="en-CA"/>
    </w:rPr>
  </w:style>
  <w:style w:type="paragraph" w:customStyle="1" w:styleId="subsection-e">
    <w:name w:val="subsection-e"/>
    <w:basedOn w:val="Normal"/>
    <w:rsid w:val="00B55EE3"/>
    <w:pPr>
      <w:spacing w:before="100" w:beforeAutospacing="1" w:after="100" w:afterAutospacing="1" w:line="240" w:lineRule="auto"/>
    </w:pPr>
    <w:rPr>
      <w:rFonts w:ascii="Times New Roman" w:hAnsi="Times New Roman"/>
      <w:lang w:val="en-CA" w:eastAsia="en-CA"/>
    </w:rPr>
  </w:style>
  <w:style w:type="character" w:styleId="Strong">
    <w:name w:val="Strong"/>
    <w:qFormat/>
    <w:rsid w:val="00C074AD"/>
    <w:rPr>
      <w:b/>
      <w:bCs/>
    </w:rPr>
  </w:style>
  <w:style w:type="character" w:customStyle="1" w:styleId="apple-converted-space">
    <w:name w:val="apple-converted-space"/>
    <w:rsid w:val="00E80031"/>
  </w:style>
  <w:style w:type="character" w:customStyle="1" w:styleId="Style1">
    <w:name w:val="Style1"/>
    <w:uiPriority w:val="1"/>
    <w:rsid w:val="00C25FB9"/>
    <w:rPr>
      <w:rFonts w:ascii="Arial" w:hAnsi="Arial"/>
      <w:sz w:val="24"/>
    </w:rPr>
  </w:style>
  <w:style w:type="paragraph" w:customStyle="1" w:styleId="TableParagraph">
    <w:name w:val="Table Paragraph"/>
    <w:basedOn w:val="Normal"/>
    <w:uiPriority w:val="1"/>
    <w:qFormat/>
    <w:rsid w:val="003B3ED6"/>
    <w:pPr>
      <w:widowControl w:val="0"/>
      <w:spacing w:line="240" w:lineRule="auto"/>
    </w:pPr>
    <w:rPr>
      <w:rFonts w:ascii="Calibri" w:eastAsia="Calibri" w:hAnsi="Calibri"/>
      <w:sz w:val="22"/>
      <w:szCs w:val="22"/>
    </w:rPr>
  </w:style>
  <w:style w:type="paragraph" w:customStyle="1" w:styleId="subsection">
    <w:name w:val="subsection"/>
    <w:basedOn w:val="Normal"/>
    <w:rsid w:val="00A6198B"/>
    <w:pPr>
      <w:spacing w:before="100" w:beforeAutospacing="1" w:after="100" w:afterAutospacing="1" w:line="240" w:lineRule="auto"/>
    </w:pPr>
    <w:rPr>
      <w:rFonts w:ascii="Times New Roman" w:hAnsi="Times New Roman"/>
      <w:lang w:val="en-CA" w:eastAsia="en-CA"/>
    </w:rPr>
  </w:style>
  <w:style w:type="character" w:customStyle="1" w:styleId="sectionlabel">
    <w:name w:val="sectionlabel"/>
    <w:rsid w:val="004B5391"/>
  </w:style>
  <w:style w:type="paragraph" w:styleId="NormalWeb">
    <w:name w:val="Normal (Web)"/>
    <w:basedOn w:val="Normal"/>
    <w:uiPriority w:val="99"/>
    <w:unhideWhenUsed/>
    <w:rsid w:val="006E15DC"/>
    <w:pPr>
      <w:spacing w:before="100" w:beforeAutospacing="1" w:after="100" w:afterAutospacing="1" w:line="240" w:lineRule="auto"/>
    </w:pPr>
    <w:rPr>
      <w:rFonts w:ascii="Times New Roman" w:hAnsi="Times New Roman"/>
      <w:lang w:val="en-CA" w:eastAsia="en-CA"/>
    </w:rPr>
  </w:style>
  <w:style w:type="character" w:styleId="UnresolvedMention">
    <w:name w:val="Unresolved Mention"/>
    <w:uiPriority w:val="99"/>
    <w:semiHidden/>
    <w:unhideWhenUsed/>
    <w:rsid w:val="00F1018C"/>
    <w:rPr>
      <w:color w:val="605E5C"/>
      <w:shd w:val="clear" w:color="auto" w:fill="E1DFDD"/>
    </w:rPr>
  </w:style>
  <w:style w:type="paragraph" w:styleId="Revision">
    <w:name w:val="Revision"/>
    <w:hidden/>
    <w:uiPriority w:val="99"/>
    <w:semiHidden/>
    <w:rsid w:val="005B2449"/>
    <w:rPr>
      <w:rFonts w:ascii="Arial" w:hAnsi="Arial"/>
      <w:sz w:val="24"/>
      <w:szCs w:val="24"/>
      <w:lang w:val="en-US" w:eastAsia="en-US"/>
    </w:rPr>
  </w:style>
  <w:style w:type="paragraph" w:styleId="BodyText">
    <w:name w:val="Body Text"/>
    <w:basedOn w:val="Normal"/>
    <w:link w:val="BodyTextChar"/>
    <w:uiPriority w:val="1"/>
    <w:qFormat/>
    <w:rsid w:val="007D57B2"/>
    <w:pPr>
      <w:spacing w:after="240" w:line="240" w:lineRule="auto"/>
      <w:jc w:val="both"/>
    </w:pPr>
    <w:rPr>
      <w:rFonts w:eastAsia="Arial"/>
      <w:sz w:val="22"/>
      <w:szCs w:val="22"/>
      <w:lang w:val="en-CA"/>
    </w:rPr>
  </w:style>
  <w:style w:type="character" w:customStyle="1" w:styleId="BodyTextChar">
    <w:name w:val="Body Text Char"/>
    <w:link w:val="BodyText"/>
    <w:rsid w:val="007D57B2"/>
    <w:rPr>
      <w:rFonts w:ascii="Arial" w:eastAsia="Arial" w:hAnsi="Arial"/>
      <w:sz w:val="22"/>
      <w:szCs w:val="22"/>
      <w:lang w:eastAsia="en-US"/>
    </w:rPr>
  </w:style>
  <w:style w:type="character" w:customStyle="1" w:styleId="inv-meeting-url">
    <w:name w:val="inv-meeting-url"/>
    <w:rsid w:val="00087F76"/>
  </w:style>
  <w:style w:type="character" w:styleId="FollowedHyperlink">
    <w:name w:val="FollowedHyperlink"/>
    <w:rsid w:val="00FF2B0E"/>
    <w:rPr>
      <w:color w:val="954F72"/>
      <w:u w:val="single"/>
    </w:rPr>
  </w:style>
  <w:style w:type="character" w:customStyle="1" w:styleId="Heading1Char">
    <w:name w:val="Heading 1 Char"/>
    <w:aliases w:val="Heading Char"/>
    <w:link w:val="Heading1"/>
    <w:uiPriority w:val="9"/>
    <w:rsid w:val="004577C0"/>
    <w:rPr>
      <w:rFonts w:ascii="Arial" w:hAnsi="Arial"/>
      <w:b/>
      <w:bCs/>
      <w:sz w:val="16"/>
      <w:szCs w:val="24"/>
      <w:lang w:eastAsia="en-US"/>
    </w:rPr>
  </w:style>
  <w:style w:type="paragraph" w:customStyle="1" w:styleId="zparawtab-e">
    <w:name w:val="zparawtab-e"/>
    <w:rsid w:val="004577C0"/>
    <w:pPr>
      <w:tabs>
        <w:tab w:val="right" w:pos="239"/>
        <w:tab w:val="left" w:pos="279"/>
      </w:tabs>
      <w:spacing w:after="139" w:line="190" w:lineRule="exact"/>
      <w:jc w:val="both"/>
    </w:pPr>
    <w:rPr>
      <w:rFonts w:ascii="Times" w:hAnsi="Times"/>
      <w:snapToGrid w:val="0"/>
      <w:sz w:val="17"/>
      <w:lang w:val="en-GB" w:eastAsia="en-US"/>
    </w:rPr>
  </w:style>
  <w:style w:type="paragraph" w:customStyle="1" w:styleId="Caption-side">
    <w:name w:val="Caption-side"/>
    <w:basedOn w:val="Normal"/>
    <w:uiPriority w:val="99"/>
    <w:rsid w:val="004577C0"/>
    <w:pPr>
      <w:spacing w:after="60" w:line="240" w:lineRule="auto"/>
    </w:pPr>
    <w:rPr>
      <w:rFonts w:cs="Arial"/>
      <w:color w:val="808000"/>
      <w:sz w:val="22"/>
      <w:szCs w:val="22"/>
    </w:rPr>
  </w:style>
  <w:style w:type="character" w:customStyle="1" w:styleId="ListParagraphChar">
    <w:name w:val="List Paragraph Char"/>
    <w:link w:val="ListParagraph"/>
    <w:uiPriority w:val="34"/>
    <w:rsid w:val="004577C0"/>
    <w:rPr>
      <w:rFonts w:ascii="Arial" w:hAnsi="Arial"/>
      <w:sz w:val="24"/>
      <w:szCs w:val="24"/>
      <w:lang w:val="en-US" w:eastAsia="en-US"/>
    </w:rPr>
  </w:style>
  <w:style w:type="paragraph" w:customStyle="1" w:styleId="ParagraphNumbers">
    <w:name w:val="Paragraph Numbers"/>
    <w:basedOn w:val="Normal"/>
    <w:link w:val="ParagraphNumbersChar"/>
    <w:qFormat/>
    <w:rsid w:val="004577C0"/>
    <w:pPr>
      <w:numPr>
        <w:numId w:val="2"/>
      </w:numPr>
      <w:spacing w:after="200" w:line="276" w:lineRule="auto"/>
      <w:ind w:hanging="720"/>
      <w:jc w:val="both"/>
    </w:pPr>
    <w:rPr>
      <w:rFonts w:eastAsia="Arial" w:cs="Arial"/>
      <w:sz w:val="22"/>
      <w:szCs w:val="22"/>
      <w:lang w:val="en-CA"/>
    </w:rPr>
  </w:style>
  <w:style w:type="character" w:customStyle="1" w:styleId="ParagraphNumbersChar">
    <w:name w:val="Paragraph Numbers Char"/>
    <w:link w:val="ParagraphNumbers"/>
    <w:rsid w:val="004577C0"/>
    <w:rPr>
      <w:rFonts w:ascii="Arial" w:eastAsia="Arial" w:hAnsi="Arial" w:cs="Arial"/>
      <w:sz w:val="22"/>
      <w:szCs w:val="22"/>
      <w:lang w:eastAsia="en-US"/>
    </w:rPr>
  </w:style>
  <w:style w:type="paragraph" w:customStyle="1" w:styleId="Default">
    <w:name w:val="Default"/>
    <w:rsid w:val="004577C0"/>
    <w:pPr>
      <w:autoSpaceDE w:val="0"/>
      <w:autoSpaceDN w:val="0"/>
      <w:adjustRightInd w:val="0"/>
    </w:pPr>
    <w:rPr>
      <w:rFonts w:eastAsia="Arial"/>
      <w:color w:val="000000"/>
      <w:sz w:val="24"/>
      <w:szCs w:val="24"/>
      <w:lang w:eastAsia="en-US"/>
    </w:rPr>
  </w:style>
  <w:style w:type="paragraph" w:customStyle="1" w:styleId="Letterhead">
    <w:name w:val="Letterhead"/>
    <w:next w:val="Normal"/>
    <w:link w:val="LetterheadChar"/>
    <w:qFormat/>
    <w:rsid w:val="00FC6BA8"/>
    <w:pPr>
      <w:spacing w:after="200"/>
    </w:pPr>
    <w:rPr>
      <w:rFonts w:ascii="Arial" w:eastAsia="Arial" w:hAnsi="Arial"/>
      <w:b/>
      <w:bCs/>
      <w:sz w:val="24"/>
      <w:szCs w:val="22"/>
      <w:lang w:eastAsia="en-US"/>
    </w:rPr>
  </w:style>
  <w:style w:type="character" w:customStyle="1" w:styleId="LetterheadChar">
    <w:name w:val="Letterhead Char"/>
    <w:link w:val="Letterhead"/>
    <w:rsid w:val="00FC6BA8"/>
    <w:rPr>
      <w:rFonts w:ascii="Arial" w:eastAsia="Arial" w:hAnsi="Arial"/>
      <w:b/>
      <w:bCs/>
      <w:sz w:val="24"/>
      <w:szCs w:val="22"/>
      <w:lang w:eastAsia="en-US"/>
    </w:rPr>
  </w:style>
  <w:style w:type="character" w:customStyle="1" w:styleId="normaltextrun">
    <w:name w:val="normaltextrun"/>
    <w:rsid w:val="006F0EB0"/>
  </w:style>
  <w:style w:type="paragraph" w:customStyle="1" w:styleId="paragraph">
    <w:name w:val="paragraph"/>
    <w:basedOn w:val="Normal"/>
    <w:rsid w:val="00945922"/>
    <w:pPr>
      <w:spacing w:before="100" w:beforeAutospacing="1" w:after="100" w:afterAutospacing="1" w:line="240" w:lineRule="auto"/>
    </w:pPr>
    <w:rPr>
      <w:rFonts w:ascii="Times New Roman" w:hAnsi="Times New Roman"/>
      <w:lang w:val="en-CA" w:eastAsia="en-CA"/>
    </w:rPr>
  </w:style>
  <w:style w:type="character" w:customStyle="1" w:styleId="eop">
    <w:name w:val="eop"/>
    <w:basedOn w:val="DefaultParagraphFont"/>
    <w:rsid w:val="00945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1604">
      <w:bodyDiv w:val="1"/>
      <w:marLeft w:val="0"/>
      <w:marRight w:val="0"/>
      <w:marTop w:val="0"/>
      <w:marBottom w:val="0"/>
      <w:divBdr>
        <w:top w:val="none" w:sz="0" w:space="0" w:color="auto"/>
        <w:left w:val="none" w:sz="0" w:space="0" w:color="auto"/>
        <w:bottom w:val="none" w:sz="0" w:space="0" w:color="auto"/>
        <w:right w:val="none" w:sz="0" w:space="0" w:color="auto"/>
      </w:divBdr>
    </w:div>
    <w:div w:id="131753582">
      <w:bodyDiv w:val="1"/>
      <w:marLeft w:val="0"/>
      <w:marRight w:val="0"/>
      <w:marTop w:val="0"/>
      <w:marBottom w:val="0"/>
      <w:divBdr>
        <w:top w:val="none" w:sz="0" w:space="0" w:color="auto"/>
        <w:left w:val="none" w:sz="0" w:space="0" w:color="auto"/>
        <w:bottom w:val="none" w:sz="0" w:space="0" w:color="auto"/>
        <w:right w:val="none" w:sz="0" w:space="0" w:color="auto"/>
      </w:divBdr>
    </w:div>
    <w:div w:id="218059107">
      <w:bodyDiv w:val="1"/>
      <w:marLeft w:val="0"/>
      <w:marRight w:val="0"/>
      <w:marTop w:val="0"/>
      <w:marBottom w:val="0"/>
      <w:divBdr>
        <w:top w:val="none" w:sz="0" w:space="0" w:color="auto"/>
        <w:left w:val="none" w:sz="0" w:space="0" w:color="auto"/>
        <w:bottom w:val="none" w:sz="0" w:space="0" w:color="auto"/>
        <w:right w:val="none" w:sz="0" w:space="0" w:color="auto"/>
      </w:divBdr>
    </w:div>
    <w:div w:id="331761648">
      <w:bodyDiv w:val="1"/>
      <w:marLeft w:val="0"/>
      <w:marRight w:val="0"/>
      <w:marTop w:val="0"/>
      <w:marBottom w:val="0"/>
      <w:divBdr>
        <w:top w:val="none" w:sz="0" w:space="0" w:color="auto"/>
        <w:left w:val="none" w:sz="0" w:space="0" w:color="auto"/>
        <w:bottom w:val="none" w:sz="0" w:space="0" w:color="auto"/>
        <w:right w:val="none" w:sz="0" w:space="0" w:color="auto"/>
      </w:divBdr>
    </w:div>
    <w:div w:id="368116284">
      <w:bodyDiv w:val="1"/>
      <w:marLeft w:val="0"/>
      <w:marRight w:val="0"/>
      <w:marTop w:val="0"/>
      <w:marBottom w:val="0"/>
      <w:divBdr>
        <w:top w:val="none" w:sz="0" w:space="0" w:color="auto"/>
        <w:left w:val="none" w:sz="0" w:space="0" w:color="auto"/>
        <w:bottom w:val="none" w:sz="0" w:space="0" w:color="auto"/>
        <w:right w:val="none" w:sz="0" w:space="0" w:color="auto"/>
      </w:divBdr>
    </w:div>
    <w:div w:id="412509821">
      <w:bodyDiv w:val="1"/>
      <w:marLeft w:val="0"/>
      <w:marRight w:val="0"/>
      <w:marTop w:val="0"/>
      <w:marBottom w:val="0"/>
      <w:divBdr>
        <w:top w:val="none" w:sz="0" w:space="0" w:color="auto"/>
        <w:left w:val="none" w:sz="0" w:space="0" w:color="auto"/>
        <w:bottom w:val="none" w:sz="0" w:space="0" w:color="auto"/>
        <w:right w:val="none" w:sz="0" w:space="0" w:color="auto"/>
      </w:divBdr>
    </w:div>
    <w:div w:id="511337319">
      <w:bodyDiv w:val="1"/>
      <w:marLeft w:val="0"/>
      <w:marRight w:val="0"/>
      <w:marTop w:val="0"/>
      <w:marBottom w:val="0"/>
      <w:divBdr>
        <w:top w:val="none" w:sz="0" w:space="0" w:color="auto"/>
        <w:left w:val="none" w:sz="0" w:space="0" w:color="auto"/>
        <w:bottom w:val="none" w:sz="0" w:space="0" w:color="auto"/>
        <w:right w:val="none" w:sz="0" w:space="0" w:color="auto"/>
      </w:divBdr>
    </w:div>
    <w:div w:id="653610840">
      <w:bodyDiv w:val="1"/>
      <w:marLeft w:val="0"/>
      <w:marRight w:val="0"/>
      <w:marTop w:val="0"/>
      <w:marBottom w:val="0"/>
      <w:divBdr>
        <w:top w:val="none" w:sz="0" w:space="0" w:color="auto"/>
        <w:left w:val="none" w:sz="0" w:space="0" w:color="auto"/>
        <w:bottom w:val="none" w:sz="0" w:space="0" w:color="auto"/>
        <w:right w:val="none" w:sz="0" w:space="0" w:color="auto"/>
      </w:divBdr>
    </w:div>
    <w:div w:id="817653360">
      <w:bodyDiv w:val="1"/>
      <w:marLeft w:val="0"/>
      <w:marRight w:val="0"/>
      <w:marTop w:val="0"/>
      <w:marBottom w:val="0"/>
      <w:divBdr>
        <w:top w:val="none" w:sz="0" w:space="0" w:color="auto"/>
        <w:left w:val="none" w:sz="0" w:space="0" w:color="auto"/>
        <w:bottom w:val="none" w:sz="0" w:space="0" w:color="auto"/>
        <w:right w:val="none" w:sz="0" w:space="0" w:color="auto"/>
      </w:divBdr>
    </w:div>
    <w:div w:id="825509388">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097679998">
      <w:bodyDiv w:val="1"/>
      <w:marLeft w:val="0"/>
      <w:marRight w:val="0"/>
      <w:marTop w:val="0"/>
      <w:marBottom w:val="0"/>
      <w:divBdr>
        <w:top w:val="none" w:sz="0" w:space="0" w:color="auto"/>
        <w:left w:val="none" w:sz="0" w:space="0" w:color="auto"/>
        <w:bottom w:val="none" w:sz="0" w:space="0" w:color="auto"/>
        <w:right w:val="none" w:sz="0" w:space="0" w:color="auto"/>
      </w:divBdr>
    </w:div>
    <w:div w:id="1199850455">
      <w:bodyDiv w:val="1"/>
      <w:marLeft w:val="0"/>
      <w:marRight w:val="0"/>
      <w:marTop w:val="0"/>
      <w:marBottom w:val="0"/>
      <w:divBdr>
        <w:top w:val="none" w:sz="0" w:space="0" w:color="auto"/>
        <w:left w:val="none" w:sz="0" w:space="0" w:color="auto"/>
        <w:bottom w:val="none" w:sz="0" w:space="0" w:color="auto"/>
        <w:right w:val="none" w:sz="0" w:space="0" w:color="auto"/>
      </w:divBdr>
    </w:div>
    <w:div w:id="1328359377">
      <w:bodyDiv w:val="1"/>
      <w:marLeft w:val="0"/>
      <w:marRight w:val="0"/>
      <w:marTop w:val="0"/>
      <w:marBottom w:val="0"/>
      <w:divBdr>
        <w:top w:val="none" w:sz="0" w:space="0" w:color="auto"/>
        <w:left w:val="none" w:sz="0" w:space="0" w:color="auto"/>
        <w:bottom w:val="none" w:sz="0" w:space="0" w:color="auto"/>
        <w:right w:val="none" w:sz="0" w:space="0" w:color="auto"/>
      </w:divBdr>
    </w:div>
    <w:div w:id="1420637686">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644388735">
      <w:bodyDiv w:val="1"/>
      <w:marLeft w:val="0"/>
      <w:marRight w:val="0"/>
      <w:marTop w:val="0"/>
      <w:marBottom w:val="0"/>
      <w:divBdr>
        <w:top w:val="none" w:sz="0" w:space="0" w:color="auto"/>
        <w:left w:val="none" w:sz="0" w:space="0" w:color="auto"/>
        <w:bottom w:val="none" w:sz="0" w:space="0" w:color="auto"/>
        <w:right w:val="none" w:sz="0" w:space="0" w:color="auto"/>
      </w:divBdr>
    </w:div>
    <w:div w:id="1814370647">
      <w:bodyDiv w:val="1"/>
      <w:marLeft w:val="0"/>
      <w:marRight w:val="0"/>
      <w:marTop w:val="0"/>
      <w:marBottom w:val="0"/>
      <w:divBdr>
        <w:top w:val="none" w:sz="0" w:space="0" w:color="auto"/>
        <w:left w:val="none" w:sz="0" w:space="0" w:color="auto"/>
        <w:bottom w:val="none" w:sz="0" w:space="0" w:color="auto"/>
        <w:right w:val="none" w:sz="0" w:space="0" w:color="auto"/>
      </w:divBdr>
    </w:div>
    <w:div w:id="1860780257">
      <w:bodyDiv w:val="1"/>
      <w:marLeft w:val="0"/>
      <w:marRight w:val="0"/>
      <w:marTop w:val="0"/>
      <w:marBottom w:val="0"/>
      <w:divBdr>
        <w:top w:val="none" w:sz="0" w:space="0" w:color="auto"/>
        <w:left w:val="none" w:sz="0" w:space="0" w:color="auto"/>
        <w:bottom w:val="none" w:sz="0" w:space="0" w:color="auto"/>
        <w:right w:val="none" w:sz="0" w:space="0" w:color="auto"/>
      </w:divBdr>
    </w:div>
    <w:div w:id="1887790776">
      <w:bodyDiv w:val="1"/>
      <w:marLeft w:val="0"/>
      <w:marRight w:val="0"/>
      <w:marTop w:val="0"/>
      <w:marBottom w:val="0"/>
      <w:divBdr>
        <w:top w:val="none" w:sz="0" w:space="0" w:color="auto"/>
        <w:left w:val="none" w:sz="0" w:space="0" w:color="auto"/>
        <w:bottom w:val="none" w:sz="0" w:space="0" w:color="auto"/>
        <w:right w:val="none" w:sz="0" w:space="0" w:color="auto"/>
      </w:divBdr>
    </w:div>
    <w:div w:id="1901281201">
      <w:bodyDiv w:val="1"/>
      <w:marLeft w:val="0"/>
      <w:marRight w:val="0"/>
      <w:marTop w:val="0"/>
      <w:marBottom w:val="0"/>
      <w:divBdr>
        <w:top w:val="none" w:sz="0" w:space="0" w:color="auto"/>
        <w:left w:val="none" w:sz="0" w:space="0" w:color="auto"/>
        <w:bottom w:val="none" w:sz="0" w:space="0" w:color="auto"/>
        <w:right w:val="none" w:sz="0" w:space="0" w:color="auto"/>
      </w:divBdr>
    </w:div>
    <w:div w:id="2118864395">
      <w:bodyDiv w:val="1"/>
      <w:marLeft w:val="0"/>
      <w:marRight w:val="0"/>
      <w:marTop w:val="0"/>
      <w:marBottom w:val="0"/>
      <w:divBdr>
        <w:top w:val="none" w:sz="0" w:space="0" w:color="auto"/>
        <w:left w:val="none" w:sz="0" w:space="0" w:color="auto"/>
        <w:bottom w:val="none" w:sz="0" w:space="0" w:color="auto"/>
        <w:right w:val="none" w:sz="0" w:space="0" w:color="auto"/>
      </w:divBdr>
    </w:div>
    <w:div w:id="21315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t.gov.on.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B44A067A77D54EBE35D95BF3CA9F17" ma:contentTypeVersion="10" ma:contentTypeDescription="Create a new document." ma:contentTypeScope="" ma:versionID="9dc667f7b48fa7d621d127aa1c6cf0f5">
  <xsd:schema xmlns:xsd="http://www.w3.org/2001/XMLSchema" xmlns:xs="http://www.w3.org/2001/XMLSchema" xmlns:p="http://schemas.microsoft.com/office/2006/metadata/properties" xmlns:ns3="2806de3a-853c-4065-bdb4-9de73a341696" targetNamespace="http://schemas.microsoft.com/office/2006/metadata/properties" ma:root="true" ma:fieldsID="ad74f8e81c1ab4cbbc1ce43445f2a2c3" ns3:_="">
    <xsd:import namespace="2806de3a-853c-4065-bdb4-9de73a3416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6de3a-853c-4065-bdb4-9de73a341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A361-6939-48DE-914E-F71E63B47C2A}">
  <ds:schemaRefs>
    <ds:schemaRef ds:uri="http://schemas.microsoft.com/sharepoint/v3/contenttype/forms"/>
  </ds:schemaRefs>
</ds:datastoreItem>
</file>

<file path=customXml/itemProps2.xml><?xml version="1.0" encoding="utf-8"?>
<ds:datastoreItem xmlns:ds="http://schemas.openxmlformats.org/officeDocument/2006/customXml" ds:itemID="{4FBDA7E1-BC9D-4E28-A212-949D7331C9D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806de3a-853c-4065-bdb4-9de73a341696"/>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A8C0F67-C8EA-4C87-9E17-1739428DA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6de3a-853c-4065-bdb4-9de73a341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3FEB19-DD46-4186-ACC5-7C8B4CE6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9060</Words>
  <Characters>47914</Characters>
  <Application>Microsoft Office Word</Application>
  <DocSecurity>0</DocSecurity>
  <Lines>399</Lines>
  <Paragraphs>113</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56861</CharactersWithSpaces>
  <SharedDoc>false</SharedDoc>
  <HLinks>
    <vt:vector size="24" baseType="variant">
      <vt:variant>
        <vt:i4>65630</vt:i4>
      </vt:variant>
      <vt:variant>
        <vt:i4>11</vt:i4>
      </vt:variant>
      <vt:variant>
        <vt:i4>0</vt:i4>
      </vt:variant>
      <vt:variant>
        <vt:i4>5</vt:i4>
      </vt:variant>
      <vt:variant>
        <vt:lpwstr>http://www.olt.gov.on.ca/</vt:lpwstr>
      </vt:variant>
      <vt:variant>
        <vt:lpwstr/>
      </vt:variant>
      <vt:variant>
        <vt:i4>5308437</vt:i4>
      </vt:variant>
      <vt:variant>
        <vt:i4>8</vt:i4>
      </vt:variant>
      <vt:variant>
        <vt:i4>0</vt:i4>
      </vt:variant>
      <vt:variant>
        <vt:i4>5</vt:i4>
      </vt:variant>
      <vt:variant>
        <vt:lpwstr>https://app.gotomeeting.com/home.html</vt:lpwstr>
      </vt:variant>
      <vt:variant>
        <vt:lpwstr/>
      </vt:variant>
      <vt:variant>
        <vt:i4>8323168</vt:i4>
      </vt:variant>
      <vt:variant>
        <vt:i4>5</vt:i4>
      </vt:variant>
      <vt:variant>
        <vt:i4>0</vt:i4>
      </vt:variant>
      <vt:variant>
        <vt:i4>5</vt:i4>
      </vt:variant>
      <vt:variant>
        <vt:lpwstr>https://global.gotomeeting.com/install</vt:lpwstr>
      </vt:variant>
      <vt:variant>
        <vt:lpwstr/>
      </vt:variant>
      <vt:variant>
        <vt:i4>4456476</vt:i4>
      </vt:variant>
      <vt:variant>
        <vt:i4>2</vt:i4>
      </vt:variant>
      <vt:variant>
        <vt:i4>0</vt:i4>
      </vt:variant>
      <vt:variant>
        <vt:i4>5</vt:i4>
      </vt:variant>
      <vt:variant>
        <vt:lpwstr>https://global.gotomeeting.com/join/154796749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subject/>
  <dc:creator>Authorized User</dc:creator>
  <cp:keywords/>
  <cp:lastModifiedBy>Ip, Cissy (MAG)</cp:lastModifiedBy>
  <cp:revision>7</cp:revision>
  <cp:lastPrinted>2021-11-08T16:31:00Z</cp:lastPrinted>
  <dcterms:created xsi:type="dcterms:W3CDTF">2021-11-08T16:26:00Z</dcterms:created>
  <dcterms:modified xsi:type="dcterms:W3CDTF">2021-11-08T16:33:00Z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0x0101007CB44A067A77D54EBE35D95BF3CA9F17</vt:lpwstr>
  </property>
  <property fmtid="{D5CDD505-2E9C-101B-9397-08002B2CF9AE}" pid="3" name="MSIP_Label_034a106e-6316-442c-ad35-738afd673d2b_Enabled">
    <vt:lpwstr>true</vt:lpwstr>
  </property>
  <property fmtid="{D5CDD505-2E9C-101B-9397-08002B2CF9AE}" pid="4" name="MSIP_Label_034a106e-6316-442c-ad35-738afd673d2b_SetDate">
    <vt:lpwstr>2021-08-18T12:17:05Z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