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6A8C28F6" w14:textId="77777777" w:rsidTr="00A856CE">
        <w:trPr>
          <w:trHeight w:val="281"/>
        </w:trPr>
        <w:tc>
          <w:tcPr>
            <w:tcW w:w="5778" w:type="dxa"/>
          </w:tcPr>
          <w:p w14:paraId="6A8C28F4" w14:textId="63D7675E" w:rsidR="006D09B4" w:rsidRPr="001E764F" w:rsidRDefault="006D09B4" w:rsidP="006D09B4">
            <w:pPr>
              <w:rPr>
                <w:rFonts w:ascii="Arial" w:hAnsi="Arial" w:cs="Arial"/>
                <w:b/>
                <w:sz w:val="16"/>
                <w:szCs w:val="16"/>
              </w:rPr>
            </w:pPr>
          </w:p>
        </w:tc>
        <w:tc>
          <w:tcPr>
            <w:tcW w:w="3828" w:type="dxa"/>
            <w:vMerge w:val="restart"/>
          </w:tcPr>
          <w:p w14:paraId="6A8C28F5" w14:textId="77777777"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6A8C2960" wp14:editId="6A8C2961">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6A8C28F9" w14:textId="77777777" w:rsidTr="00A856CE">
        <w:tc>
          <w:tcPr>
            <w:tcW w:w="5778" w:type="dxa"/>
          </w:tcPr>
          <w:p w14:paraId="6A8C28F7"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6A8C28F8" w14:textId="77777777" w:rsidR="006D09B4" w:rsidRPr="001E764F" w:rsidRDefault="006D09B4" w:rsidP="006D09B4">
            <w:pPr>
              <w:rPr>
                <w:rFonts w:ascii="Arial" w:hAnsi="Arial" w:cs="Arial"/>
                <w:b/>
                <w:sz w:val="32"/>
                <w:szCs w:val="32"/>
              </w:rPr>
            </w:pPr>
          </w:p>
        </w:tc>
      </w:tr>
      <w:tr w:rsidR="006D09B4" w:rsidRPr="001E764F" w14:paraId="6A8C28FE" w14:textId="77777777" w:rsidTr="00A856CE">
        <w:tc>
          <w:tcPr>
            <w:tcW w:w="5778" w:type="dxa"/>
          </w:tcPr>
          <w:p w14:paraId="6A8C28FA"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6A8C28FB" w14:textId="77777777" w:rsidR="006D09B4" w:rsidRPr="001E764F" w:rsidRDefault="006D09B4" w:rsidP="006D09B4">
            <w:pPr>
              <w:rPr>
                <w:rFonts w:ascii="Arial" w:hAnsi="Arial" w:cs="Arial"/>
                <w:sz w:val="32"/>
                <w:szCs w:val="32"/>
                <w:lang w:val="fr-CA"/>
              </w:rPr>
            </w:pPr>
          </w:p>
          <w:p w14:paraId="6A8C28FC" w14:textId="77777777" w:rsidR="006D09B4" w:rsidRPr="001E764F" w:rsidRDefault="006D09B4" w:rsidP="006D09B4">
            <w:pPr>
              <w:rPr>
                <w:rFonts w:ascii="Arial" w:hAnsi="Arial" w:cs="Arial"/>
                <w:sz w:val="32"/>
                <w:szCs w:val="32"/>
                <w:lang w:val="fr-CA"/>
              </w:rPr>
            </w:pPr>
          </w:p>
        </w:tc>
        <w:tc>
          <w:tcPr>
            <w:tcW w:w="3828" w:type="dxa"/>
            <w:vMerge/>
          </w:tcPr>
          <w:p w14:paraId="6A8C28FD" w14:textId="77777777" w:rsidR="006D09B4" w:rsidRPr="001E764F" w:rsidRDefault="006D09B4" w:rsidP="006D09B4">
            <w:pPr>
              <w:rPr>
                <w:rFonts w:ascii="Arial" w:hAnsi="Arial" w:cs="Arial"/>
                <w:sz w:val="32"/>
                <w:szCs w:val="32"/>
                <w:lang w:val="fr-CA"/>
              </w:rPr>
            </w:pPr>
          </w:p>
        </w:tc>
      </w:tr>
    </w:tbl>
    <w:p w14:paraId="6A8C28FF"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6A8C2904" w14:textId="77777777" w:rsidTr="00A856CE">
        <w:tc>
          <w:tcPr>
            <w:tcW w:w="1818" w:type="dxa"/>
            <w:shd w:val="clear" w:color="auto" w:fill="auto"/>
            <w:vAlign w:val="center"/>
          </w:tcPr>
          <w:p w14:paraId="6A8C2900"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6A8C2901" w14:textId="760869AF" w:rsidR="00EA73B7" w:rsidRPr="001D67CE" w:rsidRDefault="00CE6A37" w:rsidP="002159B4">
            <w:pPr>
              <w:rPr>
                <w:rFonts w:ascii="Arial" w:hAnsi="Arial" w:cs="Arial"/>
              </w:rPr>
            </w:pPr>
            <w:r>
              <w:rPr>
                <w:rFonts w:ascii="Arial" w:hAnsi="Arial" w:cs="Arial"/>
              </w:rPr>
              <w:t>November 05, 2020</w:t>
            </w:r>
          </w:p>
        </w:tc>
        <w:tc>
          <w:tcPr>
            <w:tcW w:w="1890" w:type="dxa"/>
            <w:shd w:val="clear" w:color="auto" w:fill="auto"/>
            <w:vAlign w:val="center"/>
          </w:tcPr>
          <w:p w14:paraId="6A8C2902" w14:textId="05A31980"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6A8C2903" w14:textId="47300027" w:rsidR="00EA73B7" w:rsidRPr="00A856CE" w:rsidRDefault="00A856CE" w:rsidP="00FE3ABD">
            <w:pPr>
              <w:jc w:val="center"/>
              <w:rPr>
                <w:rFonts w:ascii="Arial" w:hAnsi="Arial" w:cs="Arial"/>
              </w:rPr>
            </w:pPr>
            <w:r>
              <w:rPr>
                <w:rFonts w:ascii="Arial" w:hAnsi="Arial" w:cs="Arial"/>
                <w:b/>
              </w:rPr>
              <w:t xml:space="preserve">         </w:t>
            </w:r>
            <w:r w:rsidRPr="00A856CE">
              <w:rPr>
                <w:rFonts w:ascii="Arial" w:hAnsi="Arial" w:cs="Arial"/>
              </w:rPr>
              <w:t>PL200283</w:t>
            </w:r>
          </w:p>
        </w:tc>
      </w:tr>
    </w:tbl>
    <w:p w14:paraId="6A8C2905" w14:textId="77777777"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14:paraId="6A8C2907" w14:textId="77777777" w:rsidTr="00A856CE">
        <w:tc>
          <w:tcPr>
            <w:tcW w:w="9606" w:type="dxa"/>
          </w:tcPr>
          <w:p w14:paraId="6A8C2906"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6A8C2908" w14:textId="322C3825" w:rsidR="001D67CE" w:rsidRDefault="001D67CE" w:rsidP="00270AAE">
      <w:pPr>
        <w:rPr>
          <w:rFonts w:ascii="Arial" w:hAnsi="Arial" w:cs="Arial"/>
          <w:highlight w:val="yellow"/>
        </w:rPr>
      </w:pPr>
    </w:p>
    <w:tbl>
      <w:tblPr>
        <w:tblW w:w="0" w:type="auto"/>
        <w:tblLayout w:type="fixed"/>
        <w:tblLook w:val="04A0" w:firstRow="1" w:lastRow="0" w:firstColumn="1" w:lastColumn="0" w:noHBand="0" w:noVBand="1"/>
      </w:tblPr>
      <w:tblGrid>
        <w:gridCol w:w="3936"/>
        <w:gridCol w:w="5616"/>
      </w:tblGrid>
      <w:tr w:rsidR="00A856CE" w14:paraId="3187D95A" w14:textId="77777777" w:rsidTr="00A856CE">
        <w:trPr>
          <w:trHeight w:val="275"/>
        </w:trPr>
        <w:tc>
          <w:tcPr>
            <w:tcW w:w="9552" w:type="dxa"/>
            <w:gridSpan w:val="2"/>
            <w:tcBorders>
              <w:top w:val="nil"/>
              <w:left w:val="nil"/>
              <w:bottom w:val="nil"/>
              <w:right w:val="nil"/>
            </w:tcBorders>
          </w:tcPr>
          <w:p w14:paraId="3795012B" w14:textId="77777777" w:rsidR="00A856CE" w:rsidRDefault="00A856CE">
            <w:pPr>
              <w:pStyle w:val="Default"/>
              <w:rPr>
                <w:szCs w:val="22"/>
              </w:rPr>
            </w:pPr>
            <w:r>
              <w:rPr>
                <w:b/>
                <w:bCs/>
                <w:szCs w:val="22"/>
              </w:rPr>
              <w:t xml:space="preserve">PROCEEDING COMMENCED UNDER </w:t>
            </w:r>
            <w:r>
              <w:rPr>
                <w:szCs w:val="22"/>
              </w:rPr>
              <w:t xml:space="preserve">subsection 45(12) of the </w:t>
            </w:r>
            <w:r>
              <w:rPr>
                <w:i/>
                <w:iCs/>
                <w:szCs w:val="22"/>
              </w:rPr>
              <w:t>Planning Act</w:t>
            </w:r>
            <w:r>
              <w:rPr>
                <w:szCs w:val="22"/>
              </w:rPr>
              <w:t xml:space="preserve">, R.S.O. 1990, c. P.13, as amended </w:t>
            </w:r>
          </w:p>
          <w:p w14:paraId="6A5A9EB8" w14:textId="77777777" w:rsidR="00A856CE" w:rsidRDefault="00A856CE">
            <w:pPr>
              <w:pStyle w:val="Default"/>
              <w:rPr>
                <w:szCs w:val="22"/>
              </w:rPr>
            </w:pPr>
          </w:p>
        </w:tc>
      </w:tr>
      <w:tr w:rsidR="00A856CE" w14:paraId="4454A78F" w14:textId="77777777" w:rsidTr="00A856CE">
        <w:trPr>
          <w:trHeight w:val="146"/>
        </w:trPr>
        <w:tc>
          <w:tcPr>
            <w:tcW w:w="3936" w:type="dxa"/>
            <w:tcBorders>
              <w:top w:val="nil"/>
              <w:left w:val="nil"/>
              <w:bottom w:val="nil"/>
              <w:right w:val="nil"/>
            </w:tcBorders>
            <w:hideMark/>
          </w:tcPr>
          <w:p w14:paraId="43AA29BC" w14:textId="77777777" w:rsidR="00A856CE" w:rsidRDefault="00A856CE">
            <w:pPr>
              <w:pStyle w:val="Default"/>
              <w:rPr>
                <w:szCs w:val="22"/>
              </w:rPr>
            </w:pPr>
            <w:r>
              <w:rPr>
                <w:szCs w:val="22"/>
              </w:rPr>
              <w:t xml:space="preserve">Applicant </w:t>
            </w:r>
          </w:p>
          <w:p w14:paraId="720FFB8B" w14:textId="77777777" w:rsidR="00A856CE" w:rsidRDefault="00A856CE">
            <w:pPr>
              <w:pStyle w:val="Default"/>
              <w:rPr>
                <w:szCs w:val="22"/>
              </w:rPr>
            </w:pPr>
            <w:r>
              <w:rPr>
                <w:szCs w:val="22"/>
              </w:rPr>
              <w:t>Appellant</w:t>
            </w:r>
          </w:p>
        </w:tc>
        <w:tc>
          <w:tcPr>
            <w:tcW w:w="5616" w:type="dxa"/>
            <w:tcBorders>
              <w:top w:val="nil"/>
              <w:left w:val="nil"/>
              <w:bottom w:val="nil"/>
              <w:right w:val="nil"/>
            </w:tcBorders>
            <w:hideMark/>
          </w:tcPr>
          <w:p w14:paraId="6A31F310" w14:textId="77777777" w:rsidR="00A856CE" w:rsidRDefault="00A856CE" w:rsidP="005810BD">
            <w:pPr>
              <w:pStyle w:val="Default"/>
              <w:ind w:left="492"/>
              <w:rPr>
                <w:szCs w:val="22"/>
              </w:rPr>
            </w:pPr>
            <w:r>
              <w:rPr>
                <w:szCs w:val="22"/>
              </w:rPr>
              <w:t>Gold Star Plaza Ltd.</w:t>
            </w:r>
          </w:p>
          <w:p w14:paraId="1946987D" w14:textId="77777777" w:rsidR="00A856CE" w:rsidRDefault="00A856CE" w:rsidP="005810BD">
            <w:pPr>
              <w:pStyle w:val="Default"/>
              <w:ind w:left="492"/>
              <w:rPr>
                <w:szCs w:val="22"/>
              </w:rPr>
            </w:pPr>
            <w:r>
              <w:rPr>
                <w:szCs w:val="22"/>
              </w:rPr>
              <w:t>Raghu Ravindra</w:t>
            </w:r>
          </w:p>
        </w:tc>
      </w:tr>
      <w:tr w:rsidR="00A856CE" w14:paraId="1CFDA803" w14:textId="77777777" w:rsidTr="00A856CE">
        <w:trPr>
          <w:trHeight w:val="146"/>
        </w:trPr>
        <w:tc>
          <w:tcPr>
            <w:tcW w:w="3936" w:type="dxa"/>
            <w:tcBorders>
              <w:top w:val="nil"/>
              <w:left w:val="nil"/>
              <w:bottom w:val="nil"/>
              <w:right w:val="nil"/>
            </w:tcBorders>
            <w:hideMark/>
          </w:tcPr>
          <w:p w14:paraId="7EAD02F8" w14:textId="77777777" w:rsidR="00A856CE" w:rsidRDefault="00A856CE">
            <w:pPr>
              <w:pStyle w:val="Default"/>
              <w:rPr>
                <w:szCs w:val="22"/>
              </w:rPr>
            </w:pPr>
            <w:r>
              <w:rPr>
                <w:szCs w:val="22"/>
              </w:rPr>
              <w:t xml:space="preserve">Subject: </w:t>
            </w:r>
          </w:p>
        </w:tc>
        <w:tc>
          <w:tcPr>
            <w:tcW w:w="5616" w:type="dxa"/>
            <w:tcBorders>
              <w:top w:val="nil"/>
              <w:left w:val="nil"/>
              <w:bottom w:val="nil"/>
              <w:right w:val="nil"/>
            </w:tcBorders>
            <w:hideMark/>
          </w:tcPr>
          <w:p w14:paraId="4E57E51F" w14:textId="77777777" w:rsidR="00A856CE" w:rsidRDefault="00A856CE" w:rsidP="005810BD">
            <w:pPr>
              <w:pStyle w:val="Default"/>
              <w:ind w:left="492"/>
              <w:rPr>
                <w:szCs w:val="22"/>
              </w:rPr>
            </w:pPr>
            <w:r>
              <w:rPr>
                <w:szCs w:val="22"/>
              </w:rPr>
              <w:t xml:space="preserve">Minor Variance </w:t>
            </w:r>
          </w:p>
        </w:tc>
      </w:tr>
      <w:tr w:rsidR="00A856CE" w14:paraId="11F22636" w14:textId="77777777" w:rsidTr="00A856CE">
        <w:trPr>
          <w:trHeight w:val="146"/>
        </w:trPr>
        <w:tc>
          <w:tcPr>
            <w:tcW w:w="3936" w:type="dxa"/>
            <w:tcBorders>
              <w:top w:val="nil"/>
              <w:left w:val="nil"/>
              <w:bottom w:val="nil"/>
              <w:right w:val="nil"/>
            </w:tcBorders>
            <w:hideMark/>
          </w:tcPr>
          <w:p w14:paraId="4A233516" w14:textId="77777777" w:rsidR="00A856CE" w:rsidRDefault="00A856CE">
            <w:pPr>
              <w:pStyle w:val="Default"/>
              <w:rPr>
                <w:szCs w:val="22"/>
              </w:rPr>
            </w:pPr>
            <w:r>
              <w:rPr>
                <w:szCs w:val="22"/>
              </w:rPr>
              <w:t xml:space="preserve">Variance from By-law No.: </w:t>
            </w:r>
          </w:p>
        </w:tc>
        <w:tc>
          <w:tcPr>
            <w:tcW w:w="5616" w:type="dxa"/>
            <w:tcBorders>
              <w:top w:val="nil"/>
              <w:left w:val="nil"/>
              <w:bottom w:val="nil"/>
              <w:right w:val="nil"/>
            </w:tcBorders>
            <w:hideMark/>
          </w:tcPr>
          <w:p w14:paraId="43B85719" w14:textId="77777777" w:rsidR="00A856CE" w:rsidRDefault="00A856CE" w:rsidP="005810BD">
            <w:pPr>
              <w:pStyle w:val="Default"/>
              <w:ind w:left="492"/>
              <w:rPr>
                <w:szCs w:val="22"/>
              </w:rPr>
            </w:pPr>
            <w:r>
              <w:rPr>
                <w:szCs w:val="22"/>
              </w:rPr>
              <w:t>0225-2007</w:t>
            </w:r>
          </w:p>
        </w:tc>
      </w:tr>
      <w:tr w:rsidR="00A856CE" w14:paraId="686F4A1A" w14:textId="77777777" w:rsidTr="00A856CE">
        <w:trPr>
          <w:trHeight w:val="146"/>
        </w:trPr>
        <w:tc>
          <w:tcPr>
            <w:tcW w:w="3936" w:type="dxa"/>
            <w:tcBorders>
              <w:top w:val="nil"/>
              <w:left w:val="nil"/>
              <w:bottom w:val="nil"/>
              <w:right w:val="nil"/>
            </w:tcBorders>
            <w:hideMark/>
          </w:tcPr>
          <w:p w14:paraId="11B0AE13" w14:textId="77777777" w:rsidR="00A856CE" w:rsidRDefault="00A856CE">
            <w:pPr>
              <w:pStyle w:val="Default"/>
              <w:rPr>
                <w:szCs w:val="22"/>
              </w:rPr>
            </w:pPr>
            <w:r>
              <w:rPr>
                <w:szCs w:val="22"/>
              </w:rPr>
              <w:t xml:space="preserve">Property Address/Description: </w:t>
            </w:r>
          </w:p>
        </w:tc>
        <w:tc>
          <w:tcPr>
            <w:tcW w:w="5616" w:type="dxa"/>
            <w:tcBorders>
              <w:top w:val="nil"/>
              <w:left w:val="nil"/>
              <w:bottom w:val="nil"/>
              <w:right w:val="nil"/>
            </w:tcBorders>
            <w:hideMark/>
          </w:tcPr>
          <w:p w14:paraId="4212DB2E" w14:textId="77777777" w:rsidR="00A856CE" w:rsidRDefault="00A856CE" w:rsidP="005810BD">
            <w:pPr>
              <w:pStyle w:val="Default"/>
              <w:ind w:left="492"/>
              <w:rPr>
                <w:szCs w:val="22"/>
              </w:rPr>
            </w:pPr>
            <w:r>
              <w:rPr>
                <w:szCs w:val="22"/>
              </w:rPr>
              <w:t>60 Dundas Street East</w:t>
            </w:r>
          </w:p>
        </w:tc>
      </w:tr>
      <w:tr w:rsidR="00A856CE" w14:paraId="44707E07" w14:textId="77777777" w:rsidTr="00A856CE">
        <w:trPr>
          <w:trHeight w:val="146"/>
        </w:trPr>
        <w:tc>
          <w:tcPr>
            <w:tcW w:w="3936" w:type="dxa"/>
            <w:tcBorders>
              <w:top w:val="nil"/>
              <w:left w:val="nil"/>
              <w:bottom w:val="nil"/>
              <w:right w:val="nil"/>
            </w:tcBorders>
            <w:hideMark/>
          </w:tcPr>
          <w:p w14:paraId="107AB1D9" w14:textId="77777777" w:rsidR="00A856CE" w:rsidRDefault="00A856CE">
            <w:pPr>
              <w:pStyle w:val="Default"/>
              <w:rPr>
                <w:szCs w:val="22"/>
              </w:rPr>
            </w:pPr>
            <w:r>
              <w:rPr>
                <w:szCs w:val="22"/>
              </w:rPr>
              <w:t xml:space="preserve">Municipality: </w:t>
            </w:r>
          </w:p>
        </w:tc>
        <w:tc>
          <w:tcPr>
            <w:tcW w:w="5616" w:type="dxa"/>
            <w:tcBorders>
              <w:top w:val="nil"/>
              <w:left w:val="nil"/>
              <w:bottom w:val="nil"/>
              <w:right w:val="nil"/>
            </w:tcBorders>
            <w:hideMark/>
          </w:tcPr>
          <w:p w14:paraId="4E05829C" w14:textId="77777777" w:rsidR="00A856CE" w:rsidRDefault="00A856CE" w:rsidP="005810BD">
            <w:pPr>
              <w:pStyle w:val="Default"/>
              <w:ind w:left="492"/>
              <w:rPr>
                <w:szCs w:val="22"/>
              </w:rPr>
            </w:pPr>
            <w:r>
              <w:rPr>
                <w:szCs w:val="22"/>
              </w:rPr>
              <w:t xml:space="preserve">City of Mississauga </w:t>
            </w:r>
          </w:p>
        </w:tc>
      </w:tr>
      <w:tr w:rsidR="00A856CE" w14:paraId="563AA3E9" w14:textId="77777777" w:rsidTr="00A856CE">
        <w:trPr>
          <w:trHeight w:val="146"/>
        </w:trPr>
        <w:tc>
          <w:tcPr>
            <w:tcW w:w="3936" w:type="dxa"/>
            <w:tcBorders>
              <w:top w:val="nil"/>
              <w:left w:val="nil"/>
              <w:bottom w:val="nil"/>
              <w:right w:val="nil"/>
            </w:tcBorders>
            <w:hideMark/>
          </w:tcPr>
          <w:p w14:paraId="2A9FA6D7" w14:textId="77777777" w:rsidR="00A856CE" w:rsidRDefault="00A856CE">
            <w:pPr>
              <w:pStyle w:val="Default"/>
              <w:rPr>
                <w:szCs w:val="22"/>
              </w:rPr>
            </w:pPr>
            <w:r>
              <w:rPr>
                <w:szCs w:val="22"/>
              </w:rPr>
              <w:t xml:space="preserve">Municipal File No.: </w:t>
            </w:r>
          </w:p>
        </w:tc>
        <w:tc>
          <w:tcPr>
            <w:tcW w:w="5616" w:type="dxa"/>
            <w:tcBorders>
              <w:top w:val="nil"/>
              <w:left w:val="nil"/>
              <w:bottom w:val="nil"/>
              <w:right w:val="nil"/>
            </w:tcBorders>
            <w:hideMark/>
          </w:tcPr>
          <w:p w14:paraId="49D046D8" w14:textId="77777777" w:rsidR="00A856CE" w:rsidRDefault="00A856CE" w:rsidP="005810BD">
            <w:pPr>
              <w:pStyle w:val="Default"/>
              <w:ind w:left="492"/>
              <w:rPr>
                <w:szCs w:val="22"/>
              </w:rPr>
            </w:pPr>
            <w:r>
              <w:rPr>
                <w:szCs w:val="22"/>
              </w:rPr>
              <w:t>“A” 38/20</w:t>
            </w:r>
          </w:p>
        </w:tc>
      </w:tr>
      <w:tr w:rsidR="00A856CE" w14:paraId="34D32CA8" w14:textId="77777777" w:rsidTr="00A856CE">
        <w:trPr>
          <w:trHeight w:val="146"/>
        </w:trPr>
        <w:tc>
          <w:tcPr>
            <w:tcW w:w="3936" w:type="dxa"/>
            <w:tcBorders>
              <w:top w:val="nil"/>
              <w:left w:val="nil"/>
              <w:bottom w:val="nil"/>
              <w:right w:val="nil"/>
            </w:tcBorders>
            <w:hideMark/>
          </w:tcPr>
          <w:p w14:paraId="22AEFA83" w14:textId="77777777" w:rsidR="00A856CE" w:rsidRDefault="00A856CE">
            <w:pPr>
              <w:pStyle w:val="Default"/>
              <w:rPr>
                <w:szCs w:val="22"/>
              </w:rPr>
            </w:pPr>
            <w:r>
              <w:rPr>
                <w:szCs w:val="22"/>
              </w:rPr>
              <w:t xml:space="preserve">LPAT Case No.: </w:t>
            </w:r>
          </w:p>
        </w:tc>
        <w:tc>
          <w:tcPr>
            <w:tcW w:w="5616" w:type="dxa"/>
            <w:tcBorders>
              <w:top w:val="nil"/>
              <w:left w:val="nil"/>
              <w:bottom w:val="nil"/>
              <w:right w:val="nil"/>
            </w:tcBorders>
            <w:hideMark/>
          </w:tcPr>
          <w:p w14:paraId="2DCD3767" w14:textId="77777777" w:rsidR="00A856CE" w:rsidRDefault="00A856CE" w:rsidP="005810BD">
            <w:pPr>
              <w:pStyle w:val="Default"/>
              <w:ind w:left="492"/>
              <w:rPr>
                <w:szCs w:val="22"/>
              </w:rPr>
            </w:pPr>
            <w:r>
              <w:rPr>
                <w:szCs w:val="22"/>
              </w:rPr>
              <w:t xml:space="preserve">PL200283 </w:t>
            </w:r>
          </w:p>
        </w:tc>
      </w:tr>
      <w:tr w:rsidR="00A856CE" w14:paraId="37207105" w14:textId="77777777" w:rsidTr="00A856CE">
        <w:trPr>
          <w:trHeight w:val="146"/>
        </w:trPr>
        <w:tc>
          <w:tcPr>
            <w:tcW w:w="3936" w:type="dxa"/>
            <w:tcBorders>
              <w:top w:val="nil"/>
              <w:left w:val="nil"/>
              <w:bottom w:val="nil"/>
              <w:right w:val="nil"/>
            </w:tcBorders>
            <w:hideMark/>
          </w:tcPr>
          <w:p w14:paraId="2464F263" w14:textId="77777777" w:rsidR="00A856CE" w:rsidRDefault="00A856CE">
            <w:pPr>
              <w:pStyle w:val="Default"/>
              <w:rPr>
                <w:szCs w:val="22"/>
              </w:rPr>
            </w:pPr>
            <w:r>
              <w:rPr>
                <w:szCs w:val="22"/>
              </w:rPr>
              <w:t xml:space="preserve">LPAT File No.: </w:t>
            </w:r>
          </w:p>
        </w:tc>
        <w:tc>
          <w:tcPr>
            <w:tcW w:w="5616" w:type="dxa"/>
            <w:tcBorders>
              <w:top w:val="nil"/>
              <w:left w:val="nil"/>
              <w:bottom w:val="nil"/>
              <w:right w:val="nil"/>
            </w:tcBorders>
            <w:hideMark/>
          </w:tcPr>
          <w:p w14:paraId="4FB39322" w14:textId="77777777" w:rsidR="00A856CE" w:rsidRDefault="00A856CE" w:rsidP="005810BD">
            <w:pPr>
              <w:pStyle w:val="Default"/>
              <w:ind w:left="492"/>
              <w:rPr>
                <w:szCs w:val="22"/>
              </w:rPr>
            </w:pPr>
            <w:r>
              <w:rPr>
                <w:szCs w:val="22"/>
              </w:rPr>
              <w:t xml:space="preserve">PL200283 </w:t>
            </w:r>
            <w:bookmarkStart w:id="1" w:name="_GoBack"/>
            <w:bookmarkEnd w:id="1"/>
          </w:p>
        </w:tc>
      </w:tr>
    </w:tbl>
    <w:p w14:paraId="729C9558" w14:textId="079DE0A8" w:rsidR="00A856CE" w:rsidRPr="00A856CE" w:rsidRDefault="00A856CE" w:rsidP="00A856CE">
      <w:pPr>
        <w:tabs>
          <w:tab w:val="center" w:pos="4709"/>
        </w:tabs>
        <w:rPr>
          <w:rFonts w:ascii="Arial" w:hAnsi="Arial" w:cs="Arial"/>
          <w:szCs w:val="22"/>
        </w:rPr>
      </w:pPr>
      <w:r>
        <w:rPr>
          <w:rFonts w:cs="Arial"/>
          <w:szCs w:val="22"/>
        </w:rPr>
        <w:t xml:space="preserve">  </w:t>
      </w:r>
      <w:r w:rsidRPr="00A856CE">
        <w:rPr>
          <w:rFonts w:ascii="Arial" w:hAnsi="Arial" w:cs="Arial"/>
          <w:szCs w:val="22"/>
        </w:rPr>
        <w:t>LPAT Case Name:</w:t>
      </w:r>
      <w:r w:rsidRPr="00A856CE">
        <w:rPr>
          <w:rFonts w:ascii="Arial" w:hAnsi="Arial" w:cs="Arial"/>
          <w:szCs w:val="22"/>
        </w:rPr>
        <w:tab/>
        <w:t xml:space="preserve">                          </w:t>
      </w:r>
      <w:r w:rsidR="005810BD">
        <w:rPr>
          <w:rFonts w:ascii="Arial" w:hAnsi="Arial" w:cs="Arial"/>
          <w:szCs w:val="22"/>
        </w:rPr>
        <w:t xml:space="preserve">          </w:t>
      </w:r>
      <w:r w:rsidRPr="00A856CE">
        <w:rPr>
          <w:rFonts w:ascii="Arial" w:hAnsi="Arial" w:cs="Arial"/>
          <w:szCs w:val="22"/>
        </w:rPr>
        <w:t>Ravindra v. Mississauga (City)</w:t>
      </w:r>
    </w:p>
    <w:p w14:paraId="6A8C290B" w14:textId="77777777" w:rsidR="00F46275" w:rsidRDefault="00F46275" w:rsidP="00270AAE">
      <w:pPr>
        <w:rPr>
          <w:rFonts w:ascii="Arial" w:hAnsi="Arial" w:cs="Arial"/>
        </w:rPr>
      </w:pPr>
    </w:p>
    <w:p w14:paraId="6A8C2910"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14:paraId="6A8C2913" w14:textId="77777777" w:rsidTr="00E00129">
        <w:tc>
          <w:tcPr>
            <w:tcW w:w="4338" w:type="dxa"/>
          </w:tcPr>
          <w:p w14:paraId="6A8C2911" w14:textId="75BF38CA" w:rsidR="00B268A7" w:rsidRPr="00C940BC" w:rsidRDefault="00B268A7" w:rsidP="00270AAE">
            <w:pPr>
              <w:rPr>
                <w:rFonts w:ascii="Arial" w:hAnsi="Arial" w:cs="Arial"/>
              </w:rPr>
            </w:pPr>
            <w:r w:rsidRPr="001E764F">
              <w:rPr>
                <w:rFonts w:ascii="Arial" w:hAnsi="Arial" w:cs="Arial"/>
                <w:b/>
              </w:rPr>
              <w:t>Heard:</w:t>
            </w:r>
            <w:r w:rsidR="00756661">
              <w:rPr>
                <w:rFonts w:ascii="Arial" w:hAnsi="Arial" w:cs="Arial"/>
                <w:b/>
              </w:rPr>
              <w:t xml:space="preserve"> </w:t>
            </w:r>
          </w:p>
        </w:tc>
        <w:tc>
          <w:tcPr>
            <w:tcW w:w="5238" w:type="dxa"/>
          </w:tcPr>
          <w:p w14:paraId="6A8C2912" w14:textId="5EC244D7" w:rsidR="00B268A7" w:rsidRPr="001E764F" w:rsidRDefault="00A856CE" w:rsidP="00270AAE">
            <w:pPr>
              <w:rPr>
                <w:rFonts w:ascii="Arial" w:hAnsi="Arial" w:cs="Arial"/>
              </w:rPr>
            </w:pPr>
            <w:r w:rsidRPr="00487CF8">
              <w:rPr>
                <w:rFonts w:ascii="Arial" w:hAnsi="Arial" w:cs="Arial"/>
              </w:rPr>
              <w:t>October 28, 2020</w:t>
            </w:r>
            <w:r>
              <w:rPr>
                <w:rFonts w:ascii="Arial" w:hAnsi="Arial" w:cs="Arial"/>
                <w:b/>
              </w:rPr>
              <w:t xml:space="preserve"> </w:t>
            </w:r>
            <w:r>
              <w:rPr>
                <w:rFonts w:ascii="Arial" w:hAnsi="Arial" w:cs="Arial"/>
              </w:rPr>
              <w:t>b</w:t>
            </w:r>
            <w:r w:rsidR="00756661">
              <w:rPr>
                <w:rFonts w:ascii="Arial" w:hAnsi="Arial" w:cs="Arial"/>
              </w:rPr>
              <w:t xml:space="preserve">y </w:t>
            </w:r>
            <w:r>
              <w:rPr>
                <w:rFonts w:ascii="Arial" w:hAnsi="Arial" w:cs="Arial"/>
              </w:rPr>
              <w:t>v</w:t>
            </w:r>
            <w:r w:rsidR="006D6A76">
              <w:rPr>
                <w:rFonts w:ascii="Arial" w:hAnsi="Arial" w:cs="Arial"/>
              </w:rPr>
              <w:t xml:space="preserve">ideo </w:t>
            </w:r>
            <w:r>
              <w:rPr>
                <w:rFonts w:ascii="Arial" w:hAnsi="Arial" w:cs="Arial"/>
              </w:rPr>
              <w:t>h</w:t>
            </w:r>
            <w:r w:rsidR="006D6A76">
              <w:rPr>
                <w:rFonts w:ascii="Arial" w:hAnsi="Arial" w:cs="Arial"/>
              </w:rPr>
              <w:t>earing</w:t>
            </w:r>
          </w:p>
        </w:tc>
      </w:tr>
    </w:tbl>
    <w:p w14:paraId="6A8C2914"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14:paraId="6A8C2917" w14:textId="77777777" w:rsidTr="00E00129">
        <w:tc>
          <w:tcPr>
            <w:tcW w:w="4361" w:type="dxa"/>
          </w:tcPr>
          <w:bookmarkEnd w:id="0"/>
          <w:p w14:paraId="6A8C2915" w14:textId="77777777" w:rsidR="0089782A" w:rsidRPr="00C940BC" w:rsidRDefault="0089782A" w:rsidP="00270AAE">
            <w:pPr>
              <w:rPr>
                <w:rFonts w:ascii="Arial" w:hAnsi="Arial" w:cs="Arial"/>
              </w:rPr>
            </w:pPr>
            <w:r w:rsidRPr="001E764F">
              <w:rPr>
                <w:rFonts w:ascii="Arial" w:hAnsi="Arial" w:cs="Arial"/>
                <w:b/>
              </w:rPr>
              <w:t>APPEARANCES:</w:t>
            </w:r>
          </w:p>
        </w:tc>
        <w:tc>
          <w:tcPr>
            <w:tcW w:w="5245" w:type="dxa"/>
          </w:tcPr>
          <w:p w14:paraId="6A8C2916" w14:textId="77777777" w:rsidR="0089782A" w:rsidRPr="001E764F" w:rsidRDefault="0089782A" w:rsidP="00270AAE">
            <w:pPr>
              <w:rPr>
                <w:rFonts w:ascii="Arial" w:hAnsi="Arial" w:cs="Arial"/>
              </w:rPr>
            </w:pPr>
          </w:p>
        </w:tc>
      </w:tr>
      <w:tr w:rsidR="0089782A" w:rsidRPr="001E764F" w14:paraId="6A8C291A" w14:textId="77777777" w:rsidTr="00E00129">
        <w:tc>
          <w:tcPr>
            <w:tcW w:w="4361" w:type="dxa"/>
          </w:tcPr>
          <w:p w14:paraId="6A8C2918" w14:textId="77777777" w:rsidR="0089782A" w:rsidRPr="001E764F" w:rsidRDefault="0089782A" w:rsidP="00270AAE">
            <w:pPr>
              <w:rPr>
                <w:rFonts w:ascii="Arial" w:hAnsi="Arial" w:cs="Arial"/>
              </w:rPr>
            </w:pPr>
          </w:p>
        </w:tc>
        <w:tc>
          <w:tcPr>
            <w:tcW w:w="5245" w:type="dxa"/>
          </w:tcPr>
          <w:p w14:paraId="6A8C2919" w14:textId="77777777" w:rsidR="0089782A" w:rsidRPr="001E764F" w:rsidRDefault="0089782A" w:rsidP="00270AAE">
            <w:pPr>
              <w:rPr>
                <w:rFonts w:ascii="Arial" w:hAnsi="Arial" w:cs="Arial"/>
              </w:rPr>
            </w:pPr>
          </w:p>
        </w:tc>
      </w:tr>
      <w:tr w:rsidR="008046EB" w:rsidRPr="001E764F" w14:paraId="6A8C291D" w14:textId="77777777" w:rsidTr="00E00129">
        <w:tc>
          <w:tcPr>
            <w:tcW w:w="4361" w:type="dxa"/>
          </w:tcPr>
          <w:p w14:paraId="6A8C291B"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14:paraId="6A8C291C" w14:textId="77777777"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r w:rsidR="003D1234" w:rsidRPr="00C300F2">
              <w:rPr>
                <w:rFonts w:ascii="Arial" w:hAnsi="Arial" w:cs="Arial"/>
                <w:b/>
                <w:u w:val="single"/>
              </w:rPr>
              <w:t>*</w:t>
            </w:r>
            <w:r w:rsidRPr="00C300F2">
              <w:rPr>
                <w:rFonts w:ascii="Arial" w:hAnsi="Arial" w:cs="Arial"/>
                <w:b/>
                <w:u w:val="single"/>
              </w:rPr>
              <w:t>/</w:t>
            </w:r>
            <w:bookmarkEnd w:id="3"/>
            <w:r w:rsidR="009333AA" w:rsidRPr="00C300F2">
              <w:rPr>
                <w:rFonts w:ascii="Arial" w:hAnsi="Arial" w:cs="Arial"/>
                <w:b/>
                <w:u w:val="single"/>
              </w:rPr>
              <w:t>Representative</w:t>
            </w:r>
          </w:p>
        </w:tc>
      </w:tr>
      <w:tr w:rsidR="00A856CE" w:rsidRPr="001E764F" w14:paraId="4CCEC54E" w14:textId="77777777" w:rsidTr="00E00129">
        <w:tc>
          <w:tcPr>
            <w:tcW w:w="4361" w:type="dxa"/>
          </w:tcPr>
          <w:p w14:paraId="7E67C174" w14:textId="77777777" w:rsidR="00A856CE" w:rsidRPr="00C300F2" w:rsidRDefault="00A856CE" w:rsidP="00270AAE">
            <w:pPr>
              <w:rPr>
                <w:rFonts w:ascii="Arial" w:hAnsi="Arial" w:cs="Arial"/>
                <w:b/>
                <w:u w:val="single"/>
              </w:rPr>
            </w:pPr>
          </w:p>
        </w:tc>
        <w:tc>
          <w:tcPr>
            <w:tcW w:w="5245" w:type="dxa"/>
          </w:tcPr>
          <w:p w14:paraId="6D756C75" w14:textId="77777777" w:rsidR="00A856CE" w:rsidRPr="00C300F2" w:rsidRDefault="00A856CE" w:rsidP="00270AAE">
            <w:pPr>
              <w:rPr>
                <w:rFonts w:ascii="Arial" w:hAnsi="Arial" w:cs="Arial"/>
                <w:b/>
                <w:u w:val="single"/>
              </w:rPr>
            </w:pPr>
          </w:p>
        </w:tc>
      </w:tr>
      <w:tr w:rsidR="00CF3F96" w:rsidRPr="001E764F" w14:paraId="6A8C2920" w14:textId="77777777" w:rsidTr="00E00129">
        <w:tc>
          <w:tcPr>
            <w:tcW w:w="4361" w:type="dxa"/>
          </w:tcPr>
          <w:p w14:paraId="6A8C291E" w14:textId="5D0AC10A" w:rsidR="00CF3F96" w:rsidRPr="001E764F" w:rsidRDefault="006D6A76" w:rsidP="00270AAE">
            <w:pPr>
              <w:rPr>
                <w:rFonts w:ascii="Arial" w:hAnsi="Arial" w:cs="Arial"/>
              </w:rPr>
            </w:pPr>
            <w:r>
              <w:rPr>
                <w:rFonts w:ascii="Arial" w:hAnsi="Arial" w:cs="Arial"/>
              </w:rPr>
              <w:t>Raghu Ravindra</w:t>
            </w:r>
          </w:p>
        </w:tc>
        <w:tc>
          <w:tcPr>
            <w:tcW w:w="5245" w:type="dxa"/>
          </w:tcPr>
          <w:p w14:paraId="6A8C291F" w14:textId="35005FDA" w:rsidR="00CF3F96" w:rsidRPr="001D67CE" w:rsidRDefault="006D6A76" w:rsidP="00270AAE">
            <w:pPr>
              <w:rPr>
                <w:rFonts w:ascii="Arial" w:hAnsi="Arial" w:cs="Arial"/>
              </w:rPr>
            </w:pPr>
            <w:r>
              <w:rPr>
                <w:rFonts w:ascii="Arial" w:hAnsi="Arial" w:cs="Arial"/>
              </w:rPr>
              <w:t>Failed to appear</w:t>
            </w:r>
          </w:p>
        </w:tc>
      </w:tr>
      <w:tr w:rsidR="00A856CE" w:rsidRPr="001E764F" w14:paraId="4315EB31" w14:textId="77777777" w:rsidTr="00E00129">
        <w:tc>
          <w:tcPr>
            <w:tcW w:w="4361" w:type="dxa"/>
          </w:tcPr>
          <w:p w14:paraId="05BC66A7" w14:textId="77777777" w:rsidR="00A856CE" w:rsidRDefault="00A856CE" w:rsidP="00270AAE">
            <w:pPr>
              <w:rPr>
                <w:rFonts w:ascii="Arial" w:hAnsi="Arial" w:cs="Arial"/>
              </w:rPr>
            </w:pPr>
          </w:p>
        </w:tc>
        <w:tc>
          <w:tcPr>
            <w:tcW w:w="5245" w:type="dxa"/>
          </w:tcPr>
          <w:p w14:paraId="27BAC4A0" w14:textId="77777777" w:rsidR="00A856CE" w:rsidRDefault="00A856CE" w:rsidP="00270AAE">
            <w:pPr>
              <w:rPr>
                <w:rFonts w:ascii="Arial" w:hAnsi="Arial" w:cs="Arial"/>
              </w:rPr>
            </w:pPr>
          </w:p>
        </w:tc>
      </w:tr>
      <w:tr w:rsidR="001D67CE" w:rsidRPr="001E764F" w14:paraId="6A8C2923" w14:textId="77777777" w:rsidTr="00E00129">
        <w:tc>
          <w:tcPr>
            <w:tcW w:w="4361" w:type="dxa"/>
          </w:tcPr>
          <w:p w14:paraId="6A8C2921" w14:textId="6AE75FAF" w:rsidR="001D67CE" w:rsidRPr="001E764F" w:rsidRDefault="006D6A76" w:rsidP="00270AAE">
            <w:pPr>
              <w:rPr>
                <w:rFonts w:ascii="Arial" w:hAnsi="Arial" w:cs="Arial"/>
              </w:rPr>
            </w:pPr>
            <w:r>
              <w:rPr>
                <w:rFonts w:ascii="Arial" w:hAnsi="Arial" w:cs="Arial"/>
              </w:rPr>
              <w:t>Gold Star Plaza Ltd.</w:t>
            </w:r>
          </w:p>
        </w:tc>
        <w:tc>
          <w:tcPr>
            <w:tcW w:w="5245" w:type="dxa"/>
          </w:tcPr>
          <w:p w14:paraId="6A8C2922" w14:textId="5DD7D5AE" w:rsidR="001D67CE" w:rsidRPr="001D67CE" w:rsidRDefault="006D6A76" w:rsidP="00270AAE">
            <w:pPr>
              <w:rPr>
                <w:rFonts w:ascii="Arial" w:hAnsi="Arial" w:cs="Arial"/>
              </w:rPr>
            </w:pPr>
            <w:proofErr w:type="spellStart"/>
            <w:r>
              <w:rPr>
                <w:rFonts w:ascii="Arial" w:hAnsi="Arial" w:cs="Arial"/>
              </w:rPr>
              <w:t>Gh</w:t>
            </w:r>
            <w:r w:rsidR="006F524F">
              <w:rPr>
                <w:rFonts w:ascii="Arial" w:hAnsi="Arial" w:cs="Arial"/>
              </w:rPr>
              <w:t>o</w:t>
            </w:r>
            <w:r>
              <w:rPr>
                <w:rFonts w:ascii="Arial" w:hAnsi="Arial" w:cs="Arial"/>
              </w:rPr>
              <w:t>lam</w:t>
            </w:r>
            <w:proofErr w:type="spellEnd"/>
            <w:r w:rsidR="006F524F">
              <w:rPr>
                <w:rFonts w:ascii="Arial" w:hAnsi="Arial" w:cs="Arial"/>
              </w:rPr>
              <w:t xml:space="preserve"> </w:t>
            </w:r>
            <w:proofErr w:type="spellStart"/>
            <w:r w:rsidR="006F524F">
              <w:rPr>
                <w:rFonts w:ascii="Arial" w:hAnsi="Arial" w:cs="Arial"/>
              </w:rPr>
              <w:t>Garmsiri</w:t>
            </w:r>
            <w:proofErr w:type="spellEnd"/>
          </w:p>
        </w:tc>
      </w:tr>
      <w:tr w:rsidR="00A856CE" w:rsidRPr="001E764F" w14:paraId="4C51CE5E" w14:textId="77777777" w:rsidTr="00E00129">
        <w:tc>
          <w:tcPr>
            <w:tcW w:w="4361" w:type="dxa"/>
          </w:tcPr>
          <w:p w14:paraId="1B429F22" w14:textId="77777777" w:rsidR="00A856CE" w:rsidRDefault="00A856CE" w:rsidP="00270AAE">
            <w:pPr>
              <w:rPr>
                <w:rFonts w:ascii="Arial" w:hAnsi="Arial" w:cs="Arial"/>
              </w:rPr>
            </w:pPr>
          </w:p>
        </w:tc>
        <w:tc>
          <w:tcPr>
            <w:tcW w:w="5245" w:type="dxa"/>
          </w:tcPr>
          <w:p w14:paraId="65DF8DDA" w14:textId="77777777" w:rsidR="00A856CE" w:rsidRDefault="00A856CE" w:rsidP="00270AAE">
            <w:pPr>
              <w:rPr>
                <w:rFonts w:ascii="Arial" w:hAnsi="Arial" w:cs="Arial"/>
              </w:rPr>
            </w:pPr>
          </w:p>
        </w:tc>
      </w:tr>
      <w:tr w:rsidR="001D67CE" w:rsidRPr="001E764F" w14:paraId="6A8C2926" w14:textId="77777777" w:rsidTr="00E00129">
        <w:tc>
          <w:tcPr>
            <w:tcW w:w="4361" w:type="dxa"/>
          </w:tcPr>
          <w:p w14:paraId="6A8C2924" w14:textId="56394F7C" w:rsidR="001D67CE" w:rsidRPr="001E764F" w:rsidRDefault="006D6A76" w:rsidP="00270AAE">
            <w:pPr>
              <w:rPr>
                <w:rFonts w:ascii="Arial" w:hAnsi="Arial" w:cs="Arial"/>
              </w:rPr>
            </w:pPr>
            <w:r>
              <w:rPr>
                <w:rFonts w:ascii="Arial" w:hAnsi="Arial" w:cs="Arial"/>
              </w:rPr>
              <w:t>City of Mississauga</w:t>
            </w:r>
          </w:p>
        </w:tc>
        <w:tc>
          <w:tcPr>
            <w:tcW w:w="5245" w:type="dxa"/>
          </w:tcPr>
          <w:p w14:paraId="6A8C2925" w14:textId="110CA7A5" w:rsidR="001D67CE" w:rsidRPr="001D67CE" w:rsidRDefault="006D6A76" w:rsidP="00270AAE">
            <w:pPr>
              <w:rPr>
                <w:rFonts w:ascii="Arial" w:hAnsi="Arial" w:cs="Arial"/>
              </w:rPr>
            </w:pPr>
            <w:r>
              <w:rPr>
                <w:rFonts w:ascii="Arial" w:hAnsi="Arial" w:cs="Arial"/>
              </w:rPr>
              <w:t>Lia Magi*</w:t>
            </w:r>
          </w:p>
        </w:tc>
      </w:tr>
      <w:tr w:rsidR="001D67CE" w:rsidRPr="001E764F" w14:paraId="6A8C2929" w14:textId="77777777" w:rsidTr="00E00129">
        <w:tc>
          <w:tcPr>
            <w:tcW w:w="4361" w:type="dxa"/>
          </w:tcPr>
          <w:p w14:paraId="6A8C2927" w14:textId="1C187B5A" w:rsidR="001D67CE" w:rsidRPr="001E764F" w:rsidRDefault="001D67CE" w:rsidP="00270AAE">
            <w:pPr>
              <w:rPr>
                <w:rFonts w:ascii="Arial" w:hAnsi="Arial" w:cs="Arial"/>
              </w:rPr>
            </w:pPr>
          </w:p>
        </w:tc>
        <w:tc>
          <w:tcPr>
            <w:tcW w:w="5245" w:type="dxa"/>
          </w:tcPr>
          <w:p w14:paraId="6A8C2928" w14:textId="79C3AD42" w:rsidR="001D67CE" w:rsidRPr="001D67CE" w:rsidRDefault="006D6A76" w:rsidP="00270AAE">
            <w:pPr>
              <w:rPr>
                <w:rFonts w:ascii="Arial" w:hAnsi="Arial" w:cs="Arial"/>
              </w:rPr>
            </w:pPr>
            <w:r>
              <w:rPr>
                <w:rFonts w:ascii="Arial" w:hAnsi="Arial" w:cs="Arial"/>
              </w:rPr>
              <w:t xml:space="preserve">Gabriella </w:t>
            </w:r>
            <w:proofErr w:type="spellStart"/>
            <w:r>
              <w:rPr>
                <w:rFonts w:ascii="Arial" w:hAnsi="Arial" w:cs="Arial"/>
              </w:rPr>
              <w:t>Dedelli</w:t>
            </w:r>
            <w:proofErr w:type="spellEnd"/>
            <w:r>
              <w:rPr>
                <w:rFonts w:ascii="Arial" w:hAnsi="Arial" w:cs="Arial"/>
              </w:rPr>
              <w:t xml:space="preserve"> (Student-at-Law)</w:t>
            </w:r>
          </w:p>
        </w:tc>
      </w:tr>
    </w:tbl>
    <w:p w14:paraId="6A8C292E" w14:textId="7BEF2EDE" w:rsidR="00811E24" w:rsidRDefault="00811E24" w:rsidP="00811E24">
      <w:pPr>
        <w:rPr>
          <w:rFonts w:ascii="Arial" w:hAnsi="Arial" w:cs="Arial"/>
          <w:b/>
        </w:rPr>
      </w:pPr>
    </w:p>
    <w:p w14:paraId="550AAB6C" w14:textId="77777777" w:rsidR="00801236" w:rsidRDefault="00801236" w:rsidP="00811E24">
      <w:pPr>
        <w:rPr>
          <w:rFonts w:ascii="Arial" w:hAnsi="Arial" w:cs="Arial"/>
          <w:b/>
        </w:rPr>
      </w:pPr>
    </w:p>
    <w:p w14:paraId="6A8C2930" w14:textId="49CEB29C" w:rsidR="00811E24" w:rsidRDefault="00811E24" w:rsidP="00811E24">
      <w:pPr>
        <w:rPr>
          <w:rFonts w:ascii="Arial" w:hAnsi="Arial" w:cs="Arial"/>
          <w:b/>
          <w:u w:val="single"/>
        </w:rPr>
      </w:pPr>
      <w:r w:rsidRPr="00811E24">
        <w:rPr>
          <w:rFonts w:ascii="Arial" w:hAnsi="Arial" w:cs="Arial"/>
          <w:b/>
        </w:rPr>
        <w:t>MEMORANDUM OF ORA</w:t>
      </w:r>
      <w:r>
        <w:rPr>
          <w:rFonts w:ascii="Arial" w:hAnsi="Arial" w:cs="Arial"/>
          <w:b/>
        </w:rPr>
        <w:t xml:space="preserve">L DECISION DELIVERED BY </w:t>
      </w:r>
      <w:r w:rsidR="004F21D1">
        <w:rPr>
          <w:rFonts w:ascii="Arial" w:hAnsi="Arial" w:cs="Arial"/>
          <w:b/>
        </w:rPr>
        <w:t>T.</w:t>
      </w:r>
      <w:r w:rsidR="002077EE">
        <w:rPr>
          <w:rFonts w:ascii="Arial" w:hAnsi="Arial" w:cs="Arial"/>
          <w:b/>
        </w:rPr>
        <w:t xml:space="preserve">F. </w:t>
      </w:r>
      <w:r w:rsidR="002077EE" w:rsidRPr="00E00129">
        <w:rPr>
          <w:rFonts w:ascii="Arial" w:hAnsi="Arial" w:cs="Arial"/>
          <w:b/>
        </w:rPr>
        <w:t>NG</w:t>
      </w:r>
      <w:r w:rsidR="00E00129">
        <w:rPr>
          <w:rFonts w:ascii="Arial" w:hAnsi="Arial" w:cs="Arial"/>
          <w:b/>
        </w:rPr>
        <w:t xml:space="preserve"> </w:t>
      </w:r>
      <w:r w:rsidRPr="00E00129">
        <w:rPr>
          <w:rFonts w:ascii="Arial" w:hAnsi="Arial" w:cs="Arial"/>
          <w:b/>
        </w:rPr>
        <w:t xml:space="preserve">ON </w:t>
      </w:r>
      <w:r w:rsidR="006D6A76" w:rsidRPr="00E00129">
        <w:rPr>
          <w:rFonts w:ascii="Arial" w:hAnsi="Arial" w:cs="Arial"/>
          <w:b/>
        </w:rPr>
        <w:t>OCTOBER 28,</w:t>
      </w:r>
      <w:r w:rsidR="006D6A76">
        <w:rPr>
          <w:rFonts w:ascii="Arial" w:hAnsi="Arial" w:cs="Arial"/>
          <w:b/>
          <w:u w:val="single"/>
        </w:rPr>
        <w:t xml:space="preserve"> 2020 </w:t>
      </w:r>
      <w:r w:rsidRPr="00811E24">
        <w:rPr>
          <w:rFonts w:ascii="Arial" w:hAnsi="Arial" w:cs="Arial"/>
          <w:b/>
          <w:u w:val="single"/>
        </w:rPr>
        <w:t>AND ORDER OF THE TRIBUNAL</w:t>
      </w:r>
      <w:r w:rsidR="00E00129">
        <w:rPr>
          <w:rFonts w:ascii="Arial" w:hAnsi="Arial" w:cs="Arial"/>
          <w:b/>
          <w:u w:val="single"/>
        </w:rPr>
        <w:tab/>
      </w:r>
      <w:r w:rsidR="00E00129">
        <w:rPr>
          <w:rFonts w:ascii="Arial" w:hAnsi="Arial" w:cs="Arial"/>
          <w:b/>
          <w:u w:val="single"/>
        </w:rPr>
        <w:tab/>
      </w:r>
      <w:r w:rsidR="00E00129">
        <w:rPr>
          <w:rFonts w:ascii="Arial" w:hAnsi="Arial" w:cs="Arial"/>
          <w:b/>
          <w:u w:val="single"/>
        </w:rPr>
        <w:tab/>
      </w:r>
      <w:r w:rsidR="00E00129">
        <w:rPr>
          <w:rFonts w:ascii="Arial" w:hAnsi="Arial" w:cs="Arial"/>
          <w:b/>
          <w:u w:val="single"/>
        </w:rPr>
        <w:tab/>
      </w:r>
      <w:r w:rsidR="00E00129">
        <w:rPr>
          <w:rFonts w:ascii="Arial" w:hAnsi="Arial" w:cs="Arial"/>
          <w:b/>
          <w:u w:val="single"/>
        </w:rPr>
        <w:tab/>
      </w:r>
      <w:r w:rsidR="00E00129">
        <w:rPr>
          <w:rFonts w:ascii="Arial" w:hAnsi="Arial" w:cs="Arial"/>
          <w:b/>
          <w:u w:val="single"/>
        </w:rPr>
        <w:tab/>
      </w:r>
      <w:r w:rsidR="00E00129">
        <w:rPr>
          <w:rFonts w:ascii="Arial" w:hAnsi="Arial" w:cs="Arial"/>
          <w:b/>
          <w:u w:val="single"/>
        </w:rPr>
        <w:tab/>
      </w:r>
      <w:r w:rsidR="00E00129">
        <w:rPr>
          <w:rFonts w:ascii="Arial" w:hAnsi="Arial" w:cs="Arial"/>
          <w:b/>
          <w:u w:val="single"/>
        </w:rPr>
        <w:tab/>
      </w:r>
    </w:p>
    <w:p w14:paraId="6A63F3B7" w14:textId="17899E8E" w:rsidR="000737A0" w:rsidRDefault="000737A0" w:rsidP="00811E24">
      <w:pPr>
        <w:rPr>
          <w:rFonts w:ascii="Arial" w:hAnsi="Arial" w:cs="Arial"/>
          <w:b/>
          <w:u w:val="single"/>
        </w:rPr>
      </w:pPr>
    </w:p>
    <w:p w14:paraId="6A8C2934" w14:textId="77777777" w:rsidR="00935095" w:rsidRPr="00AC548D" w:rsidRDefault="00935095" w:rsidP="00AC548D">
      <w:pPr>
        <w:pStyle w:val="Heading1"/>
      </w:pPr>
      <w:r w:rsidRPr="00AC548D">
        <w:lastRenderedPageBreak/>
        <w:t>INTRODUCTION</w:t>
      </w:r>
    </w:p>
    <w:p w14:paraId="3181161B" w14:textId="2A00629D" w:rsidR="009A6D7D" w:rsidRPr="00EC1E6A" w:rsidRDefault="009A6D7D" w:rsidP="005810BD">
      <w:pPr>
        <w:widowControl w:val="0"/>
        <w:numPr>
          <w:ilvl w:val="0"/>
          <w:numId w:val="31"/>
        </w:numPr>
        <w:spacing w:beforeLines="150" w:before="360" w:afterLines="150" w:after="360" w:line="360" w:lineRule="auto"/>
        <w:ind w:left="0" w:firstLine="0"/>
        <w:rPr>
          <w:rFonts w:ascii="Arial" w:hAnsi="Arial"/>
          <w:bCs/>
          <w:lang w:val="en-CA"/>
        </w:rPr>
      </w:pPr>
      <w:r>
        <w:rPr>
          <w:rFonts w:ascii="Arial" w:hAnsi="Arial"/>
          <w:bCs/>
          <w:lang w:val="en-CA"/>
        </w:rPr>
        <w:t>Raghu Ravindra</w:t>
      </w:r>
      <w:r w:rsidRPr="00EC1E6A">
        <w:rPr>
          <w:rFonts w:ascii="Arial" w:hAnsi="Arial"/>
          <w:bCs/>
          <w:lang w:val="en-CA"/>
        </w:rPr>
        <w:t xml:space="preserve"> (“Appellant”), of </w:t>
      </w:r>
      <w:r>
        <w:rPr>
          <w:rFonts w:ascii="Arial" w:hAnsi="Arial"/>
          <w:bCs/>
          <w:lang w:val="en-CA"/>
        </w:rPr>
        <w:t xml:space="preserve">unit 2906, </w:t>
      </w:r>
      <w:r w:rsidR="00E00129">
        <w:rPr>
          <w:rFonts w:ascii="Arial" w:hAnsi="Arial"/>
          <w:bCs/>
          <w:lang w:val="en-CA"/>
        </w:rPr>
        <w:t xml:space="preserve"> at </w:t>
      </w:r>
      <w:r>
        <w:rPr>
          <w:rFonts w:ascii="Arial" w:hAnsi="Arial"/>
          <w:bCs/>
          <w:lang w:val="en-CA"/>
        </w:rPr>
        <w:t>50 Absolute Avenue in</w:t>
      </w:r>
      <w:r w:rsidRPr="00EC1E6A">
        <w:rPr>
          <w:rFonts w:ascii="Arial" w:hAnsi="Arial"/>
          <w:bCs/>
          <w:lang w:val="en-CA"/>
        </w:rPr>
        <w:t xml:space="preserve"> the City of </w:t>
      </w:r>
      <w:r>
        <w:rPr>
          <w:rFonts w:ascii="Arial" w:hAnsi="Arial"/>
          <w:bCs/>
          <w:lang w:val="en-CA"/>
        </w:rPr>
        <w:t>Mississauga</w:t>
      </w:r>
      <w:r w:rsidRPr="00EC1E6A">
        <w:rPr>
          <w:rFonts w:ascii="Arial" w:hAnsi="Arial"/>
          <w:bCs/>
          <w:lang w:val="en-CA"/>
        </w:rPr>
        <w:t xml:space="preserve"> (“City”), has appealed to the Local Planning Appeal Tribunal (“Tribunal”) the Committee of Adjustment’s (“C</w:t>
      </w:r>
      <w:r w:rsidR="00737293">
        <w:rPr>
          <w:rFonts w:ascii="Arial" w:hAnsi="Arial"/>
          <w:bCs/>
          <w:lang w:val="en-CA"/>
        </w:rPr>
        <w:t>O</w:t>
      </w:r>
      <w:r w:rsidRPr="00EC1E6A">
        <w:rPr>
          <w:rFonts w:ascii="Arial" w:hAnsi="Arial"/>
          <w:bCs/>
          <w:lang w:val="en-CA"/>
        </w:rPr>
        <w:t xml:space="preserve">A”) approval of variance application by </w:t>
      </w:r>
      <w:r>
        <w:rPr>
          <w:rFonts w:ascii="Arial" w:hAnsi="Arial"/>
          <w:bCs/>
          <w:lang w:val="en-CA"/>
        </w:rPr>
        <w:t xml:space="preserve">Gold Star Plaza </w:t>
      </w:r>
      <w:r w:rsidRPr="00EC1E6A">
        <w:rPr>
          <w:rFonts w:ascii="Arial" w:hAnsi="Arial"/>
          <w:bCs/>
          <w:lang w:val="en-CA"/>
        </w:rPr>
        <w:t>L</w:t>
      </w:r>
      <w:r w:rsidR="004D6521">
        <w:rPr>
          <w:rFonts w:ascii="Arial" w:hAnsi="Arial"/>
          <w:bCs/>
          <w:lang w:val="en-CA"/>
        </w:rPr>
        <w:t>td</w:t>
      </w:r>
      <w:r w:rsidR="004758A8">
        <w:rPr>
          <w:rFonts w:ascii="Arial" w:hAnsi="Arial"/>
          <w:bCs/>
          <w:lang w:val="en-CA"/>
        </w:rPr>
        <w:t>.</w:t>
      </w:r>
      <w:r w:rsidRPr="00EC1E6A">
        <w:rPr>
          <w:rFonts w:ascii="Arial" w:hAnsi="Arial"/>
          <w:bCs/>
          <w:lang w:val="en-CA"/>
        </w:rPr>
        <w:t xml:space="preserve"> (“Applicant”) in respect of property with municipal address </w:t>
      </w:r>
      <w:r>
        <w:rPr>
          <w:rFonts w:ascii="Arial" w:hAnsi="Arial"/>
          <w:bCs/>
          <w:lang w:val="en-CA"/>
        </w:rPr>
        <w:t>60 Dundas Street East Unit 5A</w:t>
      </w:r>
      <w:r w:rsidRPr="00EC1E6A">
        <w:rPr>
          <w:rFonts w:ascii="Arial" w:hAnsi="Arial"/>
          <w:bCs/>
          <w:lang w:val="en-CA"/>
        </w:rPr>
        <w:t xml:space="preserve"> (“</w:t>
      </w:r>
      <w:r w:rsidR="006A687C">
        <w:rPr>
          <w:rFonts w:ascii="Arial" w:hAnsi="Arial"/>
          <w:bCs/>
          <w:lang w:val="en-CA"/>
        </w:rPr>
        <w:t>S</w:t>
      </w:r>
      <w:r w:rsidRPr="00EC1E6A">
        <w:rPr>
          <w:rFonts w:ascii="Arial" w:hAnsi="Arial"/>
          <w:bCs/>
          <w:lang w:val="en-CA"/>
        </w:rPr>
        <w:t xml:space="preserve">ubject </w:t>
      </w:r>
      <w:r w:rsidR="006A687C">
        <w:rPr>
          <w:rFonts w:ascii="Arial" w:hAnsi="Arial"/>
          <w:bCs/>
          <w:lang w:val="en-CA"/>
        </w:rPr>
        <w:t>P</w:t>
      </w:r>
      <w:r w:rsidRPr="00EC1E6A">
        <w:rPr>
          <w:rFonts w:ascii="Arial" w:hAnsi="Arial"/>
          <w:bCs/>
          <w:lang w:val="en-CA"/>
        </w:rPr>
        <w:t xml:space="preserve">roperty”) located </w:t>
      </w:r>
      <w:r w:rsidR="00A07A8D">
        <w:rPr>
          <w:rFonts w:ascii="Arial" w:hAnsi="Arial"/>
          <w:bCs/>
          <w:lang w:val="en-CA"/>
        </w:rPr>
        <w:t>south-east</w:t>
      </w:r>
      <w:r w:rsidRPr="00EC1E6A">
        <w:rPr>
          <w:rFonts w:ascii="Arial" w:hAnsi="Arial"/>
          <w:bCs/>
          <w:lang w:val="en-CA"/>
        </w:rPr>
        <w:t xml:space="preserve"> of </w:t>
      </w:r>
      <w:r w:rsidR="007B664A">
        <w:rPr>
          <w:rFonts w:ascii="Arial" w:hAnsi="Arial"/>
          <w:bCs/>
          <w:lang w:val="en-CA"/>
        </w:rPr>
        <w:t xml:space="preserve">the </w:t>
      </w:r>
      <w:r w:rsidR="00A07A8D">
        <w:rPr>
          <w:rFonts w:ascii="Arial" w:hAnsi="Arial"/>
          <w:bCs/>
          <w:lang w:val="en-CA"/>
        </w:rPr>
        <w:t>Dundas Street East and Mississauga Road intersection.</w:t>
      </w:r>
      <w:r w:rsidRPr="00EC1E6A">
        <w:rPr>
          <w:rFonts w:ascii="Arial" w:hAnsi="Arial"/>
          <w:bCs/>
          <w:lang w:val="en-CA"/>
        </w:rPr>
        <w:t xml:space="preserve"> The </w:t>
      </w:r>
      <w:r w:rsidR="006A687C">
        <w:rPr>
          <w:rFonts w:ascii="Arial" w:hAnsi="Arial"/>
          <w:bCs/>
          <w:lang w:val="en-CA"/>
        </w:rPr>
        <w:t>S</w:t>
      </w:r>
      <w:r w:rsidRPr="00EC1E6A">
        <w:rPr>
          <w:rFonts w:ascii="Arial" w:hAnsi="Arial"/>
          <w:bCs/>
          <w:lang w:val="en-CA"/>
        </w:rPr>
        <w:t xml:space="preserve">ubject </w:t>
      </w:r>
      <w:r w:rsidR="006A687C">
        <w:rPr>
          <w:rFonts w:ascii="Arial" w:hAnsi="Arial"/>
          <w:bCs/>
          <w:lang w:val="en-CA"/>
        </w:rPr>
        <w:t>P</w:t>
      </w:r>
      <w:r w:rsidRPr="00EC1E6A">
        <w:rPr>
          <w:rFonts w:ascii="Arial" w:hAnsi="Arial"/>
          <w:bCs/>
          <w:lang w:val="en-CA"/>
        </w:rPr>
        <w:t>roperty</w:t>
      </w:r>
      <w:r w:rsidR="00A07A8D">
        <w:rPr>
          <w:rFonts w:ascii="Arial" w:hAnsi="Arial"/>
          <w:bCs/>
          <w:lang w:val="en-CA"/>
        </w:rPr>
        <w:t>’s</w:t>
      </w:r>
      <w:r w:rsidRPr="00EC1E6A">
        <w:rPr>
          <w:rFonts w:ascii="Arial" w:hAnsi="Arial"/>
          <w:bCs/>
          <w:lang w:val="en-CA"/>
        </w:rPr>
        <w:t xml:space="preserve"> </w:t>
      </w:r>
      <w:r w:rsidR="00A07A8D">
        <w:rPr>
          <w:rFonts w:ascii="Arial" w:hAnsi="Arial"/>
          <w:bCs/>
          <w:lang w:val="en-CA"/>
        </w:rPr>
        <w:t>current use is as an existing restaurant. The Applicant is proposing to convert the existing restaurant to a new restaurant</w:t>
      </w:r>
      <w:r w:rsidR="00C03640">
        <w:rPr>
          <w:rFonts w:ascii="Arial" w:hAnsi="Arial"/>
          <w:bCs/>
          <w:lang w:val="en-CA"/>
        </w:rPr>
        <w:t>, as a result of a change of ownership.</w:t>
      </w:r>
      <w:r w:rsidR="00E7313A">
        <w:rPr>
          <w:rFonts w:ascii="Arial" w:hAnsi="Arial"/>
          <w:bCs/>
          <w:lang w:val="en-CA"/>
        </w:rPr>
        <w:t xml:space="preserve"> The prior minor variance permission lapsed when the previous restaurant ceased to be the tenant of the Subject Property and, therefore, a fresh minor variance permission for the location was required.</w:t>
      </w:r>
    </w:p>
    <w:p w14:paraId="6A8C2935" w14:textId="6D6E794F" w:rsidR="00935095" w:rsidRPr="00FC1A0E" w:rsidRDefault="009A6D7D" w:rsidP="005810BD">
      <w:pPr>
        <w:widowControl w:val="0"/>
        <w:numPr>
          <w:ilvl w:val="0"/>
          <w:numId w:val="31"/>
        </w:numPr>
        <w:spacing w:beforeLines="150" w:before="360" w:afterLines="150" w:after="360" w:line="360" w:lineRule="auto"/>
        <w:ind w:left="0" w:firstLine="0"/>
        <w:rPr>
          <w:rFonts w:ascii="Arial" w:hAnsi="Arial"/>
          <w:bCs/>
          <w:lang w:val="en-CA" w:eastAsia="en-CA"/>
        </w:rPr>
      </w:pPr>
      <w:r w:rsidRPr="00EC1E6A">
        <w:rPr>
          <w:rFonts w:ascii="Arial" w:hAnsi="Arial"/>
          <w:bCs/>
          <w:lang w:val="en-CA" w:eastAsia="en-CA"/>
        </w:rPr>
        <w:t>The Applicant requested relief from the Zoning By-law</w:t>
      </w:r>
      <w:r w:rsidR="00A07A8D">
        <w:rPr>
          <w:rFonts w:ascii="Arial" w:hAnsi="Arial"/>
          <w:bCs/>
          <w:lang w:val="en-CA" w:eastAsia="en-CA"/>
        </w:rPr>
        <w:t xml:space="preserve"> </w:t>
      </w:r>
      <w:r w:rsidR="00FC1A0E">
        <w:rPr>
          <w:rFonts w:ascii="Arial" w:hAnsi="Arial"/>
          <w:bCs/>
          <w:lang w:val="en-CA" w:eastAsia="en-CA"/>
        </w:rPr>
        <w:t xml:space="preserve">No. </w:t>
      </w:r>
      <w:r w:rsidR="00A07A8D">
        <w:rPr>
          <w:rFonts w:ascii="Arial" w:hAnsi="Arial"/>
          <w:bCs/>
          <w:lang w:val="en-CA" w:eastAsia="en-CA"/>
        </w:rPr>
        <w:t>0225-2007</w:t>
      </w:r>
      <w:r w:rsidRPr="00EC1E6A">
        <w:rPr>
          <w:rFonts w:ascii="Arial" w:hAnsi="Arial"/>
          <w:bCs/>
          <w:lang w:val="en-CA" w:eastAsia="en-CA"/>
        </w:rPr>
        <w:t xml:space="preserve"> </w:t>
      </w:r>
      <w:r w:rsidR="006A687C">
        <w:rPr>
          <w:rFonts w:ascii="Arial" w:hAnsi="Arial"/>
          <w:bCs/>
          <w:lang w:val="en-CA" w:eastAsia="en-CA"/>
        </w:rPr>
        <w:t>is</w:t>
      </w:r>
      <w:r w:rsidR="00FC1A0E">
        <w:rPr>
          <w:rFonts w:ascii="Arial" w:hAnsi="Arial"/>
          <w:bCs/>
          <w:lang w:val="en-CA" w:eastAsia="en-CA"/>
        </w:rPr>
        <w:t xml:space="preserve"> </w:t>
      </w:r>
      <w:r w:rsidRPr="00EC1E6A">
        <w:rPr>
          <w:rFonts w:ascii="Arial" w:hAnsi="Arial"/>
          <w:bCs/>
          <w:lang w:val="en-CA" w:eastAsia="en-CA"/>
        </w:rPr>
        <w:t xml:space="preserve">to permit a </w:t>
      </w:r>
      <w:r w:rsidR="00C03640">
        <w:rPr>
          <w:rFonts w:ascii="Arial" w:hAnsi="Arial"/>
          <w:bCs/>
          <w:lang w:val="en-CA" w:eastAsia="en-CA"/>
        </w:rPr>
        <w:t xml:space="preserve">restaurant on the </w:t>
      </w:r>
      <w:r w:rsidR="006A687C">
        <w:rPr>
          <w:rFonts w:ascii="Arial" w:hAnsi="Arial"/>
          <w:bCs/>
          <w:lang w:val="en-CA" w:eastAsia="en-CA"/>
        </w:rPr>
        <w:t>S</w:t>
      </w:r>
      <w:r w:rsidR="00C03640">
        <w:rPr>
          <w:rFonts w:ascii="Arial" w:hAnsi="Arial"/>
          <w:bCs/>
          <w:lang w:val="en-CA" w:eastAsia="en-CA"/>
        </w:rPr>
        <w:t xml:space="preserve">ubject </w:t>
      </w:r>
      <w:r w:rsidR="006A687C">
        <w:rPr>
          <w:rFonts w:ascii="Arial" w:hAnsi="Arial"/>
          <w:bCs/>
          <w:lang w:val="en-CA" w:eastAsia="en-CA"/>
        </w:rPr>
        <w:t>P</w:t>
      </w:r>
      <w:r w:rsidR="00C03640">
        <w:rPr>
          <w:rFonts w:ascii="Arial" w:hAnsi="Arial"/>
          <w:bCs/>
          <w:lang w:val="en-CA" w:eastAsia="en-CA"/>
        </w:rPr>
        <w:t>roperty proposing a restaurant within 60</w:t>
      </w:r>
      <w:r w:rsidR="00FC1A0E">
        <w:rPr>
          <w:rFonts w:ascii="Arial" w:hAnsi="Arial"/>
          <w:bCs/>
          <w:lang w:val="en-CA" w:eastAsia="en-CA"/>
        </w:rPr>
        <w:t xml:space="preserve"> </w:t>
      </w:r>
      <w:r w:rsidR="00C03640">
        <w:rPr>
          <w:rFonts w:ascii="Arial" w:hAnsi="Arial"/>
          <w:bCs/>
          <w:lang w:val="en-CA" w:eastAsia="en-CA"/>
        </w:rPr>
        <w:t>m</w:t>
      </w:r>
      <w:r w:rsidR="00FC1A0E">
        <w:rPr>
          <w:rFonts w:ascii="Arial" w:hAnsi="Arial"/>
          <w:bCs/>
          <w:lang w:val="en-CA" w:eastAsia="en-CA"/>
        </w:rPr>
        <w:t>etres</w:t>
      </w:r>
      <w:r w:rsidR="00C03640">
        <w:rPr>
          <w:rFonts w:ascii="Arial" w:hAnsi="Arial"/>
          <w:bCs/>
          <w:lang w:val="en-CA" w:eastAsia="en-CA"/>
        </w:rPr>
        <w:t xml:space="preserve"> of a residential zone, whereas the By-law does not permit a restaurant within 60</w:t>
      </w:r>
      <w:r w:rsidR="0078723A">
        <w:rPr>
          <w:rFonts w:ascii="Arial" w:hAnsi="Arial"/>
          <w:bCs/>
          <w:lang w:val="en-CA" w:eastAsia="en-CA"/>
        </w:rPr>
        <w:t xml:space="preserve"> </w:t>
      </w:r>
      <w:r w:rsidR="00C03640">
        <w:rPr>
          <w:rFonts w:ascii="Arial" w:hAnsi="Arial"/>
          <w:bCs/>
          <w:lang w:val="en-CA" w:eastAsia="en-CA"/>
        </w:rPr>
        <w:t>m</w:t>
      </w:r>
      <w:r w:rsidR="0078723A">
        <w:rPr>
          <w:rFonts w:ascii="Arial" w:hAnsi="Arial"/>
          <w:bCs/>
          <w:lang w:val="en-CA" w:eastAsia="en-CA"/>
        </w:rPr>
        <w:t>etres</w:t>
      </w:r>
      <w:r w:rsidR="00C03640">
        <w:rPr>
          <w:rFonts w:ascii="Arial" w:hAnsi="Arial"/>
          <w:bCs/>
          <w:lang w:val="en-CA" w:eastAsia="en-CA"/>
        </w:rPr>
        <w:t xml:space="preserve"> of a residential zone. </w:t>
      </w:r>
      <w:r w:rsidRPr="00EC1E6A">
        <w:rPr>
          <w:rFonts w:ascii="Arial" w:hAnsi="Arial"/>
          <w:bCs/>
          <w:lang w:val="en-CA" w:eastAsia="en-CA"/>
        </w:rPr>
        <w:t>The C</w:t>
      </w:r>
      <w:r w:rsidR="00FD6815">
        <w:rPr>
          <w:rFonts w:ascii="Arial" w:hAnsi="Arial"/>
          <w:bCs/>
          <w:lang w:val="en-CA" w:eastAsia="en-CA"/>
        </w:rPr>
        <w:t>O</w:t>
      </w:r>
      <w:r w:rsidRPr="00EC1E6A">
        <w:rPr>
          <w:rFonts w:ascii="Arial" w:hAnsi="Arial"/>
          <w:bCs/>
          <w:lang w:val="en-CA" w:eastAsia="en-CA"/>
        </w:rPr>
        <w:t xml:space="preserve">A on </w:t>
      </w:r>
      <w:r w:rsidR="00C03640">
        <w:rPr>
          <w:rFonts w:ascii="Arial" w:hAnsi="Arial"/>
          <w:bCs/>
          <w:lang w:val="en-CA" w:eastAsia="en-CA"/>
        </w:rPr>
        <w:t>February 27, 2020</w:t>
      </w:r>
      <w:r w:rsidRPr="00EC1E6A">
        <w:rPr>
          <w:rFonts w:ascii="Arial" w:hAnsi="Arial"/>
          <w:bCs/>
          <w:lang w:val="en-CA" w:eastAsia="en-CA"/>
        </w:rPr>
        <w:t xml:space="preserve"> granted the variance</w:t>
      </w:r>
      <w:r w:rsidR="00C03640">
        <w:rPr>
          <w:rFonts w:ascii="Arial" w:hAnsi="Arial"/>
          <w:bCs/>
          <w:lang w:val="en-CA" w:eastAsia="en-CA"/>
        </w:rPr>
        <w:t>.</w:t>
      </w:r>
    </w:p>
    <w:p w14:paraId="31534DFA" w14:textId="177C5A48" w:rsidR="00FC1A0E" w:rsidRDefault="00FD6815" w:rsidP="005810BD">
      <w:pPr>
        <w:pStyle w:val="DecisionBody"/>
        <w:spacing w:before="360" w:after="360"/>
      </w:pPr>
      <w:r>
        <w:t xml:space="preserve">The Appellant appealed the decision on March 16, 2020 with the following reasons: </w:t>
      </w:r>
      <w:bookmarkStart w:id="4" w:name="_Hlk55113468"/>
    </w:p>
    <w:p w14:paraId="5204ED23" w14:textId="36B78645" w:rsidR="00FC1A0E" w:rsidRDefault="00FC1A0E" w:rsidP="005810BD">
      <w:pPr>
        <w:pStyle w:val="DecisionBody"/>
        <w:numPr>
          <w:ilvl w:val="0"/>
          <w:numId w:val="0"/>
        </w:numPr>
        <w:spacing w:before="360" w:after="360"/>
        <w:ind w:firstLine="720"/>
      </w:pPr>
      <w:r>
        <w:t>1.</w:t>
      </w:r>
      <w:r w:rsidR="00FD6815">
        <w:t xml:space="preserve"> </w:t>
      </w:r>
      <w:r>
        <w:tab/>
      </w:r>
      <w:r w:rsidR="00FD6815">
        <w:t xml:space="preserve">Objecting to the Bar and Restaurant beside India Town Super Market; </w:t>
      </w:r>
    </w:p>
    <w:p w14:paraId="6A8C2937" w14:textId="18A04AAF" w:rsidR="00935095" w:rsidRDefault="00FD6815" w:rsidP="005810BD">
      <w:pPr>
        <w:pStyle w:val="DecisionBody"/>
        <w:numPr>
          <w:ilvl w:val="0"/>
          <w:numId w:val="0"/>
        </w:numPr>
        <w:spacing w:before="360" w:after="360"/>
        <w:ind w:left="1440" w:hanging="720"/>
      </w:pPr>
      <w:r>
        <w:t>2</w:t>
      </w:r>
      <w:r w:rsidR="00FC1A0E">
        <w:t>.</w:t>
      </w:r>
      <w:r>
        <w:t xml:space="preserve"> </w:t>
      </w:r>
      <w:r w:rsidR="00FC1A0E">
        <w:tab/>
      </w:r>
      <w:r>
        <w:t xml:space="preserve">Heard from a mutual friend, kitchen changes are being made internally.     </w:t>
      </w:r>
      <w:bookmarkEnd w:id="4"/>
    </w:p>
    <w:p w14:paraId="46C2652E" w14:textId="5B9B6CEF" w:rsidR="00FD6815" w:rsidRDefault="00C6087B" w:rsidP="005810BD">
      <w:pPr>
        <w:pStyle w:val="DecisionBody"/>
        <w:spacing w:beforeLines="150" w:before="360" w:afterLines="150" w:after="360"/>
      </w:pPr>
      <w:r>
        <w:t xml:space="preserve">The City filed a Notice of Motion dated October 7, 2020 supported by an affidavit of Roberto </w:t>
      </w:r>
      <w:proofErr w:type="spellStart"/>
      <w:r>
        <w:t>Vertolli</w:t>
      </w:r>
      <w:proofErr w:type="spellEnd"/>
      <w:r>
        <w:t xml:space="preserve"> sworn on October 7, 2020 to </w:t>
      </w:r>
      <w:r w:rsidR="004F5CF0">
        <w:t>dismiss the appeal without a hearing. The Motion Record is marked as Exhibit-1. The affidavit of service of Gina Belmonte sworn on October</w:t>
      </w:r>
      <w:r w:rsidR="00223CBE">
        <w:t xml:space="preserve"> </w:t>
      </w:r>
      <w:r w:rsidR="004F5CF0">
        <w:t>8, 2020</w:t>
      </w:r>
      <w:r>
        <w:t xml:space="preserve"> </w:t>
      </w:r>
      <w:r w:rsidR="004F5CF0">
        <w:t>is marked as Exhibit-</w:t>
      </w:r>
      <w:r w:rsidR="00781571">
        <w:t>1A</w:t>
      </w:r>
      <w:r w:rsidR="004F5CF0">
        <w:t>.</w:t>
      </w:r>
    </w:p>
    <w:p w14:paraId="2D7CA200" w14:textId="338E2379" w:rsidR="00223CBE" w:rsidRDefault="00223CBE" w:rsidP="005810BD">
      <w:pPr>
        <w:pStyle w:val="DecisionBody"/>
        <w:spacing w:beforeLines="150" w:before="360" w:afterLines="150" w:after="360"/>
      </w:pPr>
      <w:r>
        <w:t>When the hearing commenced at 10 a.m., City’s counsel was in attendance</w:t>
      </w:r>
      <w:r w:rsidR="005810BD">
        <w:t>,</w:t>
      </w:r>
      <w:r>
        <w:t xml:space="preserve"> but the Appellant and the Applicant were absent. The Tribunal stood down the matter for </w:t>
      </w:r>
      <w:r w:rsidR="005810BD">
        <w:t>15</w:t>
      </w:r>
      <w:r>
        <w:t xml:space="preserve"> </w:t>
      </w:r>
      <w:r>
        <w:lastRenderedPageBreak/>
        <w:t xml:space="preserve">minutes to enable their attendance. At 10.15 a.m., when the hearing re-convened, the Applicant’s representative </w:t>
      </w:r>
      <w:proofErr w:type="spellStart"/>
      <w:r>
        <w:t>Gh</w:t>
      </w:r>
      <w:r w:rsidR="005810BD">
        <w:t>o</w:t>
      </w:r>
      <w:r>
        <w:t>lam</w:t>
      </w:r>
      <w:proofErr w:type="spellEnd"/>
      <w:r>
        <w:t xml:space="preserve"> </w:t>
      </w:r>
      <w:proofErr w:type="spellStart"/>
      <w:r w:rsidR="005810BD">
        <w:t>Gamsiri</w:t>
      </w:r>
      <w:proofErr w:type="spellEnd"/>
      <w:r w:rsidR="005810BD">
        <w:t xml:space="preserve"> </w:t>
      </w:r>
      <w:r>
        <w:t>was present, however the Appellant</w:t>
      </w:r>
      <w:r w:rsidR="00951248">
        <w:t xml:space="preserve"> failed to </w:t>
      </w:r>
      <w:r w:rsidR="00527EE9">
        <w:t>appear</w:t>
      </w:r>
      <w:r w:rsidR="00951248">
        <w:t>.</w:t>
      </w:r>
      <w:r>
        <w:t xml:space="preserve">  </w:t>
      </w:r>
    </w:p>
    <w:p w14:paraId="675081FA" w14:textId="15C8D1AA" w:rsidR="00FD6815" w:rsidRDefault="00951248" w:rsidP="005810BD">
      <w:pPr>
        <w:pStyle w:val="DecisionBody"/>
        <w:spacing w:beforeLines="150" w:before="360" w:afterLines="150" w:after="360"/>
      </w:pPr>
      <w:r>
        <w:t xml:space="preserve">Since the Appellant has demonstrated disinterest in his appeal, and the Motion </w:t>
      </w:r>
      <w:r w:rsidR="00494BEE">
        <w:t xml:space="preserve">which has been served on the </w:t>
      </w:r>
      <w:r w:rsidR="00DB61E0">
        <w:t>A</w:t>
      </w:r>
      <w:r w:rsidR="00494BEE">
        <w:t>ppellant</w:t>
      </w:r>
      <w:r w:rsidR="005810BD">
        <w:t>,</w:t>
      </w:r>
      <w:r w:rsidR="000E4458">
        <w:t xml:space="preserve"> </w:t>
      </w:r>
      <w:r w:rsidR="00DB61E0">
        <w:t>and to which he has not replied</w:t>
      </w:r>
      <w:r w:rsidR="005810BD">
        <w:t>,</w:t>
      </w:r>
      <w:r w:rsidR="00DB61E0">
        <w:t xml:space="preserve"> </w:t>
      </w:r>
      <w:r>
        <w:t xml:space="preserve">is before the Tribunal, Counsel for the City was asked to proceed with </w:t>
      </w:r>
      <w:r w:rsidR="00527EE9">
        <w:t>this</w:t>
      </w:r>
      <w:r>
        <w:t xml:space="preserve"> matter </w:t>
      </w:r>
      <w:r w:rsidR="00527EE9">
        <w:t>in the absence of the Appellant</w:t>
      </w:r>
      <w:r>
        <w:t>.</w:t>
      </w:r>
    </w:p>
    <w:p w14:paraId="60ADE703" w14:textId="61C4742E" w:rsidR="00951248" w:rsidRDefault="007F17B7" w:rsidP="005810BD">
      <w:pPr>
        <w:pStyle w:val="DecisionBody"/>
        <w:spacing w:beforeLines="150" w:before="360" w:afterLines="150" w:after="360"/>
      </w:pPr>
      <w:r>
        <w:t>Student-at-Law, G</w:t>
      </w:r>
      <w:r w:rsidR="005810BD">
        <w:t>abriella</w:t>
      </w:r>
      <w:r>
        <w:t xml:space="preserve"> </w:t>
      </w:r>
      <w:proofErr w:type="spellStart"/>
      <w:r>
        <w:t>Dedelli</w:t>
      </w:r>
      <w:proofErr w:type="spellEnd"/>
      <w:r>
        <w:t xml:space="preserve"> was tasked with submissions on the Motion under the supervision o</w:t>
      </w:r>
      <w:r w:rsidR="00C9352A">
        <w:t>f</w:t>
      </w:r>
      <w:r>
        <w:t xml:space="preserve"> legal counsel L</w:t>
      </w:r>
      <w:r w:rsidR="005810BD">
        <w:t>ia</w:t>
      </w:r>
      <w:r>
        <w:t xml:space="preserve"> Magi. The Tribunal verified that the</w:t>
      </w:r>
      <w:r w:rsidR="00C9352A">
        <w:t xml:space="preserve"> Law Society</w:t>
      </w:r>
      <w:r w:rsidR="008268A4">
        <w:t xml:space="preserve"> of Ontario (“LSO”)</w:t>
      </w:r>
      <w:r w:rsidR="00C9352A">
        <w:t xml:space="preserve"> has not placed any restrictions on students such as Ms. </w:t>
      </w:r>
      <w:proofErr w:type="spellStart"/>
      <w:r w:rsidR="00C9352A">
        <w:t>Dedelli</w:t>
      </w:r>
      <w:proofErr w:type="spellEnd"/>
      <w:r w:rsidR="00C9352A">
        <w:t xml:space="preserve"> from appearing and submitting at a forum </w:t>
      </w:r>
      <w:r w:rsidR="00015D22">
        <w:t>like</w:t>
      </w:r>
      <w:r w:rsidR="00C9352A">
        <w:t xml:space="preserve"> the Tribunal </w:t>
      </w:r>
      <w:r w:rsidR="008E34AB">
        <w:t>[</w:t>
      </w:r>
      <w:r w:rsidR="00EB32AD">
        <w:t xml:space="preserve">By-law </w:t>
      </w:r>
      <w:r w:rsidR="00015D22">
        <w:t>4 of the Law Society of Ontario at s.</w:t>
      </w:r>
      <w:r w:rsidR="005810BD">
        <w:t xml:space="preserve"> </w:t>
      </w:r>
      <w:r w:rsidR="00015D22">
        <w:t>34 “A student (defined at s.17 as one who has entered into service under articles of clerkship) may, without a licence, provide legal services in Ontario under the direct supervision of a licensee who holds a Class L1 licence who is approved by the Society while, (a) in service under articles of clerkship”</w:t>
      </w:r>
      <w:r w:rsidR="008268A4">
        <w:t xml:space="preserve"> Additionally LSO guidelines permit rights of appearance to students</w:t>
      </w:r>
      <w:r w:rsidR="008E34AB">
        <w:t>]</w:t>
      </w:r>
      <w:r w:rsidR="00C9352A">
        <w:t>.</w:t>
      </w:r>
    </w:p>
    <w:p w14:paraId="6683D6A3" w14:textId="479686C6" w:rsidR="00C9352A" w:rsidRDefault="0085668B" w:rsidP="005810BD">
      <w:pPr>
        <w:pStyle w:val="DecisionBody"/>
        <w:spacing w:beforeLines="150" w:before="360" w:afterLines="150" w:after="360"/>
      </w:pPr>
      <w:r>
        <w:t xml:space="preserve">Ms. </w:t>
      </w:r>
      <w:proofErr w:type="spellStart"/>
      <w:r>
        <w:t>Dedelli</w:t>
      </w:r>
      <w:proofErr w:type="spellEnd"/>
      <w:r w:rsidR="001D3F11">
        <w:t xml:space="preserve"> gave a clear and concise account of why the Appeal should be dismissed without a hearing. The Tribunal is satisfied that the Appeal should be dismissed for the following reasons.</w:t>
      </w:r>
    </w:p>
    <w:p w14:paraId="044CDCC2" w14:textId="58E31613" w:rsidR="005810BD" w:rsidRDefault="001D3F11" w:rsidP="0078723A">
      <w:pPr>
        <w:pStyle w:val="ListParagraph"/>
        <w:spacing w:beforeLines="150" w:before="360" w:afterLines="150" w:after="360" w:line="360" w:lineRule="auto"/>
      </w:pPr>
      <w:r w:rsidRPr="005810BD">
        <w:t>ISSUE</w:t>
      </w:r>
    </w:p>
    <w:p w14:paraId="74BD3E2E" w14:textId="3205BC6E" w:rsidR="001D3F11" w:rsidRPr="00AC548D" w:rsidRDefault="001D3F11" w:rsidP="0078723A">
      <w:pPr>
        <w:pStyle w:val="DecisionBody"/>
        <w:spacing w:beforeLines="150" w:before="360" w:afterLines="150" w:after="360"/>
      </w:pPr>
      <w:r>
        <w:t xml:space="preserve">The short issue in this matter is whether the Appeal contains </w:t>
      </w:r>
      <w:r w:rsidR="00E611B7">
        <w:t>apparent land</w:t>
      </w:r>
      <w:r>
        <w:t xml:space="preserve"> use </w:t>
      </w:r>
      <w:r w:rsidR="00E611B7">
        <w:t xml:space="preserve">planning </w:t>
      </w:r>
      <w:r>
        <w:t>grounds.</w:t>
      </w:r>
    </w:p>
    <w:p w14:paraId="6A8C2939" w14:textId="1ED23479" w:rsidR="00935095" w:rsidRPr="00F23FBD" w:rsidRDefault="00FB1948" w:rsidP="00161D54">
      <w:pPr>
        <w:pStyle w:val="DecisionBody"/>
        <w:numPr>
          <w:ilvl w:val="0"/>
          <w:numId w:val="0"/>
        </w:numPr>
        <w:spacing w:beforeLines="150" w:before="360" w:afterLines="150" w:after="360"/>
        <w:rPr>
          <w:b/>
        </w:rPr>
      </w:pPr>
      <w:r>
        <w:t xml:space="preserve">Pursuant to </w:t>
      </w:r>
      <w:r w:rsidR="005810BD">
        <w:t>s</w:t>
      </w:r>
      <w:r>
        <w:t xml:space="preserve">ection 45(17)(a)(i) of the </w:t>
      </w:r>
      <w:r w:rsidRPr="00F23FBD">
        <w:rPr>
          <w:i/>
        </w:rPr>
        <w:t>Planning Act</w:t>
      </w:r>
      <w:r>
        <w:t xml:space="preserve"> (“Act”), the Tribunal may dismiss all or part of an appeal without holding a hearing if, it is of the opinion that  the reasons set out in the notice of appeal do not disclose any apparent land use planning ground upon which the Tribunal could allow all or part of the appeal.</w:t>
      </w:r>
      <w:r w:rsidR="005810BD">
        <w:br/>
      </w:r>
      <w:r w:rsidRPr="00F23FBD">
        <w:rPr>
          <w:b/>
        </w:rPr>
        <w:lastRenderedPageBreak/>
        <w:t>ANALYSIS</w:t>
      </w:r>
    </w:p>
    <w:p w14:paraId="66B1CFF3" w14:textId="77777777" w:rsidR="0078723A" w:rsidRDefault="005E23DA" w:rsidP="0078723A">
      <w:pPr>
        <w:pStyle w:val="DecisionBody"/>
        <w:spacing w:beforeLines="150" w:before="360" w:afterLines="150" w:after="360"/>
      </w:pPr>
      <w:r>
        <w:t xml:space="preserve">The principles </w:t>
      </w:r>
      <w:r w:rsidR="009F64A2">
        <w:t xml:space="preserve">that are applicable may </w:t>
      </w:r>
      <w:r w:rsidR="004B60DD">
        <w:t>briefly</w:t>
      </w:r>
      <w:r w:rsidR="00D87734">
        <w:t xml:space="preserve"> </w:t>
      </w:r>
      <w:r w:rsidR="00945156">
        <w:t xml:space="preserve">be </w:t>
      </w:r>
      <w:r w:rsidR="004B60DD">
        <w:t>stated</w:t>
      </w:r>
      <w:r w:rsidR="009F64A2">
        <w:t xml:space="preserve"> as follows:</w:t>
      </w:r>
      <w:r w:rsidR="007616B5">
        <w:tab/>
      </w:r>
    </w:p>
    <w:p w14:paraId="3569A70E" w14:textId="4A0234D4" w:rsidR="0078723A" w:rsidRDefault="0078723A" w:rsidP="0078723A">
      <w:pPr>
        <w:pStyle w:val="DecisionBody"/>
        <w:numPr>
          <w:ilvl w:val="0"/>
          <w:numId w:val="0"/>
        </w:numPr>
        <w:spacing w:beforeLines="150" w:before="360" w:afterLines="150" w:after="360"/>
        <w:ind w:left="1440" w:hanging="720"/>
      </w:pPr>
      <w:r>
        <w:t>1.</w:t>
      </w:r>
      <w:r>
        <w:tab/>
      </w:r>
      <w:r w:rsidR="00FA1208">
        <w:t xml:space="preserve">Under </w:t>
      </w:r>
      <w:r w:rsidR="00BE125D">
        <w:t>the provision, the Tribunal is entitled to examine the reasons stated to see whether the reasons stated constitute genuine, legitimate and authentic planning reasons</w:t>
      </w:r>
      <w:r w:rsidR="00415736">
        <w:t xml:space="preserve"> </w:t>
      </w:r>
      <w:r w:rsidR="00BE125D">
        <w:t>[</w:t>
      </w:r>
      <w:r w:rsidR="00BE125D" w:rsidRPr="00415736">
        <w:rPr>
          <w:i/>
        </w:rPr>
        <w:t>Toronto (City) v.</w:t>
      </w:r>
      <w:r w:rsidR="00DE1E29" w:rsidRPr="00415736">
        <w:rPr>
          <w:i/>
        </w:rPr>
        <w:t xml:space="preserve"> </w:t>
      </w:r>
      <w:r w:rsidR="00BE125D" w:rsidRPr="00415736">
        <w:rPr>
          <w:i/>
        </w:rPr>
        <w:t>East Beach Community Association</w:t>
      </w:r>
      <w:r w:rsidR="00BE125D">
        <w:t xml:space="preserve"> 1996 </w:t>
      </w:r>
      <w:proofErr w:type="spellStart"/>
      <w:r w:rsidR="00BE125D">
        <w:t>CarswellOnt</w:t>
      </w:r>
      <w:proofErr w:type="spellEnd"/>
      <w:r w:rsidR="00BE125D">
        <w:t xml:space="preserve"> 5740, (1996) O.M.B.D. No.1890, 42 O.M.B.R. 505].</w:t>
      </w:r>
    </w:p>
    <w:p w14:paraId="0B524AA5" w14:textId="4C0B2774" w:rsidR="0078723A" w:rsidRDefault="0078723A" w:rsidP="0078723A">
      <w:pPr>
        <w:pStyle w:val="DecisionBody"/>
        <w:numPr>
          <w:ilvl w:val="0"/>
          <w:numId w:val="0"/>
        </w:numPr>
        <w:spacing w:beforeLines="150" w:before="360" w:afterLines="150" w:after="360"/>
        <w:ind w:left="1440" w:hanging="720"/>
      </w:pPr>
      <w:r>
        <w:t>2.</w:t>
      </w:r>
      <w:r>
        <w:tab/>
      </w:r>
      <w:r w:rsidR="0041157D">
        <w:t>At the time of the motion, there should be the presence of a real, relevant and tenable issue or issues, expressly raised by the appellant</w:t>
      </w:r>
      <w:r w:rsidR="00DE1E29">
        <w:t xml:space="preserve">, worthy of adjudication with </w:t>
      </w:r>
      <w:r w:rsidR="00D87734">
        <w:t xml:space="preserve">a demonstration of </w:t>
      </w:r>
      <w:r w:rsidR="00DE1E29">
        <w:t>an intent to call probative evidence on the issue at the ultimate hearing and the steps taken</w:t>
      </w:r>
      <w:r w:rsidR="00D87734">
        <w:t xml:space="preserve"> to that end [</w:t>
      </w:r>
      <w:r w:rsidR="00D87734" w:rsidRPr="00D210D8">
        <w:rPr>
          <w:i/>
        </w:rPr>
        <w:t>Millar v. St. Catharines</w:t>
      </w:r>
      <w:r w:rsidR="00D87734">
        <w:t xml:space="preserve"> </w:t>
      </w:r>
      <w:r w:rsidR="00D87734" w:rsidRPr="00D210D8">
        <w:rPr>
          <w:i/>
        </w:rPr>
        <w:t>(City)</w:t>
      </w:r>
      <w:r w:rsidR="00D87734">
        <w:t xml:space="preserve"> 2017 </w:t>
      </w:r>
      <w:proofErr w:type="spellStart"/>
      <w:r w:rsidR="00D87734">
        <w:t>CarswellOnt</w:t>
      </w:r>
      <w:proofErr w:type="spellEnd"/>
      <w:r w:rsidR="00D87734">
        <w:t xml:space="preserve"> 2540, (2017) O.M.B.D. No. 164, 2</w:t>
      </w:r>
      <w:r w:rsidR="00A3213D">
        <w:t xml:space="preserve"> </w:t>
      </w:r>
      <w:r w:rsidR="00D87734">
        <w:t>O.M.B.R. (2d) 297, 74, M.P.L.R. (5</w:t>
      </w:r>
      <w:r w:rsidR="00D87734" w:rsidRPr="00D87734">
        <w:rPr>
          <w:vertAlign w:val="superscript"/>
        </w:rPr>
        <w:t>th</w:t>
      </w:r>
      <w:r w:rsidR="00D87734">
        <w:t>) 344].</w:t>
      </w:r>
      <w:r w:rsidR="00034A15">
        <w:t xml:space="preserve"> </w:t>
      </w:r>
    </w:p>
    <w:p w14:paraId="22189D7A" w14:textId="3E6D8FF8" w:rsidR="00415736" w:rsidRDefault="00415736" w:rsidP="0078723A">
      <w:pPr>
        <w:pStyle w:val="DecisionBody"/>
        <w:numPr>
          <w:ilvl w:val="0"/>
          <w:numId w:val="0"/>
        </w:numPr>
        <w:spacing w:beforeLines="150" w:before="360" w:afterLines="150" w:after="360"/>
        <w:ind w:left="1440" w:hanging="720"/>
      </w:pPr>
      <w:r>
        <w:t>3</w:t>
      </w:r>
      <w:r w:rsidR="00507685">
        <w:t>.</w:t>
      </w:r>
      <w:r w:rsidR="00507685">
        <w:tab/>
      </w:r>
      <w:r w:rsidR="00E57CBE">
        <w:t>Raising</w:t>
      </w:r>
      <w:r w:rsidR="00E46468">
        <w:t xml:space="preserve"> the apprehension of possible planning grounds or deploying planning language is not sufficient to meet the test of requiring a hearing [</w:t>
      </w:r>
      <w:r w:rsidR="00E46468" w:rsidRPr="00D210D8">
        <w:rPr>
          <w:i/>
        </w:rPr>
        <w:t>MacLean v. Strathroy-Caradoc</w:t>
      </w:r>
      <w:r w:rsidR="00E46468">
        <w:t xml:space="preserve"> </w:t>
      </w:r>
      <w:r w:rsidR="00E46468" w:rsidRPr="00D210D8">
        <w:rPr>
          <w:i/>
        </w:rPr>
        <w:t>(Township)</w:t>
      </w:r>
      <w:r w:rsidR="00E46468">
        <w:t xml:space="preserve"> 2017 </w:t>
      </w:r>
      <w:proofErr w:type="spellStart"/>
      <w:r w:rsidR="00E46468">
        <w:t>CarswellOnt</w:t>
      </w:r>
      <w:proofErr w:type="spellEnd"/>
      <w:r w:rsidR="00E46468">
        <w:t xml:space="preserve"> 21406].</w:t>
      </w:r>
    </w:p>
    <w:p w14:paraId="62708707" w14:textId="288B7073" w:rsidR="00FB1948" w:rsidRDefault="00415736" w:rsidP="00415736">
      <w:pPr>
        <w:pStyle w:val="DecisionBody"/>
        <w:numPr>
          <w:ilvl w:val="0"/>
          <w:numId w:val="0"/>
        </w:numPr>
        <w:spacing w:beforeLines="150" w:before="360" w:afterLines="150" w:after="360"/>
        <w:ind w:left="1440" w:hanging="720"/>
      </w:pPr>
      <w:r>
        <w:t>4.</w:t>
      </w:r>
      <w:r>
        <w:tab/>
      </w:r>
      <w:r w:rsidR="00E46468">
        <w:t>The legislation and related jurisprudence make it clear that it is not sufficient that appellants raise land use issues in the notice of appeal. Such issues have to be worthy of adjudication and the responsibility</w:t>
      </w:r>
      <w:r w:rsidR="000157FF">
        <w:t xml:space="preserve"> falls on the shoulders of the appellants to demonstrate through their conduct in pursuing the appeal, including their gathering of evidence to make their case, that the issues raised in their notice of appeal justifies a hearing </w:t>
      </w:r>
      <w:r w:rsidR="003E195A">
        <w:t>[</w:t>
      </w:r>
      <w:r w:rsidR="000157FF" w:rsidRPr="004758A8">
        <w:t>Ontario Superior Court of Justice (Divisional Court)</w:t>
      </w:r>
      <w:r w:rsidR="000157FF" w:rsidRPr="00415736">
        <w:rPr>
          <w:i/>
        </w:rPr>
        <w:t xml:space="preserve"> Zellers Inc. v. Royal Cobourg Centres Ltd</w:t>
      </w:r>
      <w:r w:rsidR="000157FF">
        <w:t xml:space="preserve">. 2001 </w:t>
      </w:r>
      <w:proofErr w:type="spellStart"/>
      <w:r w:rsidR="000157FF">
        <w:t>CarswellOnt</w:t>
      </w:r>
      <w:proofErr w:type="spellEnd"/>
      <w:r w:rsidR="000157FF">
        <w:t xml:space="preserve"> 3362, (2001) O.J. No.3792, 108 A.C.W.S. (3d) 384, 156 O.A.C. 133, 22 M.P.L.R. (3d) 122, 42 O.M.B.R. 193</w:t>
      </w:r>
      <w:r w:rsidR="003E195A">
        <w:t>]</w:t>
      </w:r>
      <w:r w:rsidR="000157FF">
        <w:t>.</w:t>
      </w:r>
    </w:p>
    <w:p w14:paraId="08668A67" w14:textId="14EE0428" w:rsidR="00FB1948" w:rsidRPr="00AC548D" w:rsidRDefault="00AD408F" w:rsidP="0078723A">
      <w:pPr>
        <w:pStyle w:val="DecisionBody"/>
        <w:spacing w:beforeLines="150" w:before="360" w:afterLines="150" w:after="360"/>
      </w:pPr>
      <w:r>
        <w:lastRenderedPageBreak/>
        <w:t xml:space="preserve">The </w:t>
      </w:r>
      <w:r w:rsidR="002F182D">
        <w:t>Appellant’s two reasons provided in his notice of appeal</w:t>
      </w:r>
      <w:r w:rsidR="004D6521">
        <w:t>:</w:t>
      </w:r>
      <w:r w:rsidR="002F182D">
        <w:tab/>
        <w:t>1</w:t>
      </w:r>
      <w:r w:rsidR="004D6521">
        <w:t>.</w:t>
      </w:r>
      <w:r w:rsidR="002F182D">
        <w:t xml:space="preserve"> Objecting to the Bar and Restaurant beside India Town Super Market; </w:t>
      </w:r>
      <w:r w:rsidR="004D6521">
        <w:t xml:space="preserve">and </w:t>
      </w:r>
      <w:r w:rsidR="002F182D">
        <w:t>2</w:t>
      </w:r>
      <w:r w:rsidR="004D6521">
        <w:t>.</w:t>
      </w:r>
      <w:r w:rsidR="002F182D">
        <w:t xml:space="preserve"> Heard from a mutual friend</w:t>
      </w:r>
      <w:r w:rsidR="00487CF8">
        <w:t>,</w:t>
      </w:r>
      <w:r w:rsidR="004D6521">
        <w:t xml:space="preserve"> </w:t>
      </w:r>
      <w:r w:rsidR="002F182D">
        <w:t>kitchen changes are being made internally</w:t>
      </w:r>
      <w:r w:rsidR="00666525">
        <w:t>, are clearly</w:t>
      </w:r>
      <w:r w:rsidR="00E16751">
        <w:t>, on its face,</w:t>
      </w:r>
      <w:r w:rsidR="00666525">
        <w:t xml:space="preserve"> not land use planning grounds. </w:t>
      </w:r>
      <w:r w:rsidR="00FD77D3">
        <w:t>These reasons are not related to any specific grounds of non-conformity with applicable planning policy.</w:t>
      </w:r>
      <w:r w:rsidR="002F182D">
        <w:t xml:space="preserve">    </w:t>
      </w:r>
    </w:p>
    <w:p w14:paraId="6A8C293A" w14:textId="145038BB" w:rsidR="00935095" w:rsidRDefault="00666525" w:rsidP="0078723A">
      <w:pPr>
        <w:pStyle w:val="DecisionBody"/>
        <w:spacing w:beforeLines="150" w:before="360" w:afterLines="150" w:after="360"/>
      </w:pPr>
      <w:r>
        <w:t>The Tribunal finds that these do not constitute genuine or authentic planning r</w:t>
      </w:r>
      <w:r w:rsidR="000C6B1A">
        <w:t>e</w:t>
      </w:r>
      <w:r>
        <w:t>asons</w:t>
      </w:r>
      <w:r w:rsidR="000C6B1A">
        <w:t>. There is no relevant or tenable issue raised that is worthy of adjudication. Furthermore</w:t>
      </w:r>
      <w:r w:rsidR="004D6521">
        <w:t>,</w:t>
      </w:r>
      <w:r w:rsidR="000C6B1A">
        <w:t xml:space="preserve"> the Appellant’s conduct is one of disinterest, failing to respond to the </w:t>
      </w:r>
      <w:r w:rsidR="004D6521">
        <w:t>M</w:t>
      </w:r>
      <w:r w:rsidR="000C6B1A">
        <w:t xml:space="preserve">otion or reply to the affidavit in support of the </w:t>
      </w:r>
      <w:r w:rsidR="004D6521">
        <w:t>M</w:t>
      </w:r>
      <w:r w:rsidR="000C6B1A">
        <w:t>otion to dismiss</w:t>
      </w:r>
      <w:r w:rsidR="00C671AC">
        <w:t>,</w:t>
      </w:r>
      <w:r w:rsidR="000C6B1A">
        <w:t xml:space="preserve"> and not </w:t>
      </w:r>
      <w:r w:rsidR="008D3AC6">
        <w:t>bothering</w:t>
      </w:r>
      <w:r w:rsidR="000C6B1A">
        <w:t xml:space="preserve"> to appear at this scheduled hearing.</w:t>
      </w:r>
      <w:r w:rsidR="00C671AC">
        <w:t xml:space="preserve"> He has failed to discharge the responsibility to gather evidence to make his case that the issues raised in </w:t>
      </w:r>
      <w:r w:rsidR="00AE7CC7">
        <w:t>the</w:t>
      </w:r>
      <w:r w:rsidR="00C671AC">
        <w:t xml:space="preserve"> appeal justifies a hearing. He has failed to </w:t>
      </w:r>
      <w:r w:rsidR="008645E8">
        <w:t xml:space="preserve">provide any </w:t>
      </w:r>
      <w:r w:rsidR="009307E5">
        <w:t xml:space="preserve">apparent </w:t>
      </w:r>
      <w:r w:rsidR="008645E8">
        <w:t>valid land use planning grounds in his appeal.</w:t>
      </w:r>
    </w:p>
    <w:p w14:paraId="3EE9702F" w14:textId="649D1544" w:rsidR="004D6521" w:rsidRDefault="008645E8" w:rsidP="0078723A">
      <w:pPr>
        <w:pStyle w:val="DecisionBody"/>
        <w:spacing w:beforeLines="150" w:before="360" w:afterLines="150" w:after="360"/>
      </w:pPr>
      <w:r>
        <w:t xml:space="preserve">The Tribunal </w:t>
      </w:r>
      <w:r w:rsidR="009307E5">
        <w:t xml:space="preserve">finds that the Appellant’s appeal does not disclose any apparent land use planning ground upon which the Tribunal could allow all or part of the appeal. The test </w:t>
      </w:r>
      <w:r w:rsidR="00E36C77">
        <w:t>pursuant to s</w:t>
      </w:r>
      <w:r w:rsidR="004D6521">
        <w:t>ection</w:t>
      </w:r>
      <w:r w:rsidR="00E36C77">
        <w:t xml:space="preserve"> 45(17)(a)(i) of the Act </w:t>
      </w:r>
      <w:r w:rsidR="009307E5">
        <w:t>for the dismissal of the appeal without holding a hearing has been met.</w:t>
      </w:r>
      <w:r w:rsidR="00D45D2B">
        <w:tab/>
      </w:r>
    </w:p>
    <w:p w14:paraId="6A8C293C" w14:textId="389ECB49" w:rsidR="00935095" w:rsidRPr="004D6521" w:rsidRDefault="00D45D2B" w:rsidP="004D6521">
      <w:pPr>
        <w:pStyle w:val="DecisionBody"/>
        <w:numPr>
          <w:ilvl w:val="0"/>
          <w:numId w:val="0"/>
        </w:numPr>
        <w:spacing w:beforeLines="150" w:before="360" w:afterLines="150" w:after="360"/>
        <w:rPr>
          <w:b/>
        </w:rPr>
      </w:pPr>
      <w:r w:rsidRPr="004D6521">
        <w:rPr>
          <w:b/>
        </w:rPr>
        <w:t>ORDER</w:t>
      </w:r>
    </w:p>
    <w:p w14:paraId="2404BDA0" w14:textId="49CF4D67" w:rsidR="002D4524" w:rsidRDefault="00D45D2B" w:rsidP="0078723A">
      <w:pPr>
        <w:pStyle w:val="DecisionBody"/>
        <w:spacing w:beforeLines="150" w:before="360" w:afterLines="150" w:after="360"/>
      </w:pPr>
      <w:r>
        <w:t xml:space="preserve">The Tribunal orders that the City’s Motion to dismiss the </w:t>
      </w:r>
      <w:r w:rsidR="00C46517">
        <w:t>A</w:t>
      </w:r>
      <w:r>
        <w:t>ppeal without holding a hearing is allowed.</w:t>
      </w:r>
    </w:p>
    <w:p w14:paraId="7D0BB7C9" w14:textId="307DFE76" w:rsidR="00D45D2B" w:rsidRDefault="00D45D2B" w:rsidP="0078723A">
      <w:pPr>
        <w:pStyle w:val="DecisionBody"/>
        <w:spacing w:beforeLines="150" w:before="360" w:afterLines="150" w:after="360"/>
      </w:pPr>
      <w:r>
        <w:t xml:space="preserve">The Tribunal </w:t>
      </w:r>
      <w:r w:rsidR="00C46517">
        <w:t>further orders that the Appeal is dismissed.</w:t>
      </w:r>
    </w:p>
    <w:p w14:paraId="6C97CFAE" w14:textId="77777777" w:rsidR="00D210D8" w:rsidRPr="00AC548D" w:rsidRDefault="00D210D8" w:rsidP="00D210D8">
      <w:pPr>
        <w:pStyle w:val="DecisionBody"/>
        <w:numPr>
          <w:ilvl w:val="0"/>
          <w:numId w:val="0"/>
        </w:numPr>
        <w:spacing w:beforeLines="150" w:before="360" w:afterLines="150" w:after="360"/>
      </w:pPr>
    </w:p>
    <w:p w14:paraId="6A8C293D" w14:textId="4EBDCCD5" w:rsidR="00935095" w:rsidRDefault="004D6521" w:rsidP="004D6521">
      <w:pPr>
        <w:pStyle w:val="MemberSignature"/>
        <w:ind w:left="7920"/>
        <w:rPr>
          <w:i w:val="0"/>
        </w:rPr>
      </w:pPr>
      <w:r>
        <w:rPr>
          <w:i w:val="0"/>
        </w:rPr>
        <w:t>“</w:t>
      </w:r>
      <w:r w:rsidR="007D24AF" w:rsidRPr="004D6521">
        <w:t>T.F. NG</w:t>
      </w:r>
      <w:r>
        <w:rPr>
          <w:i w:val="0"/>
        </w:rPr>
        <w:t>”</w:t>
      </w:r>
    </w:p>
    <w:p w14:paraId="6267D767" w14:textId="77777777" w:rsidR="00D210D8" w:rsidRDefault="00D210D8" w:rsidP="004D6521">
      <w:pPr>
        <w:pStyle w:val="MemberSignature"/>
        <w:ind w:left="7920"/>
        <w:rPr>
          <w:i w:val="0"/>
        </w:rPr>
      </w:pPr>
    </w:p>
    <w:p w14:paraId="69E86703" w14:textId="77777777" w:rsidR="004D6521" w:rsidRPr="004E31D7" w:rsidRDefault="004D6521" w:rsidP="004D6521">
      <w:pPr>
        <w:pStyle w:val="MemberSignature"/>
        <w:ind w:left="7920"/>
        <w:rPr>
          <w:i w:val="0"/>
        </w:rPr>
      </w:pPr>
    </w:p>
    <w:p w14:paraId="6A8C2940" w14:textId="43CB4F9D" w:rsidR="00935095" w:rsidRPr="004E31D7" w:rsidRDefault="00946469" w:rsidP="004D6521">
      <w:pPr>
        <w:pStyle w:val="MemberSignature"/>
        <w:ind w:left="0"/>
        <w:rPr>
          <w:i w:val="0"/>
        </w:rPr>
      </w:pP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r>
      <w:r w:rsidR="00880528">
        <w:rPr>
          <w:i w:val="0"/>
        </w:rPr>
        <w:t>T.F. NG</w:t>
      </w:r>
    </w:p>
    <w:p w14:paraId="6A8C2942" w14:textId="77777777" w:rsidR="00935095" w:rsidRPr="00AC548D" w:rsidRDefault="00935095" w:rsidP="004D6521">
      <w:pPr>
        <w:pStyle w:val="MemberSignatureNameandTitle"/>
      </w:pPr>
      <w:r w:rsidRPr="00AC548D">
        <w:t>MEMBER</w:t>
      </w:r>
    </w:p>
    <w:p w14:paraId="6A8C2943" w14:textId="77777777" w:rsidR="00935095" w:rsidRPr="004E31D7" w:rsidRDefault="00935095" w:rsidP="00AC548D">
      <w:pPr>
        <w:rPr>
          <w:rFonts w:ascii="Arial" w:hAnsi="Arial" w:cs="Arial"/>
        </w:rPr>
      </w:pPr>
    </w:p>
    <w:p w14:paraId="7D6A8A2A" w14:textId="77777777" w:rsidR="00D210D8" w:rsidRDefault="00D210D8" w:rsidP="004D6521">
      <w:pPr>
        <w:pStyle w:val="AttachmentTextaboveFooter"/>
      </w:pPr>
      <w:bookmarkStart w:id="5" w:name="_Hlk44600017"/>
    </w:p>
    <w:p w14:paraId="61728027" w14:textId="77777777" w:rsidR="00D210D8" w:rsidRDefault="00D210D8" w:rsidP="004D6521">
      <w:pPr>
        <w:pStyle w:val="AttachmentTextaboveFooter"/>
      </w:pPr>
    </w:p>
    <w:p w14:paraId="43B87C3E" w14:textId="77777777" w:rsidR="00D210D8" w:rsidRDefault="00D210D8" w:rsidP="004D6521">
      <w:pPr>
        <w:pStyle w:val="AttachmentTextaboveFooter"/>
      </w:pPr>
    </w:p>
    <w:p w14:paraId="1E42442A" w14:textId="77777777" w:rsidR="00D210D8" w:rsidRDefault="00D210D8" w:rsidP="004D6521">
      <w:pPr>
        <w:pStyle w:val="AttachmentTextaboveFooter"/>
      </w:pPr>
    </w:p>
    <w:p w14:paraId="31909356" w14:textId="77777777" w:rsidR="00D210D8" w:rsidRDefault="00D210D8" w:rsidP="004D6521">
      <w:pPr>
        <w:pStyle w:val="AttachmentTextaboveFooter"/>
      </w:pPr>
    </w:p>
    <w:p w14:paraId="154EFBAC" w14:textId="77777777" w:rsidR="00D210D8" w:rsidRDefault="00D210D8" w:rsidP="004D6521">
      <w:pPr>
        <w:pStyle w:val="AttachmentTextaboveFooter"/>
      </w:pPr>
    </w:p>
    <w:p w14:paraId="7E652C2C" w14:textId="77777777" w:rsidR="00D210D8" w:rsidRDefault="00D210D8" w:rsidP="004D6521">
      <w:pPr>
        <w:pStyle w:val="AttachmentTextaboveFooter"/>
      </w:pPr>
    </w:p>
    <w:p w14:paraId="1C7A0984" w14:textId="77777777" w:rsidR="00D210D8" w:rsidRDefault="00D210D8" w:rsidP="004D6521">
      <w:pPr>
        <w:pStyle w:val="AttachmentTextaboveFooter"/>
      </w:pPr>
    </w:p>
    <w:p w14:paraId="743A66C7" w14:textId="77777777" w:rsidR="00D210D8" w:rsidRDefault="00D210D8" w:rsidP="004D6521">
      <w:pPr>
        <w:pStyle w:val="AttachmentTextaboveFooter"/>
      </w:pPr>
    </w:p>
    <w:p w14:paraId="49F488A5" w14:textId="77777777" w:rsidR="00D210D8" w:rsidRDefault="00D210D8" w:rsidP="004D6521">
      <w:pPr>
        <w:pStyle w:val="AttachmentTextaboveFooter"/>
      </w:pPr>
    </w:p>
    <w:p w14:paraId="1DCD7089" w14:textId="77777777" w:rsidR="00D210D8" w:rsidRDefault="00D210D8" w:rsidP="004D6521">
      <w:pPr>
        <w:pStyle w:val="AttachmentTextaboveFooter"/>
      </w:pPr>
    </w:p>
    <w:p w14:paraId="0AD5B44C" w14:textId="77777777" w:rsidR="00D210D8" w:rsidRDefault="00D210D8" w:rsidP="004D6521">
      <w:pPr>
        <w:pStyle w:val="AttachmentTextaboveFooter"/>
      </w:pPr>
    </w:p>
    <w:p w14:paraId="1C27B2CD" w14:textId="77777777" w:rsidR="00D210D8" w:rsidRDefault="00D210D8" w:rsidP="004D6521">
      <w:pPr>
        <w:pStyle w:val="AttachmentTextaboveFooter"/>
      </w:pPr>
    </w:p>
    <w:p w14:paraId="26537B96" w14:textId="77777777" w:rsidR="00D210D8" w:rsidRDefault="00D210D8" w:rsidP="004D6521">
      <w:pPr>
        <w:pStyle w:val="AttachmentTextaboveFooter"/>
      </w:pPr>
    </w:p>
    <w:p w14:paraId="2F9455A9" w14:textId="77777777" w:rsidR="00D210D8" w:rsidRDefault="00D210D8" w:rsidP="004D6521">
      <w:pPr>
        <w:pStyle w:val="AttachmentTextaboveFooter"/>
      </w:pPr>
    </w:p>
    <w:p w14:paraId="6B94E892" w14:textId="77777777" w:rsidR="00D210D8" w:rsidRDefault="00D210D8" w:rsidP="004D6521">
      <w:pPr>
        <w:pStyle w:val="AttachmentTextaboveFooter"/>
      </w:pPr>
    </w:p>
    <w:p w14:paraId="20DBDDFC" w14:textId="77777777" w:rsidR="00D210D8" w:rsidRDefault="00D210D8" w:rsidP="004D6521">
      <w:pPr>
        <w:pStyle w:val="AttachmentTextaboveFooter"/>
      </w:pPr>
    </w:p>
    <w:p w14:paraId="7BF056AF" w14:textId="77777777" w:rsidR="00D210D8" w:rsidRDefault="00D210D8" w:rsidP="004D6521">
      <w:pPr>
        <w:pStyle w:val="AttachmentTextaboveFooter"/>
      </w:pPr>
    </w:p>
    <w:p w14:paraId="34317DB1" w14:textId="77777777" w:rsidR="00D210D8" w:rsidRDefault="00D210D8" w:rsidP="004D6521">
      <w:pPr>
        <w:pStyle w:val="AttachmentTextaboveFooter"/>
      </w:pPr>
    </w:p>
    <w:p w14:paraId="18BE5080" w14:textId="77777777" w:rsidR="00D210D8" w:rsidRDefault="00D210D8" w:rsidP="004D6521">
      <w:pPr>
        <w:pStyle w:val="AttachmentTextaboveFooter"/>
      </w:pPr>
    </w:p>
    <w:p w14:paraId="535B8AF1" w14:textId="77777777" w:rsidR="00D210D8" w:rsidRDefault="00D210D8" w:rsidP="004D6521">
      <w:pPr>
        <w:pStyle w:val="AttachmentTextaboveFooter"/>
      </w:pPr>
    </w:p>
    <w:p w14:paraId="42085831" w14:textId="77777777" w:rsidR="00D210D8" w:rsidRDefault="00D210D8" w:rsidP="004D6521">
      <w:pPr>
        <w:pStyle w:val="AttachmentTextaboveFooter"/>
      </w:pPr>
    </w:p>
    <w:p w14:paraId="1CC46D8B" w14:textId="77777777" w:rsidR="00D210D8" w:rsidRDefault="00D210D8" w:rsidP="004D6521">
      <w:pPr>
        <w:pStyle w:val="AttachmentTextaboveFooter"/>
      </w:pPr>
    </w:p>
    <w:p w14:paraId="5EEBB8D1" w14:textId="77777777" w:rsidR="00D210D8" w:rsidRDefault="00D210D8" w:rsidP="004D6521">
      <w:pPr>
        <w:pStyle w:val="AttachmentTextaboveFooter"/>
      </w:pPr>
    </w:p>
    <w:p w14:paraId="5FF8F710" w14:textId="77777777" w:rsidR="00D210D8" w:rsidRDefault="00D210D8" w:rsidP="004D6521">
      <w:pPr>
        <w:pStyle w:val="AttachmentTextaboveFooter"/>
      </w:pPr>
    </w:p>
    <w:p w14:paraId="250128CA" w14:textId="77777777" w:rsidR="00D210D8" w:rsidRDefault="00D210D8" w:rsidP="004D6521">
      <w:pPr>
        <w:pStyle w:val="AttachmentTextaboveFooter"/>
      </w:pPr>
    </w:p>
    <w:p w14:paraId="1F151B0A" w14:textId="77777777" w:rsidR="00D210D8" w:rsidRDefault="00D210D8" w:rsidP="004D6521">
      <w:pPr>
        <w:pStyle w:val="AttachmentTextaboveFooter"/>
      </w:pPr>
    </w:p>
    <w:p w14:paraId="2E1E68E5" w14:textId="77777777" w:rsidR="00D210D8" w:rsidRDefault="00D210D8" w:rsidP="004D6521">
      <w:pPr>
        <w:pStyle w:val="AttachmentTextaboveFooter"/>
      </w:pPr>
    </w:p>
    <w:p w14:paraId="39D8E6FF" w14:textId="77777777" w:rsidR="00D210D8" w:rsidRDefault="00D210D8" w:rsidP="004D6521">
      <w:pPr>
        <w:pStyle w:val="AttachmentTextaboveFooter"/>
      </w:pPr>
    </w:p>
    <w:p w14:paraId="36C7CFC5" w14:textId="77777777" w:rsidR="00D210D8" w:rsidRDefault="00D210D8" w:rsidP="004D6521">
      <w:pPr>
        <w:pStyle w:val="AttachmentTextaboveFooter"/>
      </w:pPr>
    </w:p>
    <w:p w14:paraId="3BD96B3F" w14:textId="77777777" w:rsidR="00D210D8" w:rsidRDefault="00D210D8" w:rsidP="004D6521">
      <w:pPr>
        <w:pStyle w:val="AttachmentTextaboveFooter"/>
      </w:pPr>
    </w:p>
    <w:p w14:paraId="16FA615E" w14:textId="77777777" w:rsidR="00D210D8" w:rsidRDefault="00D210D8" w:rsidP="004D6521">
      <w:pPr>
        <w:pStyle w:val="AttachmentTextaboveFooter"/>
      </w:pPr>
    </w:p>
    <w:p w14:paraId="32366ACC" w14:textId="77777777" w:rsidR="00D210D8" w:rsidRDefault="00D210D8" w:rsidP="004D6521">
      <w:pPr>
        <w:pStyle w:val="AttachmentTextaboveFooter"/>
      </w:pPr>
    </w:p>
    <w:p w14:paraId="181CB440" w14:textId="77777777" w:rsidR="00D210D8" w:rsidRDefault="00D210D8" w:rsidP="004D6521">
      <w:pPr>
        <w:pStyle w:val="AttachmentTextaboveFooter"/>
      </w:pPr>
    </w:p>
    <w:p w14:paraId="2C93E847" w14:textId="77777777" w:rsidR="00D210D8" w:rsidRDefault="00D210D8" w:rsidP="004D6521">
      <w:pPr>
        <w:pStyle w:val="AttachmentTextaboveFooter"/>
      </w:pPr>
    </w:p>
    <w:p w14:paraId="38C4739D" w14:textId="77777777" w:rsidR="00D210D8" w:rsidRDefault="00D210D8" w:rsidP="004D6521">
      <w:pPr>
        <w:pStyle w:val="AttachmentTextaboveFooter"/>
      </w:pPr>
    </w:p>
    <w:p w14:paraId="422737F3" w14:textId="77777777" w:rsidR="00D210D8" w:rsidRDefault="00D210D8" w:rsidP="004D6521">
      <w:pPr>
        <w:pStyle w:val="AttachmentTextaboveFooter"/>
      </w:pPr>
    </w:p>
    <w:p w14:paraId="38438148" w14:textId="77777777" w:rsidR="00D210D8" w:rsidRDefault="00D210D8" w:rsidP="004D6521">
      <w:pPr>
        <w:pStyle w:val="AttachmentTextaboveFooter"/>
      </w:pPr>
    </w:p>
    <w:p w14:paraId="11B04BEF" w14:textId="77777777" w:rsidR="00D210D8" w:rsidRDefault="00D210D8" w:rsidP="004D6521">
      <w:pPr>
        <w:pStyle w:val="AttachmentTextaboveFooter"/>
      </w:pPr>
    </w:p>
    <w:p w14:paraId="5E80827B" w14:textId="335DCD7E" w:rsidR="004D6521" w:rsidRDefault="004D6521" w:rsidP="004D6521">
      <w:pPr>
        <w:pStyle w:val="AttachmentTextaboveFooter"/>
      </w:pPr>
      <w:r>
        <w:t>If there is an attachment referred to in this document,</w:t>
      </w:r>
    </w:p>
    <w:p w14:paraId="031A988E" w14:textId="77777777" w:rsidR="004D6521" w:rsidRDefault="004D6521" w:rsidP="004D6521">
      <w:pPr>
        <w:pStyle w:val="AttachmentTextaboveFooter"/>
      </w:pPr>
      <w:r>
        <w:t xml:space="preserve">please visit </w:t>
      </w:r>
      <w:r w:rsidRPr="00585347">
        <w:rPr>
          <w:u w:val="single"/>
        </w:rPr>
        <w:t>www.olt.gov.on.ca</w:t>
      </w:r>
      <w:r>
        <w:t xml:space="preserve"> to view the attachment in PDF format.</w:t>
      </w:r>
    </w:p>
    <w:p w14:paraId="2E5B3A55" w14:textId="77777777" w:rsidR="004D6521" w:rsidRDefault="004D6521" w:rsidP="004D6521">
      <w:pPr>
        <w:pStyle w:val="Footer"/>
      </w:pPr>
    </w:p>
    <w:p w14:paraId="41C0AAD5" w14:textId="77777777" w:rsidR="004D6521" w:rsidRDefault="004D6521" w:rsidP="004D6521">
      <w:pPr>
        <w:pStyle w:val="Footer"/>
        <w:rPr>
          <w:b/>
        </w:rPr>
      </w:pPr>
      <w:r>
        <w:rPr>
          <w:b/>
        </w:rPr>
        <w:t>Local Planning Appeal Tribunal</w:t>
      </w:r>
    </w:p>
    <w:p w14:paraId="176696F5" w14:textId="77777777" w:rsidR="004D6521" w:rsidRDefault="004D6521" w:rsidP="004D6521">
      <w:pPr>
        <w:pStyle w:val="Footer"/>
      </w:pPr>
      <w:r>
        <w:t>A constituent tribunal of Ontario Land Tribunals</w:t>
      </w:r>
    </w:p>
    <w:p w14:paraId="69CFCCB0" w14:textId="60DC96BD" w:rsidR="00EC1E6A" w:rsidRPr="004D6521" w:rsidRDefault="004D6521" w:rsidP="004D6521">
      <w:pPr>
        <w:pStyle w:val="Footer"/>
      </w:pPr>
      <w:r>
        <w:t xml:space="preserve">Website: </w:t>
      </w:r>
      <w:hyperlink r:id="rId12" w:history="1">
        <w:r>
          <w:rPr>
            <w:rStyle w:val="Hyperlink"/>
            <w:color w:val="auto"/>
          </w:rPr>
          <w:t>www.olt.gov.on.ca</w:t>
        </w:r>
      </w:hyperlink>
      <w:r>
        <w:t xml:space="preserve">   Telephone: 416-212-6349   Toll Free: 1-866-448-2248</w:t>
      </w:r>
      <w:bookmarkEnd w:id="5"/>
      <w:r w:rsidR="00EC1E6A" w:rsidRPr="00EC1E6A">
        <w:rPr>
          <w:rFonts w:cs="Arial"/>
          <w:bCs/>
          <w:lang w:val="en-CA"/>
        </w:rPr>
        <w:tab/>
      </w:r>
      <w:r w:rsidR="00EC1E6A" w:rsidRPr="00EC1E6A">
        <w:rPr>
          <w:rFonts w:cs="Arial"/>
          <w:bCs/>
          <w:lang w:val="en-CA"/>
        </w:rPr>
        <w:tab/>
      </w:r>
    </w:p>
    <w:sectPr w:rsidR="00EC1E6A" w:rsidRPr="004D6521" w:rsidSect="00627521">
      <w:headerReference w:type="even" r:id="rId13"/>
      <w:headerReference w:type="default" r:id="rId14"/>
      <w:footerReference w:type="even" r:id="rId15"/>
      <w:footerReference w:type="default" r:id="rId16"/>
      <w:headerReference w:type="first" r:id="rId17"/>
      <w:footerReference w:type="first" r:id="rId18"/>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1646" w14:textId="77777777" w:rsidR="00C67B7F" w:rsidRDefault="00C67B7F">
      <w:r>
        <w:separator/>
      </w:r>
    </w:p>
  </w:endnote>
  <w:endnote w:type="continuationSeparator" w:id="0">
    <w:p w14:paraId="2F5EC23D" w14:textId="77777777" w:rsidR="00C67B7F" w:rsidRDefault="00C6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8642" w14:textId="77777777" w:rsidR="00322E19" w:rsidRDefault="00322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E583" w14:textId="77777777" w:rsidR="00322E19" w:rsidRDefault="00322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FA83" w14:textId="77777777" w:rsidR="00322E19" w:rsidRDefault="00322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A2B9" w14:textId="77777777" w:rsidR="00C67B7F" w:rsidRDefault="00C67B7F">
      <w:r>
        <w:separator/>
      </w:r>
    </w:p>
  </w:footnote>
  <w:footnote w:type="continuationSeparator" w:id="0">
    <w:p w14:paraId="56681F20" w14:textId="77777777" w:rsidR="00C67B7F" w:rsidRDefault="00C6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1DBE" w14:textId="77777777" w:rsidR="00322E19" w:rsidRDefault="00322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2966" w14:textId="686C59E2" w:rsidR="004B6547" w:rsidRDefault="005D1ED7" w:rsidP="004B6547">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DC3E8A">
      <w:rPr>
        <w:rFonts w:ascii="Arial" w:hAnsi="Arial" w:cs="Arial"/>
        <w:noProof/>
      </w:rPr>
      <w:t>2</w:t>
    </w:r>
    <w:r w:rsidRPr="005E51AF">
      <w:rPr>
        <w:rFonts w:ascii="Arial" w:hAnsi="Arial" w:cs="Arial"/>
        <w:noProof/>
      </w:rPr>
      <w:fldChar w:fldCharType="end"/>
    </w:r>
    <w:r w:rsidR="00C02B28">
      <w:rPr>
        <w:rFonts w:ascii="Arial" w:hAnsi="Arial" w:cs="Arial"/>
        <w:noProof/>
      </w:rPr>
      <w:tab/>
    </w:r>
    <w:r w:rsidR="00E00129">
      <w:rPr>
        <w:rFonts w:ascii="Arial" w:hAnsi="Arial" w:cs="Arial"/>
        <w:noProof/>
      </w:rPr>
      <w:tab/>
      <w:t>PL200283</w:t>
    </w:r>
    <w:r w:rsidR="004B6547">
      <w:rPr>
        <w:rFonts w:ascii="Arial" w:hAnsi="Arial" w:cs="Arial"/>
        <w:noProof/>
      </w:rPr>
      <w:t xml:space="preserve"> </w:t>
    </w:r>
  </w:p>
  <w:p w14:paraId="1FC11E8D" w14:textId="77777777" w:rsidR="00D210D8" w:rsidRDefault="00D210D8" w:rsidP="004B6547">
    <w:pPr>
      <w:pStyle w:val="Header"/>
      <w:tabs>
        <w:tab w:val="clear" w:pos="8640"/>
        <w:tab w:val="center" w:pos="4680"/>
        <w:tab w:val="left" w:pos="6804"/>
        <w:tab w:val="right" w:pos="9360"/>
      </w:tabs>
      <w:rPr>
        <w:rFonts w:ascii="Arial" w:hAnsi="Arial" w:cs="Arial"/>
        <w:noProof/>
      </w:rPr>
    </w:pPr>
  </w:p>
  <w:p w14:paraId="6A8C2968"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0803" w14:textId="77777777" w:rsidR="00322E19" w:rsidRDefault="0032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15:restartNumberingAfterBreak="0">
    <w:nsid w:val="5723289D"/>
    <w:multiLevelType w:val="hybridMultilevel"/>
    <w:tmpl w:val="60981306"/>
    <w:lvl w:ilvl="0" w:tplc="4E6C079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8"/>
  </w:num>
  <w:num w:numId="4">
    <w:abstractNumId w:val="9"/>
  </w:num>
  <w:num w:numId="5">
    <w:abstractNumId w:val="31"/>
  </w:num>
  <w:num w:numId="6">
    <w:abstractNumId w:val="5"/>
  </w:num>
  <w:num w:numId="7">
    <w:abstractNumId w:val="1"/>
  </w:num>
  <w:num w:numId="8">
    <w:abstractNumId w:val="26"/>
  </w:num>
  <w:num w:numId="9">
    <w:abstractNumId w:val="16"/>
  </w:num>
  <w:num w:numId="10">
    <w:abstractNumId w:val="14"/>
  </w:num>
  <w:num w:numId="11">
    <w:abstractNumId w:val="20"/>
  </w:num>
  <w:num w:numId="12">
    <w:abstractNumId w:val="29"/>
  </w:num>
  <w:num w:numId="13">
    <w:abstractNumId w:val="4"/>
  </w:num>
  <w:num w:numId="14">
    <w:abstractNumId w:val="17"/>
  </w:num>
  <w:num w:numId="15">
    <w:abstractNumId w:val="24"/>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5"/>
  </w:num>
  <w:num w:numId="25">
    <w:abstractNumId w:val="12"/>
  </w:num>
  <w:num w:numId="26">
    <w:abstractNumId w:val="27"/>
  </w:num>
  <w:num w:numId="27">
    <w:abstractNumId w:val="11"/>
  </w:num>
  <w:num w:numId="28">
    <w:abstractNumId w:val="22"/>
  </w:num>
  <w:num w:numId="29">
    <w:abstractNumId w:val="15"/>
  </w:num>
  <w:num w:numId="30">
    <w:abstractNumId w:val="23"/>
  </w:num>
  <w:num w:numId="31">
    <w:abstractNumId w:val="3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BDD"/>
    <w:rsid w:val="0000120A"/>
    <w:rsid w:val="0001398A"/>
    <w:rsid w:val="000157FF"/>
    <w:rsid w:val="00015D22"/>
    <w:rsid w:val="000170F3"/>
    <w:rsid w:val="00017DFC"/>
    <w:rsid w:val="00022EAD"/>
    <w:rsid w:val="00031C6E"/>
    <w:rsid w:val="00034A15"/>
    <w:rsid w:val="00036999"/>
    <w:rsid w:val="0003783B"/>
    <w:rsid w:val="00040177"/>
    <w:rsid w:val="000424A6"/>
    <w:rsid w:val="00043EB1"/>
    <w:rsid w:val="00054A9F"/>
    <w:rsid w:val="00056F73"/>
    <w:rsid w:val="0006526A"/>
    <w:rsid w:val="000737A0"/>
    <w:rsid w:val="00075342"/>
    <w:rsid w:val="00076196"/>
    <w:rsid w:val="0008105B"/>
    <w:rsid w:val="00081B93"/>
    <w:rsid w:val="00094E62"/>
    <w:rsid w:val="000A5BAE"/>
    <w:rsid w:val="000B4BFB"/>
    <w:rsid w:val="000C21BB"/>
    <w:rsid w:val="000C25F1"/>
    <w:rsid w:val="000C480C"/>
    <w:rsid w:val="000C6B1A"/>
    <w:rsid w:val="000C7608"/>
    <w:rsid w:val="000D09B3"/>
    <w:rsid w:val="000D6F9D"/>
    <w:rsid w:val="000D7BBD"/>
    <w:rsid w:val="000E4458"/>
    <w:rsid w:val="000F6357"/>
    <w:rsid w:val="00100AF6"/>
    <w:rsid w:val="0010191A"/>
    <w:rsid w:val="00104001"/>
    <w:rsid w:val="001219AF"/>
    <w:rsid w:val="001220E4"/>
    <w:rsid w:val="00130CC7"/>
    <w:rsid w:val="0013161B"/>
    <w:rsid w:val="00132986"/>
    <w:rsid w:val="00137797"/>
    <w:rsid w:val="001551CC"/>
    <w:rsid w:val="001562BE"/>
    <w:rsid w:val="001634FB"/>
    <w:rsid w:val="001656BC"/>
    <w:rsid w:val="001702F3"/>
    <w:rsid w:val="00172CE7"/>
    <w:rsid w:val="001765FB"/>
    <w:rsid w:val="001808B6"/>
    <w:rsid w:val="00182765"/>
    <w:rsid w:val="00182B0E"/>
    <w:rsid w:val="00185E46"/>
    <w:rsid w:val="00190DF3"/>
    <w:rsid w:val="001A3C06"/>
    <w:rsid w:val="001B5CE4"/>
    <w:rsid w:val="001D0B53"/>
    <w:rsid w:val="001D3F11"/>
    <w:rsid w:val="001D67CE"/>
    <w:rsid w:val="001D6F93"/>
    <w:rsid w:val="001E764F"/>
    <w:rsid w:val="001F179F"/>
    <w:rsid w:val="0020298E"/>
    <w:rsid w:val="00205167"/>
    <w:rsid w:val="002077EE"/>
    <w:rsid w:val="002159B4"/>
    <w:rsid w:val="0021608D"/>
    <w:rsid w:val="00220639"/>
    <w:rsid w:val="0022133C"/>
    <w:rsid w:val="00223CBE"/>
    <w:rsid w:val="00225203"/>
    <w:rsid w:val="0022579A"/>
    <w:rsid w:val="00226115"/>
    <w:rsid w:val="002315A3"/>
    <w:rsid w:val="002346B3"/>
    <w:rsid w:val="00235236"/>
    <w:rsid w:val="002419BB"/>
    <w:rsid w:val="002433A2"/>
    <w:rsid w:val="002446DE"/>
    <w:rsid w:val="00244CA2"/>
    <w:rsid w:val="00246A65"/>
    <w:rsid w:val="00250221"/>
    <w:rsid w:val="00257414"/>
    <w:rsid w:val="0026320F"/>
    <w:rsid w:val="00270AAE"/>
    <w:rsid w:val="00277F40"/>
    <w:rsid w:val="00280925"/>
    <w:rsid w:val="00283370"/>
    <w:rsid w:val="00290FEC"/>
    <w:rsid w:val="00293E85"/>
    <w:rsid w:val="002959D2"/>
    <w:rsid w:val="002A393B"/>
    <w:rsid w:val="002B47E9"/>
    <w:rsid w:val="002C00E1"/>
    <w:rsid w:val="002C0414"/>
    <w:rsid w:val="002C3B97"/>
    <w:rsid w:val="002C700E"/>
    <w:rsid w:val="002C7CBA"/>
    <w:rsid w:val="002D2254"/>
    <w:rsid w:val="002D23D0"/>
    <w:rsid w:val="002D38E7"/>
    <w:rsid w:val="002D4524"/>
    <w:rsid w:val="002E0FBA"/>
    <w:rsid w:val="002E7C9F"/>
    <w:rsid w:val="002F182D"/>
    <w:rsid w:val="002F37EF"/>
    <w:rsid w:val="002F4E11"/>
    <w:rsid w:val="002F73E5"/>
    <w:rsid w:val="003051EA"/>
    <w:rsid w:val="00307DEE"/>
    <w:rsid w:val="00316394"/>
    <w:rsid w:val="00322E19"/>
    <w:rsid w:val="00323369"/>
    <w:rsid w:val="00324440"/>
    <w:rsid w:val="00340879"/>
    <w:rsid w:val="00345480"/>
    <w:rsid w:val="00346625"/>
    <w:rsid w:val="003506EA"/>
    <w:rsid w:val="00350E1B"/>
    <w:rsid w:val="00354C2E"/>
    <w:rsid w:val="003620BF"/>
    <w:rsid w:val="00367CB0"/>
    <w:rsid w:val="003738BE"/>
    <w:rsid w:val="00375F31"/>
    <w:rsid w:val="0038484F"/>
    <w:rsid w:val="00385FC9"/>
    <w:rsid w:val="00391DD7"/>
    <w:rsid w:val="003B236D"/>
    <w:rsid w:val="003B298B"/>
    <w:rsid w:val="003B7CE2"/>
    <w:rsid w:val="003D1234"/>
    <w:rsid w:val="003E0880"/>
    <w:rsid w:val="003E195A"/>
    <w:rsid w:val="003E6EE8"/>
    <w:rsid w:val="003F266C"/>
    <w:rsid w:val="00401F7B"/>
    <w:rsid w:val="00403715"/>
    <w:rsid w:val="0041157D"/>
    <w:rsid w:val="00415736"/>
    <w:rsid w:val="00420FFD"/>
    <w:rsid w:val="004233D2"/>
    <w:rsid w:val="00436A76"/>
    <w:rsid w:val="00441A9B"/>
    <w:rsid w:val="004443C7"/>
    <w:rsid w:val="004507E6"/>
    <w:rsid w:val="00452228"/>
    <w:rsid w:val="004539BB"/>
    <w:rsid w:val="004568CC"/>
    <w:rsid w:val="00460B87"/>
    <w:rsid w:val="004662FE"/>
    <w:rsid w:val="004758A8"/>
    <w:rsid w:val="0048376F"/>
    <w:rsid w:val="004850D0"/>
    <w:rsid w:val="00487CF8"/>
    <w:rsid w:val="00494BEE"/>
    <w:rsid w:val="004A4461"/>
    <w:rsid w:val="004A587D"/>
    <w:rsid w:val="004B3247"/>
    <w:rsid w:val="004B60DD"/>
    <w:rsid w:val="004B6547"/>
    <w:rsid w:val="004B6DF0"/>
    <w:rsid w:val="004B7E92"/>
    <w:rsid w:val="004C06AB"/>
    <w:rsid w:val="004C2405"/>
    <w:rsid w:val="004C2C9C"/>
    <w:rsid w:val="004C3B19"/>
    <w:rsid w:val="004C5ADC"/>
    <w:rsid w:val="004D6521"/>
    <w:rsid w:val="004E03A4"/>
    <w:rsid w:val="004E31D7"/>
    <w:rsid w:val="004E4C91"/>
    <w:rsid w:val="004E4CD6"/>
    <w:rsid w:val="004F13B0"/>
    <w:rsid w:val="004F1B46"/>
    <w:rsid w:val="004F21D1"/>
    <w:rsid w:val="004F5CF0"/>
    <w:rsid w:val="0050201C"/>
    <w:rsid w:val="00505DF1"/>
    <w:rsid w:val="005064E9"/>
    <w:rsid w:val="00507685"/>
    <w:rsid w:val="00513CCD"/>
    <w:rsid w:val="005176E6"/>
    <w:rsid w:val="0052647D"/>
    <w:rsid w:val="00527EE9"/>
    <w:rsid w:val="00530917"/>
    <w:rsid w:val="0053773B"/>
    <w:rsid w:val="0055024F"/>
    <w:rsid w:val="005554F9"/>
    <w:rsid w:val="00575802"/>
    <w:rsid w:val="00575841"/>
    <w:rsid w:val="005810BD"/>
    <w:rsid w:val="00581834"/>
    <w:rsid w:val="00581FFB"/>
    <w:rsid w:val="005826C8"/>
    <w:rsid w:val="005832B8"/>
    <w:rsid w:val="00585632"/>
    <w:rsid w:val="0058684A"/>
    <w:rsid w:val="00595150"/>
    <w:rsid w:val="005A6B29"/>
    <w:rsid w:val="005A767F"/>
    <w:rsid w:val="005B0EFC"/>
    <w:rsid w:val="005B1B3D"/>
    <w:rsid w:val="005B2223"/>
    <w:rsid w:val="005C46AA"/>
    <w:rsid w:val="005C7251"/>
    <w:rsid w:val="005C7AA9"/>
    <w:rsid w:val="005D1ED7"/>
    <w:rsid w:val="005E23DA"/>
    <w:rsid w:val="005E51AF"/>
    <w:rsid w:val="005F182A"/>
    <w:rsid w:val="005F7A16"/>
    <w:rsid w:val="006002DC"/>
    <w:rsid w:val="0060505C"/>
    <w:rsid w:val="00611B55"/>
    <w:rsid w:val="00614648"/>
    <w:rsid w:val="00616822"/>
    <w:rsid w:val="00627521"/>
    <w:rsid w:val="006306A8"/>
    <w:rsid w:val="0063575A"/>
    <w:rsid w:val="00640174"/>
    <w:rsid w:val="006419E7"/>
    <w:rsid w:val="00641AD3"/>
    <w:rsid w:val="00646BFB"/>
    <w:rsid w:val="00647ECC"/>
    <w:rsid w:val="006510E9"/>
    <w:rsid w:val="00653B50"/>
    <w:rsid w:val="00655855"/>
    <w:rsid w:val="00655F95"/>
    <w:rsid w:val="00656CC7"/>
    <w:rsid w:val="00657E0B"/>
    <w:rsid w:val="00663C56"/>
    <w:rsid w:val="00665DAE"/>
    <w:rsid w:val="006664C3"/>
    <w:rsid w:val="00666525"/>
    <w:rsid w:val="00677294"/>
    <w:rsid w:val="006A119C"/>
    <w:rsid w:val="006A19B7"/>
    <w:rsid w:val="006A2B5B"/>
    <w:rsid w:val="006A687C"/>
    <w:rsid w:val="006B58F0"/>
    <w:rsid w:val="006C6D4C"/>
    <w:rsid w:val="006D09B4"/>
    <w:rsid w:val="006D1DFD"/>
    <w:rsid w:val="006D54D1"/>
    <w:rsid w:val="006D6A76"/>
    <w:rsid w:val="006E6454"/>
    <w:rsid w:val="006F214C"/>
    <w:rsid w:val="006F2DF2"/>
    <w:rsid w:val="006F3415"/>
    <w:rsid w:val="006F524F"/>
    <w:rsid w:val="006F54AA"/>
    <w:rsid w:val="006F6F82"/>
    <w:rsid w:val="007057F0"/>
    <w:rsid w:val="00706196"/>
    <w:rsid w:val="00707B3B"/>
    <w:rsid w:val="00715DD1"/>
    <w:rsid w:val="00716030"/>
    <w:rsid w:val="00724155"/>
    <w:rsid w:val="007342E5"/>
    <w:rsid w:val="007353C0"/>
    <w:rsid w:val="00735538"/>
    <w:rsid w:val="00737293"/>
    <w:rsid w:val="00753F8E"/>
    <w:rsid w:val="00756661"/>
    <w:rsid w:val="0076119A"/>
    <w:rsid w:val="007616B5"/>
    <w:rsid w:val="00765C2D"/>
    <w:rsid w:val="00781571"/>
    <w:rsid w:val="0078723A"/>
    <w:rsid w:val="00797860"/>
    <w:rsid w:val="007A1709"/>
    <w:rsid w:val="007A2862"/>
    <w:rsid w:val="007A2C3D"/>
    <w:rsid w:val="007B664A"/>
    <w:rsid w:val="007C08BD"/>
    <w:rsid w:val="007C52AE"/>
    <w:rsid w:val="007D24AF"/>
    <w:rsid w:val="007E0C30"/>
    <w:rsid w:val="007E1745"/>
    <w:rsid w:val="007F17B7"/>
    <w:rsid w:val="007F6702"/>
    <w:rsid w:val="007F73D2"/>
    <w:rsid w:val="007F7583"/>
    <w:rsid w:val="00801236"/>
    <w:rsid w:val="00802055"/>
    <w:rsid w:val="008046EB"/>
    <w:rsid w:val="0080724D"/>
    <w:rsid w:val="00811E24"/>
    <w:rsid w:val="008173CF"/>
    <w:rsid w:val="00823753"/>
    <w:rsid w:val="00825D61"/>
    <w:rsid w:val="008268A4"/>
    <w:rsid w:val="008316DB"/>
    <w:rsid w:val="0083211C"/>
    <w:rsid w:val="00835A80"/>
    <w:rsid w:val="00837AE6"/>
    <w:rsid w:val="0085668B"/>
    <w:rsid w:val="008645E8"/>
    <w:rsid w:val="00865727"/>
    <w:rsid w:val="00866681"/>
    <w:rsid w:val="00880528"/>
    <w:rsid w:val="00890E5D"/>
    <w:rsid w:val="0089782A"/>
    <w:rsid w:val="008A1A0C"/>
    <w:rsid w:val="008A3586"/>
    <w:rsid w:val="008B3EB4"/>
    <w:rsid w:val="008B667D"/>
    <w:rsid w:val="008C09C4"/>
    <w:rsid w:val="008C7470"/>
    <w:rsid w:val="008D3AC6"/>
    <w:rsid w:val="008D3B01"/>
    <w:rsid w:val="008E147D"/>
    <w:rsid w:val="008E34AB"/>
    <w:rsid w:val="008E5B11"/>
    <w:rsid w:val="008F3738"/>
    <w:rsid w:val="00900C5B"/>
    <w:rsid w:val="00902031"/>
    <w:rsid w:val="00902134"/>
    <w:rsid w:val="00907DA4"/>
    <w:rsid w:val="009148E3"/>
    <w:rsid w:val="0092760B"/>
    <w:rsid w:val="009307E5"/>
    <w:rsid w:val="00930FD3"/>
    <w:rsid w:val="009333AA"/>
    <w:rsid w:val="00933E8C"/>
    <w:rsid w:val="00935095"/>
    <w:rsid w:val="00935ABA"/>
    <w:rsid w:val="009360FC"/>
    <w:rsid w:val="00945156"/>
    <w:rsid w:val="00946469"/>
    <w:rsid w:val="00951248"/>
    <w:rsid w:val="00951EE2"/>
    <w:rsid w:val="0095571C"/>
    <w:rsid w:val="00956A10"/>
    <w:rsid w:val="0096422B"/>
    <w:rsid w:val="009650D8"/>
    <w:rsid w:val="00971A6A"/>
    <w:rsid w:val="0097370F"/>
    <w:rsid w:val="009748FB"/>
    <w:rsid w:val="00976AA8"/>
    <w:rsid w:val="009773EC"/>
    <w:rsid w:val="00981E7A"/>
    <w:rsid w:val="00990F55"/>
    <w:rsid w:val="009A1884"/>
    <w:rsid w:val="009A31C9"/>
    <w:rsid w:val="009A34A1"/>
    <w:rsid w:val="009A6D63"/>
    <w:rsid w:val="009A6D7D"/>
    <w:rsid w:val="009A73F6"/>
    <w:rsid w:val="009B69F6"/>
    <w:rsid w:val="009C20B2"/>
    <w:rsid w:val="009C4D62"/>
    <w:rsid w:val="009D0B82"/>
    <w:rsid w:val="009D5078"/>
    <w:rsid w:val="009E0DF7"/>
    <w:rsid w:val="009E1C08"/>
    <w:rsid w:val="009E202F"/>
    <w:rsid w:val="009E289C"/>
    <w:rsid w:val="009E40F3"/>
    <w:rsid w:val="009E6983"/>
    <w:rsid w:val="009F040C"/>
    <w:rsid w:val="009F3047"/>
    <w:rsid w:val="009F64A2"/>
    <w:rsid w:val="00A07A8D"/>
    <w:rsid w:val="00A07D8A"/>
    <w:rsid w:val="00A11CE2"/>
    <w:rsid w:val="00A20E8C"/>
    <w:rsid w:val="00A3213D"/>
    <w:rsid w:val="00A408F1"/>
    <w:rsid w:val="00A45D63"/>
    <w:rsid w:val="00A47406"/>
    <w:rsid w:val="00A550FC"/>
    <w:rsid w:val="00A66729"/>
    <w:rsid w:val="00A66E79"/>
    <w:rsid w:val="00A7018C"/>
    <w:rsid w:val="00A70B89"/>
    <w:rsid w:val="00A70E2F"/>
    <w:rsid w:val="00A71074"/>
    <w:rsid w:val="00A76E5B"/>
    <w:rsid w:val="00A81716"/>
    <w:rsid w:val="00A81DB3"/>
    <w:rsid w:val="00A84EF0"/>
    <w:rsid w:val="00A856CE"/>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D408F"/>
    <w:rsid w:val="00AD720A"/>
    <w:rsid w:val="00AE075F"/>
    <w:rsid w:val="00AE1098"/>
    <w:rsid w:val="00AE1446"/>
    <w:rsid w:val="00AE7CC7"/>
    <w:rsid w:val="00B12A97"/>
    <w:rsid w:val="00B13C3D"/>
    <w:rsid w:val="00B157E1"/>
    <w:rsid w:val="00B16A05"/>
    <w:rsid w:val="00B17BED"/>
    <w:rsid w:val="00B225A1"/>
    <w:rsid w:val="00B25ACB"/>
    <w:rsid w:val="00B25ECF"/>
    <w:rsid w:val="00B268A7"/>
    <w:rsid w:val="00B35686"/>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92BA3"/>
    <w:rsid w:val="00BA28A5"/>
    <w:rsid w:val="00BA3935"/>
    <w:rsid w:val="00BA5F87"/>
    <w:rsid w:val="00BA79F7"/>
    <w:rsid w:val="00BB1683"/>
    <w:rsid w:val="00BB6613"/>
    <w:rsid w:val="00BB66A5"/>
    <w:rsid w:val="00BC66D9"/>
    <w:rsid w:val="00BE0FA0"/>
    <w:rsid w:val="00BE125D"/>
    <w:rsid w:val="00BE16AB"/>
    <w:rsid w:val="00BE693A"/>
    <w:rsid w:val="00BF23CB"/>
    <w:rsid w:val="00BF2757"/>
    <w:rsid w:val="00BF3612"/>
    <w:rsid w:val="00BF497A"/>
    <w:rsid w:val="00BF7426"/>
    <w:rsid w:val="00C02B28"/>
    <w:rsid w:val="00C03640"/>
    <w:rsid w:val="00C1171C"/>
    <w:rsid w:val="00C300F2"/>
    <w:rsid w:val="00C46517"/>
    <w:rsid w:val="00C5671C"/>
    <w:rsid w:val="00C6087B"/>
    <w:rsid w:val="00C671AC"/>
    <w:rsid w:val="00C67B7F"/>
    <w:rsid w:val="00C801A0"/>
    <w:rsid w:val="00C838B9"/>
    <w:rsid w:val="00C92977"/>
    <w:rsid w:val="00C9352A"/>
    <w:rsid w:val="00C940BC"/>
    <w:rsid w:val="00CA3869"/>
    <w:rsid w:val="00CC269B"/>
    <w:rsid w:val="00CC29F3"/>
    <w:rsid w:val="00CC5C59"/>
    <w:rsid w:val="00CD235D"/>
    <w:rsid w:val="00CD5591"/>
    <w:rsid w:val="00CE10CC"/>
    <w:rsid w:val="00CE6A37"/>
    <w:rsid w:val="00CF2AB8"/>
    <w:rsid w:val="00CF3F96"/>
    <w:rsid w:val="00CF4C37"/>
    <w:rsid w:val="00CF55CF"/>
    <w:rsid w:val="00D008AB"/>
    <w:rsid w:val="00D01696"/>
    <w:rsid w:val="00D14BAA"/>
    <w:rsid w:val="00D210D8"/>
    <w:rsid w:val="00D265BD"/>
    <w:rsid w:val="00D30F49"/>
    <w:rsid w:val="00D32294"/>
    <w:rsid w:val="00D34F8F"/>
    <w:rsid w:val="00D35322"/>
    <w:rsid w:val="00D35B18"/>
    <w:rsid w:val="00D36525"/>
    <w:rsid w:val="00D409D0"/>
    <w:rsid w:val="00D42D9F"/>
    <w:rsid w:val="00D45D2B"/>
    <w:rsid w:val="00D50C1C"/>
    <w:rsid w:val="00D53BDA"/>
    <w:rsid w:val="00D66856"/>
    <w:rsid w:val="00D76186"/>
    <w:rsid w:val="00D76968"/>
    <w:rsid w:val="00D83C03"/>
    <w:rsid w:val="00D84899"/>
    <w:rsid w:val="00D8571F"/>
    <w:rsid w:val="00D87734"/>
    <w:rsid w:val="00D91064"/>
    <w:rsid w:val="00D91388"/>
    <w:rsid w:val="00D9357D"/>
    <w:rsid w:val="00D94953"/>
    <w:rsid w:val="00DA1D3B"/>
    <w:rsid w:val="00DA3393"/>
    <w:rsid w:val="00DB023D"/>
    <w:rsid w:val="00DB10F9"/>
    <w:rsid w:val="00DB16DE"/>
    <w:rsid w:val="00DB45DF"/>
    <w:rsid w:val="00DB49FE"/>
    <w:rsid w:val="00DB61E0"/>
    <w:rsid w:val="00DC3E8A"/>
    <w:rsid w:val="00DD35F5"/>
    <w:rsid w:val="00DD6665"/>
    <w:rsid w:val="00DE1E29"/>
    <w:rsid w:val="00DE62BC"/>
    <w:rsid w:val="00DF75FB"/>
    <w:rsid w:val="00E00129"/>
    <w:rsid w:val="00E11D71"/>
    <w:rsid w:val="00E12DE7"/>
    <w:rsid w:val="00E15446"/>
    <w:rsid w:val="00E16751"/>
    <w:rsid w:val="00E2573E"/>
    <w:rsid w:val="00E36C77"/>
    <w:rsid w:val="00E40778"/>
    <w:rsid w:val="00E4342D"/>
    <w:rsid w:val="00E45BCA"/>
    <w:rsid w:val="00E45C87"/>
    <w:rsid w:val="00E46468"/>
    <w:rsid w:val="00E5336E"/>
    <w:rsid w:val="00E57CBE"/>
    <w:rsid w:val="00E611B7"/>
    <w:rsid w:val="00E6550B"/>
    <w:rsid w:val="00E65759"/>
    <w:rsid w:val="00E66F32"/>
    <w:rsid w:val="00E7313A"/>
    <w:rsid w:val="00E73226"/>
    <w:rsid w:val="00E743D2"/>
    <w:rsid w:val="00E77E48"/>
    <w:rsid w:val="00E8779D"/>
    <w:rsid w:val="00E87A9B"/>
    <w:rsid w:val="00E97D24"/>
    <w:rsid w:val="00E97F04"/>
    <w:rsid w:val="00EA39BD"/>
    <w:rsid w:val="00EA73B7"/>
    <w:rsid w:val="00EB32AD"/>
    <w:rsid w:val="00EB3E73"/>
    <w:rsid w:val="00EC1364"/>
    <w:rsid w:val="00EC181A"/>
    <w:rsid w:val="00EC1E6A"/>
    <w:rsid w:val="00EC2949"/>
    <w:rsid w:val="00EC5350"/>
    <w:rsid w:val="00EC7187"/>
    <w:rsid w:val="00EE4BA3"/>
    <w:rsid w:val="00EE62E6"/>
    <w:rsid w:val="00EF4FA7"/>
    <w:rsid w:val="00EF6354"/>
    <w:rsid w:val="00EF6AC1"/>
    <w:rsid w:val="00F0595B"/>
    <w:rsid w:val="00F07B2B"/>
    <w:rsid w:val="00F13970"/>
    <w:rsid w:val="00F206C1"/>
    <w:rsid w:val="00F20B8D"/>
    <w:rsid w:val="00F23FBD"/>
    <w:rsid w:val="00F26553"/>
    <w:rsid w:val="00F3754D"/>
    <w:rsid w:val="00F376E5"/>
    <w:rsid w:val="00F404B1"/>
    <w:rsid w:val="00F4069B"/>
    <w:rsid w:val="00F408C2"/>
    <w:rsid w:val="00F46275"/>
    <w:rsid w:val="00F46C97"/>
    <w:rsid w:val="00F548C9"/>
    <w:rsid w:val="00F62C56"/>
    <w:rsid w:val="00F71AB8"/>
    <w:rsid w:val="00F76E36"/>
    <w:rsid w:val="00F801FB"/>
    <w:rsid w:val="00F82F6D"/>
    <w:rsid w:val="00F90029"/>
    <w:rsid w:val="00F9492B"/>
    <w:rsid w:val="00F9563C"/>
    <w:rsid w:val="00F9597B"/>
    <w:rsid w:val="00FA016B"/>
    <w:rsid w:val="00FA1208"/>
    <w:rsid w:val="00FA6295"/>
    <w:rsid w:val="00FB1948"/>
    <w:rsid w:val="00FB2082"/>
    <w:rsid w:val="00FB7474"/>
    <w:rsid w:val="00FC1A0E"/>
    <w:rsid w:val="00FD10D9"/>
    <w:rsid w:val="00FD395A"/>
    <w:rsid w:val="00FD4182"/>
    <w:rsid w:val="00FD6815"/>
    <w:rsid w:val="00FD77D3"/>
    <w:rsid w:val="00FE1AB5"/>
    <w:rsid w:val="00FE3524"/>
    <w:rsid w:val="00FE3ABD"/>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8C28F4"/>
  <w15:docId w15:val="{F8C193B8-0889-4385-BA99-51011168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5810BD"/>
    <w:pPr>
      <w:ind w:left="0" w:firstLine="0"/>
      <w:contextualSpacing w:val="0"/>
      <w:jc w:val="both"/>
    </w:pPr>
    <w:rPr>
      <w:rFonts w:ascii="Arial" w:hAnsi="Arial"/>
      <w:b/>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paragraph" w:customStyle="1" w:styleId="Default">
    <w:name w:val="Default"/>
    <w:rsid w:val="00A856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726759650">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311209315">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70597537">
      <w:bodyDiv w:val="1"/>
      <w:marLeft w:val="0"/>
      <w:marRight w:val="0"/>
      <w:marTop w:val="0"/>
      <w:marBottom w:val="0"/>
      <w:divBdr>
        <w:top w:val="none" w:sz="0" w:space="0" w:color="auto"/>
        <w:left w:val="none" w:sz="0" w:space="0" w:color="auto"/>
        <w:bottom w:val="none" w:sz="0" w:space="0" w:color="auto"/>
        <w:right w:val="none" w:sz="0" w:space="0" w:color="auto"/>
      </w:divBdr>
    </w:div>
    <w:div w:id="1702511672">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44A067A77D54EBE35D95BF3CA9F17" ma:contentTypeVersion="9" ma:contentTypeDescription="Create a new document." ma:contentTypeScope="" ma:versionID="6ba386f1e818238bc5f1c715472db66b">
  <xsd:schema xmlns:xsd="http://www.w3.org/2001/XMLSchema" xmlns:xs="http://www.w3.org/2001/XMLSchema" xmlns:p="http://schemas.microsoft.com/office/2006/metadata/properties" xmlns:ns3="2806de3a-853c-4065-bdb4-9de73a341696" targetNamespace="http://schemas.microsoft.com/office/2006/metadata/properties" ma:root="true" ma:fieldsID="713cde84d4e345002a1b174441144872" ns3:_="">
    <xsd:import namespace="2806de3a-853c-4065-bdb4-9de73a3416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de3a-853c-4065-bdb4-9de73a341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BEA9-122D-451D-B56E-26591E8B2BEE}">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806de3a-853c-4065-bdb4-9de73a341696"/>
  </ds:schemaRefs>
</ds:datastoreItem>
</file>

<file path=customXml/itemProps2.xml><?xml version="1.0" encoding="utf-8"?>
<ds:datastoreItem xmlns:ds="http://schemas.openxmlformats.org/officeDocument/2006/customXml" ds:itemID="{64D8ED3A-1770-4B2C-886B-FFADB49514E5}">
  <ds:schemaRefs>
    <ds:schemaRef ds:uri="http://schemas.microsoft.com/sharepoint/v3/contenttype/forms"/>
  </ds:schemaRefs>
</ds:datastoreItem>
</file>

<file path=customXml/itemProps3.xml><?xml version="1.0" encoding="utf-8"?>
<ds:datastoreItem xmlns:ds="http://schemas.openxmlformats.org/officeDocument/2006/customXml" ds:itemID="{0F0CB86B-0ED9-4DCB-9747-48B78D72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de3a-853c-4065-bdb4-9de73a341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BAFE3-784C-410A-BE69-C30BA747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1327</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2020-11-05T13:43:00Z</cp:lastPrinted>
  <dcterms:created xsi:type="dcterms:W3CDTF">2020-11-05T13:43:00Z</dcterms:created>
  <dcterms:modified xsi:type="dcterms:W3CDTF">2020-11-05T13:52:00Z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David.Lanthier@ontario.ca</vt:lpwstr>
  </property>
  <property fmtid="{D5CDD505-2E9C-101B-9397-08002B2CF9AE}" pid="5" name="MSIP_Label_034a106e-6316-442c-ad35-738afd673d2b_SetDate">
    <vt:lpwstr>2019-09-04T16:37:24.8921760Z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0x0101007CB44A067A77D54EBE35D95BF3CA9F17</vt:lpwstr>
  </property>
</Properties>
</file>