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Layout w:type="fixed"/>
        <w:tblLook w:val="0000" w:firstRow="0" w:lastRow="0" w:firstColumn="0" w:lastColumn="0" w:noHBand="0" w:noVBand="0"/>
      </w:tblPr>
      <w:tblGrid>
        <w:gridCol w:w="5954"/>
        <w:gridCol w:w="3544"/>
      </w:tblGrid>
      <w:tr w:rsidR="006D09B4" w:rsidRPr="005D7E92" w14:paraId="1355D9BA" w14:textId="77777777" w:rsidTr="0013555E">
        <w:trPr>
          <w:trHeight w:val="281"/>
        </w:trPr>
        <w:tc>
          <w:tcPr>
            <w:tcW w:w="5954" w:type="dxa"/>
          </w:tcPr>
          <w:p w14:paraId="609BC36A" w14:textId="77777777" w:rsidR="006D09B4" w:rsidRPr="001E764F" w:rsidRDefault="006D09B4" w:rsidP="005D7E92">
            <w:pPr>
              <w:rPr>
                <w:rFonts w:ascii="Arial" w:hAnsi="Arial" w:cs="Arial"/>
                <w:b/>
                <w:sz w:val="16"/>
                <w:szCs w:val="16"/>
              </w:rPr>
            </w:pPr>
          </w:p>
        </w:tc>
        <w:tc>
          <w:tcPr>
            <w:tcW w:w="3544" w:type="dxa"/>
            <w:vMerge w:val="restart"/>
          </w:tcPr>
          <w:p w14:paraId="52A4B237" w14:textId="1E9C002B" w:rsidR="006D09B4" w:rsidRPr="005D7E92" w:rsidRDefault="006C6150" w:rsidP="0013555E">
            <w:pPr>
              <w:jc w:val="right"/>
              <w:rPr>
                <w:rFonts w:ascii="Arial" w:hAnsi="Arial" w:cs="Arial"/>
                <w:b/>
                <w:noProof/>
                <w:sz w:val="32"/>
                <w:szCs w:val="32"/>
                <w:lang w:val="en-CA" w:eastAsia="en-CA"/>
              </w:rPr>
            </w:pPr>
            <w:r w:rsidRPr="00BD3726">
              <w:rPr>
                <w:noProof/>
                <w:lang w:val="en-CA" w:eastAsia="en-CA"/>
              </w:rPr>
              <w:drawing>
                <wp:inline distT="0" distB="0" distL="0" distR="0" wp14:anchorId="08DC0C52" wp14:editId="22F15022">
                  <wp:extent cx="118745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tc>
      </w:tr>
      <w:tr w:rsidR="006D09B4" w:rsidRPr="005D7E92" w14:paraId="6A740562" w14:textId="77777777" w:rsidTr="0013555E">
        <w:tc>
          <w:tcPr>
            <w:tcW w:w="5954" w:type="dxa"/>
          </w:tcPr>
          <w:p w14:paraId="5F8E5DB4" w14:textId="77777777" w:rsidR="006D09B4" w:rsidRPr="005D7E92" w:rsidRDefault="0026544D" w:rsidP="005D7E92">
            <w:pPr>
              <w:rPr>
                <w:rFonts w:ascii="Arial" w:hAnsi="Arial" w:cs="Arial"/>
                <w:b/>
                <w:sz w:val="32"/>
                <w:szCs w:val="32"/>
              </w:rPr>
            </w:pPr>
            <w:r w:rsidRPr="005D7E92">
              <w:rPr>
                <w:rFonts w:ascii="Arial" w:hAnsi="Arial" w:cs="Arial"/>
                <w:b/>
                <w:sz w:val="32"/>
                <w:szCs w:val="32"/>
              </w:rPr>
              <w:t>Ontario Land</w:t>
            </w:r>
            <w:r w:rsidR="00BB66A5" w:rsidRPr="005D7E92">
              <w:rPr>
                <w:rFonts w:ascii="Arial" w:hAnsi="Arial" w:cs="Arial"/>
                <w:b/>
                <w:sz w:val="32"/>
                <w:szCs w:val="32"/>
              </w:rPr>
              <w:t xml:space="preserve"> Tribunal</w:t>
            </w:r>
          </w:p>
        </w:tc>
        <w:tc>
          <w:tcPr>
            <w:tcW w:w="3544" w:type="dxa"/>
            <w:vMerge/>
          </w:tcPr>
          <w:p w14:paraId="73ADB7E0" w14:textId="77777777" w:rsidR="006D09B4" w:rsidRPr="005D7E92" w:rsidRDefault="006D09B4" w:rsidP="005D7E92">
            <w:pPr>
              <w:rPr>
                <w:rFonts w:ascii="Arial" w:hAnsi="Arial" w:cs="Arial"/>
                <w:b/>
                <w:sz w:val="32"/>
                <w:szCs w:val="32"/>
              </w:rPr>
            </w:pPr>
          </w:p>
        </w:tc>
      </w:tr>
      <w:tr w:rsidR="006D09B4" w:rsidRPr="008A0A23" w14:paraId="7B7B5741" w14:textId="77777777" w:rsidTr="0013555E">
        <w:tc>
          <w:tcPr>
            <w:tcW w:w="5954" w:type="dxa"/>
          </w:tcPr>
          <w:p w14:paraId="7FFF67ED" w14:textId="77777777" w:rsidR="004D5D5D" w:rsidRPr="005D7E92" w:rsidRDefault="00FE1AB5" w:rsidP="005D7E92">
            <w:pPr>
              <w:rPr>
                <w:rFonts w:ascii="Arial" w:hAnsi="Arial" w:cs="Arial"/>
                <w:sz w:val="32"/>
                <w:szCs w:val="32"/>
                <w:lang w:val="fr-CA"/>
              </w:rPr>
            </w:pPr>
            <w:r w:rsidRPr="005D7E92">
              <w:rPr>
                <w:rFonts w:ascii="Arial" w:hAnsi="Arial" w:cs="Arial"/>
                <w:sz w:val="32"/>
                <w:szCs w:val="32"/>
                <w:lang w:val="fr-CA"/>
              </w:rPr>
              <w:t xml:space="preserve">Tribunal </w:t>
            </w:r>
            <w:r w:rsidR="0010677E" w:rsidRPr="005D7E92">
              <w:rPr>
                <w:rFonts w:ascii="Arial" w:hAnsi="Arial" w:cs="Arial"/>
                <w:sz w:val="32"/>
                <w:szCs w:val="32"/>
                <w:lang w:val="fr-CA"/>
              </w:rPr>
              <w:t xml:space="preserve">ontarien de l’aménagement </w:t>
            </w:r>
          </w:p>
          <w:p w14:paraId="0442DB73" w14:textId="77777777" w:rsidR="0010677E" w:rsidRPr="005D7E92" w:rsidRDefault="0010677E" w:rsidP="005D7E92">
            <w:pPr>
              <w:rPr>
                <w:rFonts w:ascii="Arial" w:hAnsi="Arial" w:cs="Arial"/>
                <w:sz w:val="32"/>
                <w:szCs w:val="32"/>
                <w:lang w:val="fr-CA"/>
              </w:rPr>
            </w:pPr>
            <w:r w:rsidRPr="005D7E92">
              <w:rPr>
                <w:rFonts w:ascii="Arial" w:hAnsi="Arial" w:cs="Arial"/>
                <w:sz w:val="32"/>
                <w:szCs w:val="32"/>
                <w:lang w:val="fr-CA"/>
              </w:rPr>
              <w:t>du territoire</w:t>
            </w:r>
          </w:p>
          <w:p w14:paraId="13E97112" w14:textId="77777777" w:rsidR="006D09B4" w:rsidRPr="005D7E92" w:rsidRDefault="006D09B4" w:rsidP="005D7E92">
            <w:pPr>
              <w:rPr>
                <w:rFonts w:ascii="Arial" w:hAnsi="Arial" w:cs="Arial"/>
                <w:sz w:val="32"/>
                <w:szCs w:val="32"/>
                <w:lang w:val="fr-CA"/>
              </w:rPr>
            </w:pPr>
          </w:p>
          <w:p w14:paraId="7DA36C0B" w14:textId="77777777" w:rsidR="006D09B4" w:rsidRPr="005D7E92" w:rsidRDefault="006D09B4" w:rsidP="005D7E92">
            <w:pPr>
              <w:rPr>
                <w:rFonts w:ascii="Arial" w:hAnsi="Arial" w:cs="Arial"/>
                <w:sz w:val="32"/>
                <w:szCs w:val="32"/>
                <w:lang w:val="fr-CA"/>
              </w:rPr>
            </w:pPr>
          </w:p>
        </w:tc>
        <w:tc>
          <w:tcPr>
            <w:tcW w:w="3544" w:type="dxa"/>
            <w:vMerge/>
          </w:tcPr>
          <w:p w14:paraId="0174DE28" w14:textId="77777777" w:rsidR="006D09B4" w:rsidRPr="005D7E92" w:rsidRDefault="006D09B4" w:rsidP="005D7E92">
            <w:pPr>
              <w:rPr>
                <w:rFonts w:ascii="Arial" w:hAnsi="Arial" w:cs="Arial"/>
                <w:sz w:val="32"/>
                <w:szCs w:val="32"/>
                <w:lang w:val="fr-CA"/>
              </w:rPr>
            </w:pPr>
          </w:p>
        </w:tc>
      </w:tr>
    </w:tbl>
    <w:p w14:paraId="45CF57B1" w14:textId="77777777" w:rsidR="00AB07FC" w:rsidRPr="005D7E92" w:rsidRDefault="00AB07FC" w:rsidP="007C7D69">
      <w:pPr>
        <w:rPr>
          <w:rFonts w:ascii="Arial" w:hAnsi="Arial" w:cs="Arial"/>
          <w:lang w:val="fr-CA"/>
        </w:rPr>
      </w:pPr>
      <w:bookmarkStart w:id="0" w:name="Appearances"/>
    </w:p>
    <w:tbl>
      <w:tblPr>
        <w:tblW w:w="9606" w:type="dxa"/>
        <w:tblInd w:w="-90" w:type="dxa"/>
        <w:tblLook w:val="04A0" w:firstRow="1" w:lastRow="0" w:firstColumn="1" w:lastColumn="0" w:noHBand="0" w:noVBand="1"/>
      </w:tblPr>
      <w:tblGrid>
        <w:gridCol w:w="1818"/>
        <w:gridCol w:w="3960"/>
        <w:gridCol w:w="1890"/>
        <w:gridCol w:w="1938"/>
      </w:tblGrid>
      <w:tr w:rsidR="00EA73B7" w:rsidRPr="005D7E92" w14:paraId="715C4DB8" w14:textId="77777777" w:rsidTr="00A319ED">
        <w:trPr>
          <w:trHeight w:val="260"/>
        </w:trPr>
        <w:tc>
          <w:tcPr>
            <w:tcW w:w="1818" w:type="dxa"/>
            <w:shd w:val="clear" w:color="auto" w:fill="auto"/>
            <w:vAlign w:val="center"/>
          </w:tcPr>
          <w:p w14:paraId="3E640914" w14:textId="77777777" w:rsidR="00EA73B7" w:rsidRPr="005D7E92" w:rsidRDefault="00EA73B7" w:rsidP="007C7D69">
            <w:pPr>
              <w:rPr>
                <w:rFonts w:ascii="Arial" w:hAnsi="Arial" w:cs="Arial"/>
              </w:rPr>
            </w:pPr>
            <w:r w:rsidRPr="005D7E92">
              <w:rPr>
                <w:rFonts w:ascii="Arial" w:hAnsi="Arial" w:cs="Arial"/>
                <w:b/>
              </w:rPr>
              <w:t>ISSUE DATE:</w:t>
            </w:r>
          </w:p>
        </w:tc>
        <w:tc>
          <w:tcPr>
            <w:tcW w:w="3960" w:type="dxa"/>
            <w:shd w:val="clear" w:color="auto" w:fill="auto"/>
            <w:vAlign w:val="center"/>
          </w:tcPr>
          <w:p w14:paraId="1EBD0DB3" w14:textId="671D53C1" w:rsidR="00EA73B7" w:rsidRPr="005D7E92" w:rsidRDefault="002877FF" w:rsidP="007C7D69">
            <w:pPr>
              <w:rPr>
                <w:rFonts w:ascii="Arial" w:hAnsi="Arial" w:cs="Arial"/>
              </w:rPr>
            </w:pPr>
            <w:r>
              <w:rPr>
                <w:rFonts w:ascii="Arial" w:hAnsi="Arial" w:cs="Arial"/>
              </w:rPr>
              <w:t>December 15, 2021</w:t>
            </w:r>
          </w:p>
        </w:tc>
        <w:tc>
          <w:tcPr>
            <w:tcW w:w="1890" w:type="dxa"/>
            <w:shd w:val="clear" w:color="auto" w:fill="auto"/>
            <w:vAlign w:val="center"/>
          </w:tcPr>
          <w:p w14:paraId="55C33FCD" w14:textId="26F225E1" w:rsidR="00EA73B7" w:rsidRPr="005D7E92" w:rsidRDefault="00EA73B7" w:rsidP="007C7D69">
            <w:pPr>
              <w:rPr>
                <w:rFonts w:ascii="Arial" w:hAnsi="Arial" w:cs="Arial"/>
              </w:rPr>
            </w:pPr>
            <w:r w:rsidRPr="005D7E92">
              <w:rPr>
                <w:rFonts w:ascii="Arial" w:hAnsi="Arial" w:cs="Arial"/>
                <w:b/>
              </w:rPr>
              <w:fldChar w:fldCharType="begin"/>
            </w:r>
            <w:r w:rsidRPr="005D7E92">
              <w:rPr>
                <w:rFonts w:ascii="Arial" w:hAnsi="Arial" w:cs="Arial"/>
                <w:b/>
              </w:rPr>
              <w:instrText xml:space="preserve"> SEQ CHAPTER \h \r 1</w:instrText>
            </w:r>
            <w:r w:rsidRPr="005D7E92">
              <w:rPr>
                <w:rFonts w:ascii="Arial" w:hAnsi="Arial" w:cs="Arial"/>
                <w:b/>
              </w:rPr>
              <w:fldChar w:fldCharType="end"/>
            </w:r>
            <w:r w:rsidRPr="005D7E92">
              <w:rPr>
                <w:rFonts w:ascii="Arial" w:hAnsi="Arial" w:cs="Arial"/>
                <w:b/>
              </w:rPr>
              <w:t>CASE NO(S).:</w:t>
            </w:r>
          </w:p>
        </w:tc>
        <w:tc>
          <w:tcPr>
            <w:tcW w:w="1938" w:type="dxa"/>
            <w:shd w:val="clear" w:color="auto" w:fill="auto"/>
            <w:vAlign w:val="center"/>
          </w:tcPr>
          <w:p w14:paraId="3E738905" w14:textId="1F07C67B" w:rsidR="00EA73B7" w:rsidRPr="005D7E92" w:rsidRDefault="00AE5E79" w:rsidP="00060BAC">
            <w:pPr>
              <w:ind w:left="240"/>
              <w:rPr>
                <w:rFonts w:ascii="Arial" w:hAnsi="Arial" w:cs="Arial"/>
              </w:rPr>
            </w:pPr>
            <w:r>
              <w:rPr>
                <w:rFonts w:ascii="Arial" w:hAnsi="Arial" w:cs="Arial"/>
              </w:rPr>
              <w:t>PL</w:t>
            </w:r>
            <w:r w:rsidR="00BC3735">
              <w:rPr>
                <w:rFonts w:ascii="Arial" w:hAnsi="Arial" w:cs="Arial"/>
              </w:rPr>
              <w:t>210284</w:t>
            </w:r>
          </w:p>
        </w:tc>
      </w:tr>
    </w:tbl>
    <w:p w14:paraId="7D1E81ED" w14:textId="2BF1E169" w:rsidR="001D67CE" w:rsidRDefault="001D67CE" w:rsidP="007C7D69">
      <w:pPr>
        <w:rPr>
          <w:rFonts w:ascii="Arial" w:hAnsi="Arial" w:cs="Arial"/>
        </w:rPr>
      </w:pPr>
    </w:p>
    <w:p w14:paraId="796141AC" w14:textId="23215D18" w:rsidR="00AE5E79" w:rsidRDefault="00AE5E79" w:rsidP="007C7D69">
      <w:pPr>
        <w:rPr>
          <w:rFonts w:ascii="Arial" w:hAnsi="Arial" w:cs="Arial"/>
        </w:rPr>
      </w:pPr>
    </w:p>
    <w:tbl>
      <w:tblPr>
        <w:tblW w:w="9450" w:type="dxa"/>
        <w:tblInd w:w="-90" w:type="dxa"/>
        <w:tblLook w:val="04A0" w:firstRow="1" w:lastRow="0" w:firstColumn="1" w:lastColumn="0" w:noHBand="0" w:noVBand="1"/>
      </w:tblPr>
      <w:tblGrid>
        <w:gridCol w:w="3780"/>
        <w:gridCol w:w="5670"/>
      </w:tblGrid>
      <w:tr w:rsidR="00D64C77" w14:paraId="217F5B69" w14:textId="77777777" w:rsidTr="00D64C77">
        <w:trPr>
          <w:cantSplit/>
          <w:trHeight w:val="732"/>
        </w:trPr>
        <w:tc>
          <w:tcPr>
            <w:tcW w:w="9450" w:type="dxa"/>
            <w:gridSpan w:val="2"/>
            <w:hideMark/>
          </w:tcPr>
          <w:p w14:paraId="534537ED" w14:textId="77777777" w:rsidR="00D64C77" w:rsidRPr="00D64C77" w:rsidRDefault="00D64C77">
            <w:pPr>
              <w:rPr>
                <w:rFonts w:ascii="Arial" w:hAnsi="Arial" w:cs="Arial"/>
                <w:lang w:val="en-CA"/>
              </w:rPr>
            </w:pPr>
            <w:r w:rsidRPr="00D64C77">
              <w:rPr>
                <w:rFonts w:ascii="Arial" w:hAnsi="Arial" w:cs="Arial"/>
                <w:b/>
              </w:rPr>
              <w:t xml:space="preserve">PROCEEDING COMMENCED UNDER </w:t>
            </w:r>
            <w:r w:rsidRPr="00D64C77">
              <w:rPr>
                <w:rFonts w:ascii="Arial" w:hAnsi="Arial" w:cs="Arial"/>
              </w:rPr>
              <w:t xml:space="preserve">subsection 45(12) of the </w:t>
            </w:r>
            <w:r w:rsidRPr="00D64C77">
              <w:rPr>
                <w:rFonts w:ascii="Arial" w:hAnsi="Arial" w:cs="Arial"/>
                <w:i/>
              </w:rPr>
              <w:t>Planning Act</w:t>
            </w:r>
            <w:r w:rsidRPr="00D64C77">
              <w:rPr>
                <w:rFonts w:ascii="Arial" w:hAnsi="Arial" w:cs="Arial"/>
              </w:rPr>
              <w:t>, R.S.O. 1990, c. P.13, as amended</w:t>
            </w:r>
          </w:p>
        </w:tc>
      </w:tr>
      <w:tr w:rsidR="00D64C77" w14:paraId="75CBCEFA" w14:textId="77777777" w:rsidTr="00D64C77">
        <w:tc>
          <w:tcPr>
            <w:tcW w:w="3780" w:type="dxa"/>
            <w:hideMark/>
          </w:tcPr>
          <w:p w14:paraId="2DE29C98" w14:textId="77777777" w:rsidR="00D64C77" w:rsidRPr="00D64C77" w:rsidRDefault="00D64C77">
            <w:pPr>
              <w:rPr>
                <w:rFonts w:ascii="Arial" w:hAnsi="Arial" w:cs="Arial"/>
              </w:rPr>
            </w:pPr>
            <w:r w:rsidRPr="00D64C77">
              <w:rPr>
                <w:rFonts w:ascii="Arial" w:hAnsi="Arial" w:cs="Arial"/>
              </w:rPr>
              <w:t>Appellant:</w:t>
            </w:r>
          </w:p>
        </w:tc>
        <w:tc>
          <w:tcPr>
            <w:tcW w:w="5670" w:type="dxa"/>
            <w:hideMark/>
          </w:tcPr>
          <w:p w14:paraId="699E37B3" w14:textId="77777777" w:rsidR="00D64C77" w:rsidRPr="00D64C77" w:rsidRDefault="00D64C77">
            <w:pPr>
              <w:rPr>
                <w:rFonts w:ascii="Arial" w:hAnsi="Arial" w:cs="Arial"/>
              </w:rPr>
            </w:pPr>
            <w:r w:rsidRPr="00D64C77">
              <w:rPr>
                <w:rFonts w:ascii="Arial" w:hAnsi="Arial" w:cs="Arial"/>
              </w:rPr>
              <w:t>Prombank Investments Limited</w:t>
            </w:r>
          </w:p>
        </w:tc>
      </w:tr>
      <w:tr w:rsidR="00D64C77" w14:paraId="3BE27CC8" w14:textId="77777777" w:rsidTr="00D64C77">
        <w:tc>
          <w:tcPr>
            <w:tcW w:w="3780" w:type="dxa"/>
            <w:hideMark/>
          </w:tcPr>
          <w:p w14:paraId="26D03DD0" w14:textId="77777777" w:rsidR="00D64C77" w:rsidRPr="00D64C77" w:rsidRDefault="00D64C77">
            <w:pPr>
              <w:rPr>
                <w:rFonts w:ascii="Arial" w:hAnsi="Arial" w:cs="Arial"/>
              </w:rPr>
            </w:pPr>
            <w:r w:rsidRPr="00D64C77">
              <w:rPr>
                <w:rFonts w:ascii="Arial" w:hAnsi="Arial" w:cs="Arial"/>
              </w:rPr>
              <w:t>Applicant:</w:t>
            </w:r>
          </w:p>
        </w:tc>
        <w:tc>
          <w:tcPr>
            <w:tcW w:w="5670" w:type="dxa"/>
            <w:hideMark/>
          </w:tcPr>
          <w:p w14:paraId="1DE02B1B" w14:textId="77F50441" w:rsidR="00D64C77" w:rsidRPr="00D64C77" w:rsidRDefault="00D64C77">
            <w:pPr>
              <w:rPr>
                <w:rFonts w:ascii="Arial" w:hAnsi="Arial" w:cs="Arial"/>
              </w:rPr>
            </w:pPr>
            <w:r w:rsidRPr="00D64C77">
              <w:rPr>
                <w:rFonts w:ascii="Arial" w:hAnsi="Arial" w:cs="Arial"/>
              </w:rPr>
              <w:t xml:space="preserve">2451681 Ontario Inc. </w:t>
            </w:r>
            <w:r>
              <w:rPr>
                <w:rFonts w:ascii="Arial" w:hAnsi="Arial" w:cs="Arial"/>
              </w:rPr>
              <w:t>and</w:t>
            </w:r>
            <w:r w:rsidRPr="00D64C77">
              <w:rPr>
                <w:rFonts w:ascii="Arial" w:hAnsi="Arial" w:cs="Arial"/>
              </w:rPr>
              <w:t xml:space="preserve"> Greycan 6 Properties GP Inc.</w:t>
            </w:r>
          </w:p>
        </w:tc>
      </w:tr>
      <w:tr w:rsidR="00D64C77" w14:paraId="3BC09D8D" w14:textId="77777777" w:rsidTr="00D64C77">
        <w:tc>
          <w:tcPr>
            <w:tcW w:w="3780" w:type="dxa"/>
            <w:hideMark/>
          </w:tcPr>
          <w:p w14:paraId="7AD9D38D" w14:textId="77777777" w:rsidR="00D64C77" w:rsidRPr="00D64C77" w:rsidRDefault="00D64C77">
            <w:pPr>
              <w:rPr>
                <w:rFonts w:ascii="Arial" w:hAnsi="Arial" w:cs="Arial"/>
              </w:rPr>
            </w:pPr>
            <w:r w:rsidRPr="00D64C77">
              <w:rPr>
                <w:rFonts w:ascii="Arial" w:hAnsi="Arial" w:cs="Arial"/>
              </w:rPr>
              <w:t xml:space="preserve">Subject: </w:t>
            </w:r>
          </w:p>
        </w:tc>
        <w:tc>
          <w:tcPr>
            <w:tcW w:w="5670" w:type="dxa"/>
            <w:hideMark/>
          </w:tcPr>
          <w:p w14:paraId="1195D2B1" w14:textId="77777777" w:rsidR="00D64C77" w:rsidRPr="00D64C77" w:rsidRDefault="00D64C77">
            <w:pPr>
              <w:rPr>
                <w:rFonts w:ascii="Arial" w:hAnsi="Arial" w:cs="Arial"/>
              </w:rPr>
            </w:pPr>
            <w:r w:rsidRPr="00D64C77">
              <w:rPr>
                <w:rFonts w:ascii="Arial" w:hAnsi="Arial" w:cs="Arial"/>
              </w:rPr>
              <w:t>Minor Variance</w:t>
            </w:r>
          </w:p>
        </w:tc>
      </w:tr>
      <w:tr w:rsidR="00D64C77" w14:paraId="47740C3D" w14:textId="77777777" w:rsidTr="00D64C77">
        <w:tc>
          <w:tcPr>
            <w:tcW w:w="3780" w:type="dxa"/>
            <w:hideMark/>
          </w:tcPr>
          <w:p w14:paraId="67690E7A" w14:textId="77777777" w:rsidR="00D64C77" w:rsidRPr="00D64C77" w:rsidRDefault="00D64C77">
            <w:pPr>
              <w:rPr>
                <w:rFonts w:ascii="Arial" w:hAnsi="Arial" w:cs="Arial"/>
              </w:rPr>
            </w:pPr>
            <w:r w:rsidRPr="00D64C77">
              <w:rPr>
                <w:rFonts w:ascii="Arial" w:hAnsi="Arial" w:cs="Arial"/>
              </w:rPr>
              <w:t xml:space="preserve">Variance from By-law No.: </w:t>
            </w:r>
          </w:p>
        </w:tc>
        <w:tc>
          <w:tcPr>
            <w:tcW w:w="5670" w:type="dxa"/>
            <w:hideMark/>
          </w:tcPr>
          <w:p w14:paraId="445D3982" w14:textId="77777777" w:rsidR="00D64C77" w:rsidRPr="00D64C77" w:rsidRDefault="00D64C77">
            <w:pPr>
              <w:rPr>
                <w:rFonts w:ascii="Arial" w:hAnsi="Arial" w:cs="Arial"/>
              </w:rPr>
            </w:pPr>
            <w:r w:rsidRPr="00D64C77">
              <w:rPr>
                <w:rFonts w:ascii="Arial" w:hAnsi="Arial" w:cs="Arial"/>
              </w:rPr>
              <w:t>0225-2007</w:t>
            </w:r>
          </w:p>
        </w:tc>
      </w:tr>
      <w:tr w:rsidR="00D64C77" w14:paraId="5AF6CBD0" w14:textId="77777777" w:rsidTr="00D64C77">
        <w:tc>
          <w:tcPr>
            <w:tcW w:w="3780" w:type="dxa"/>
            <w:hideMark/>
          </w:tcPr>
          <w:p w14:paraId="4A065C19" w14:textId="77777777" w:rsidR="00D64C77" w:rsidRPr="00D64C77" w:rsidRDefault="00D64C77">
            <w:pPr>
              <w:rPr>
                <w:rFonts w:ascii="Arial" w:hAnsi="Arial" w:cs="Arial"/>
              </w:rPr>
            </w:pPr>
            <w:r w:rsidRPr="00D64C77">
              <w:rPr>
                <w:rFonts w:ascii="Arial" w:hAnsi="Arial" w:cs="Arial"/>
              </w:rPr>
              <w:t>Property Address/Description:</w:t>
            </w:r>
          </w:p>
        </w:tc>
        <w:tc>
          <w:tcPr>
            <w:tcW w:w="5670" w:type="dxa"/>
            <w:hideMark/>
          </w:tcPr>
          <w:p w14:paraId="7108000C" w14:textId="77777777" w:rsidR="00D64C77" w:rsidRPr="00D64C77" w:rsidRDefault="00D64C77">
            <w:pPr>
              <w:rPr>
                <w:rFonts w:ascii="Arial" w:hAnsi="Arial" w:cs="Arial"/>
              </w:rPr>
            </w:pPr>
            <w:r w:rsidRPr="00D64C77">
              <w:rPr>
                <w:rFonts w:ascii="Arial" w:hAnsi="Arial" w:cs="Arial"/>
              </w:rPr>
              <w:t>1330 Eglinton Ave. E.</w:t>
            </w:r>
          </w:p>
        </w:tc>
      </w:tr>
      <w:tr w:rsidR="00D64C77" w14:paraId="14CB0247" w14:textId="77777777" w:rsidTr="00D64C77">
        <w:tc>
          <w:tcPr>
            <w:tcW w:w="3780" w:type="dxa"/>
            <w:hideMark/>
          </w:tcPr>
          <w:p w14:paraId="48F5C35A" w14:textId="77777777" w:rsidR="00D64C77" w:rsidRPr="00D64C77" w:rsidRDefault="00D64C77">
            <w:pPr>
              <w:rPr>
                <w:rFonts w:ascii="Arial" w:hAnsi="Arial" w:cs="Arial"/>
              </w:rPr>
            </w:pPr>
            <w:r w:rsidRPr="00D64C77">
              <w:rPr>
                <w:rFonts w:ascii="Arial" w:hAnsi="Arial" w:cs="Arial"/>
              </w:rPr>
              <w:t xml:space="preserve">Municipality: </w:t>
            </w:r>
          </w:p>
        </w:tc>
        <w:tc>
          <w:tcPr>
            <w:tcW w:w="5670" w:type="dxa"/>
            <w:hideMark/>
          </w:tcPr>
          <w:p w14:paraId="175436E7" w14:textId="77777777" w:rsidR="00D64C77" w:rsidRPr="00D64C77" w:rsidRDefault="00D64C77">
            <w:pPr>
              <w:rPr>
                <w:rFonts w:ascii="Arial" w:hAnsi="Arial" w:cs="Arial"/>
              </w:rPr>
            </w:pPr>
            <w:r w:rsidRPr="00D64C77">
              <w:rPr>
                <w:rFonts w:ascii="Arial" w:hAnsi="Arial" w:cs="Arial"/>
              </w:rPr>
              <w:t>City of Mississauga</w:t>
            </w:r>
          </w:p>
        </w:tc>
      </w:tr>
      <w:tr w:rsidR="00D64C77" w14:paraId="1488C3AC" w14:textId="77777777" w:rsidTr="00D64C77">
        <w:tc>
          <w:tcPr>
            <w:tcW w:w="3780" w:type="dxa"/>
            <w:hideMark/>
          </w:tcPr>
          <w:p w14:paraId="4B2326C6" w14:textId="77777777" w:rsidR="00D64C77" w:rsidRPr="00D64C77" w:rsidRDefault="00D64C77">
            <w:pPr>
              <w:rPr>
                <w:rFonts w:ascii="Arial" w:hAnsi="Arial" w:cs="Arial"/>
              </w:rPr>
            </w:pPr>
            <w:r w:rsidRPr="00D64C77">
              <w:rPr>
                <w:rFonts w:ascii="Arial" w:hAnsi="Arial" w:cs="Arial"/>
              </w:rPr>
              <w:t xml:space="preserve">Municipal File No.: </w:t>
            </w:r>
          </w:p>
        </w:tc>
        <w:tc>
          <w:tcPr>
            <w:tcW w:w="5670" w:type="dxa"/>
            <w:hideMark/>
          </w:tcPr>
          <w:p w14:paraId="1E9350A0" w14:textId="77777777" w:rsidR="00D64C77" w:rsidRPr="00D64C77" w:rsidRDefault="00D64C77">
            <w:pPr>
              <w:rPr>
                <w:rFonts w:ascii="Arial" w:hAnsi="Arial" w:cs="Arial"/>
              </w:rPr>
            </w:pPr>
            <w:r w:rsidRPr="00D64C77">
              <w:rPr>
                <w:rFonts w:ascii="Arial" w:hAnsi="Arial" w:cs="Arial"/>
              </w:rPr>
              <w:t>A394/20</w:t>
            </w:r>
          </w:p>
        </w:tc>
      </w:tr>
      <w:tr w:rsidR="00D64C77" w14:paraId="1A0CA009" w14:textId="77777777" w:rsidTr="00D64C77">
        <w:tc>
          <w:tcPr>
            <w:tcW w:w="3780" w:type="dxa"/>
            <w:hideMark/>
          </w:tcPr>
          <w:p w14:paraId="5DC76424" w14:textId="0DB12F6C" w:rsidR="00D64C77" w:rsidRPr="00D64C77" w:rsidRDefault="00D64C77">
            <w:pPr>
              <w:rPr>
                <w:rFonts w:ascii="Arial" w:hAnsi="Arial" w:cs="Arial"/>
              </w:rPr>
            </w:pPr>
            <w:r>
              <w:rPr>
                <w:rFonts w:ascii="Arial" w:hAnsi="Arial" w:cs="Arial"/>
              </w:rPr>
              <w:t>O</w:t>
            </w:r>
            <w:r w:rsidRPr="00D64C77">
              <w:rPr>
                <w:rFonts w:ascii="Arial" w:hAnsi="Arial" w:cs="Arial"/>
              </w:rPr>
              <w:t xml:space="preserve">LT Case No.: </w:t>
            </w:r>
          </w:p>
        </w:tc>
        <w:tc>
          <w:tcPr>
            <w:tcW w:w="5670" w:type="dxa"/>
            <w:hideMark/>
          </w:tcPr>
          <w:p w14:paraId="45599DEE" w14:textId="77777777" w:rsidR="00D64C77" w:rsidRPr="00D64C77" w:rsidRDefault="00D64C77">
            <w:pPr>
              <w:rPr>
                <w:rFonts w:ascii="Arial" w:hAnsi="Arial" w:cs="Arial"/>
              </w:rPr>
            </w:pPr>
            <w:r w:rsidRPr="00D64C77">
              <w:rPr>
                <w:rFonts w:ascii="Arial" w:hAnsi="Arial" w:cs="Arial"/>
              </w:rPr>
              <w:t>PL210284</w:t>
            </w:r>
          </w:p>
        </w:tc>
      </w:tr>
      <w:tr w:rsidR="00D64C77" w14:paraId="71CD78DE" w14:textId="77777777" w:rsidTr="00D64C77">
        <w:tc>
          <w:tcPr>
            <w:tcW w:w="3780" w:type="dxa"/>
            <w:hideMark/>
          </w:tcPr>
          <w:p w14:paraId="7164344F" w14:textId="6174F4CF" w:rsidR="00D64C77" w:rsidRPr="00D64C77" w:rsidRDefault="00D64C77">
            <w:pPr>
              <w:rPr>
                <w:rFonts w:ascii="Arial" w:hAnsi="Arial" w:cs="Arial"/>
              </w:rPr>
            </w:pPr>
            <w:r>
              <w:rPr>
                <w:rFonts w:ascii="Arial" w:hAnsi="Arial" w:cs="Arial"/>
              </w:rPr>
              <w:t>O</w:t>
            </w:r>
            <w:r w:rsidRPr="00D64C77">
              <w:rPr>
                <w:rFonts w:ascii="Arial" w:hAnsi="Arial" w:cs="Arial"/>
              </w:rPr>
              <w:t xml:space="preserve">LT File No.: </w:t>
            </w:r>
          </w:p>
        </w:tc>
        <w:tc>
          <w:tcPr>
            <w:tcW w:w="5670" w:type="dxa"/>
            <w:hideMark/>
          </w:tcPr>
          <w:p w14:paraId="2C37C000" w14:textId="77777777" w:rsidR="00D64C77" w:rsidRPr="00D64C77" w:rsidRDefault="00D64C77">
            <w:pPr>
              <w:rPr>
                <w:rFonts w:ascii="Arial" w:hAnsi="Arial" w:cs="Arial"/>
              </w:rPr>
            </w:pPr>
            <w:r w:rsidRPr="00D64C77">
              <w:rPr>
                <w:rFonts w:ascii="Arial" w:hAnsi="Arial" w:cs="Arial"/>
              </w:rPr>
              <w:t>PL210284</w:t>
            </w:r>
          </w:p>
        </w:tc>
      </w:tr>
      <w:tr w:rsidR="00D64C77" w14:paraId="64721B66" w14:textId="77777777" w:rsidTr="00D64C77">
        <w:tc>
          <w:tcPr>
            <w:tcW w:w="3780" w:type="dxa"/>
            <w:hideMark/>
          </w:tcPr>
          <w:p w14:paraId="72A2D7AE" w14:textId="5EE09A57" w:rsidR="00D64C77" w:rsidRPr="00D64C77" w:rsidRDefault="00D64C77">
            <w:pPr>
              <w:rPr>
                <w:rFonts w:ascii="Arial" w:hAnsi="Arial" w:cs="Arial"/>
              </w:rPr>
            </w:pPr>
            <w:r>
              <w:rPr>
                <w:rFonts w:ascii="Arial" w:hAnsi="Arial" w:cs="Arial"/>
              </w:rPr>
              <w:t>O</w:t>
            </w:r>
            <w:r w:rsidRPr="00D64C77">
              <w:rPr>
                <w:rFonts w:ascii="Arial" w:hAnsi="Arial" w:cs="Arial"/>
              </w:rPr>
              <w:t xml:space="preserve">LT Case Name: </w:t>
            </w:r>
          </w:p>
        </w:tc>
        <w:tc>
          <w:tcPr>
            <w:tcW w:w="5670" w:type="dxa"/>
            <w:hideMark/>
          </w:tcPr>
          <w:p w14:paraId="6C3911F0" w14:textId="77777777" w:rsidR="00D64C77" w:rsidRPr="00D64C77" w:rsidRDefault="00D64C77">
            <w:pPr>
              <w:rPr>
                <w:rFonts w:ascii="Arial" w:hAnsi="Arial" w:cs="Arial"/>
              </w:rPr>
            </w:pPr>
            <w:r w:rsidRPr="00D64C77">
              <w:rPr>
                <w:rFonts w:ascii="Arial" w:hAnsi="Arial" w:cs="Arial"/>
              </w:rPr>
              <w:t xml:space="preserve">Prombank Investments Limited v. Mississauga (City) </w:t>
            </w:r>
          </w:p>
        </w:tc>
      </w:tr>
    </w:tbl>
    <w:p w14:paraId="51FD3410" w14:textId="77777777" w:rsidR="00AE5E79" w:rsidRPr="0013555E" w:rsidRDefault="00AE5E79" w:rsidP="007C7D69">
      <w:pPr>
        <w:rPr>
          <w:rFonts w:ascii="Arial" w:hAnsi="Arial" w:cs="Arial"/>
        </w:rPr>
      </w:pPr>
    </w:p>
    <w:p w14:paraId="243C0913" w14:textId="77777777" w:rsidR="00E13EBF" w:rsidRPr="005D7E92" w:rsidRDefault="00E13EBF" w:rsidP="007C7D69">
      <w:pPr>
        <w:rPr>
          <w:rFonts w:ascii="Arial" w:hAnsi="Arial" w:cs="Arial"/>
        </w:rPr>
      </w:pPr>
    </w:p>
    <w:tbl>
      <w:tblPr>
        <w:tblW w:w="9510" w:type="dxa"/>
        <w:tblInd w:w="-90" w:type="dxa"/>
        <w:tblLook w:val="0000" w:firstRow="0" w:lastRow="0" w:firstColumn="0" w:lastColumn="0" w:noHBand="0" w:noVBand="0"/>
      </w:tblPr>
      <w:tblGrid>
        <w:gridCol w:w="3870"/>
        <w:gridCol w:w="5640"/>
      </w:tblGrid>
      <w:tr w:rsidR="00017A12" w:rsidRPr="005D7E92" w14:paraId="5F818361" w14:textId="77777777" w:rsidTr="00D64C77">
        <w:tc>
          <w:tcPr>
            <w:tcW w:w="3870" w:type="dxa"/>
          </w:tcPr>
          <w:p w14:paraId="2E34D6A0" w14:textId="77777777" w:rsidR="00017A12" w:rsidRPr="005D7E92" w:rsidRDefault="00017A12" w:rsidP="00D64C77">
            <w:pPr>
              <w:ind w:right="-105"/>
              <w:rPr>
                <w:rFonts w:ascii="Arial" w:hAnsi="Arial" w:cs="Arial"/>
              </w:rPr>
            </w:pPr>
            <w:r w:rsidRPr="005D7E92">
              <w:rPr>
                <w:rFonts w:ascii="Arial" w:hAnsi="Arial" w:cs="Arial"/>
                <w:b/>
              </w:rPr>
              <w:t>Heard:</w:t>
            </w:r>
          </w:p>
        </w:tc>
        <w:tc>
          <w:tcPr>
            <w:tcW w:w="5640" w:type="dxa"/>
          </w:tcPr>
          <w:p w14:paraId="3C1A7EDC" w14:textId="02DA75BA" w:rsidR="00017A12" w:rsidRPr="005D7E92" w:rsidRDefault="00D64C77" w:rsidP="00D64C77">
            <w:pPr>
              <w:ind w:right="-105"/>
              <w:rPr>
                <w:rFonts w:ascii="Arial" w:hAnsi="Arial" w:cs="Arial"/>
              </w:rPr>
            </w:pPr>
            <w:r>
              <w:rPr>
                <w:rFonts w:ascii="Arial" w:hAnsi="Arial" w:cs="Arial"/>
              </w:rPr>
              <w:t>October 13</w:t>
            </w:r>
            <w:r w:rsidR="00A319ED">
              <w:rPr>
                <w:rFonts w:ascii="Arial" w:hAnsi="Arial" w:cs="Arial"/>
              </w:rPr>
              <w:t xml:space="preserve">, 2021 by </w:t>
            </w:r>
            <w:r>
              <w:rPr>
                <w:rFonts w:ascii="Arial" w:hAnsi="Arial" w:cs="Arial"/>
              </w:rPr>
              <w:t>V</w:t>
            </w:r>
            <w:r w:rsidR="00017A12">
              <w:rPr>
                <w:rFonts w:ascii="Arial" w:hAnsi="Arial" w:cs="Arial"/>
              </w:rPr>
              <w:t>ideo</w:t>
            </w:r>
            <w:r w:rsidR="00A319ED">
              <w:rPr>
                <w:rFonts w:ascii="Arial" w:hAnsi="Arial" w:cs="Arial"/>
              </w:rPr>
              <w:t xml:space="preserve"> </w:t>
            </w:r>
            <w:r>
              <w:rPr>
                <w:rFonts w:ascii="Arial" w:hAnsi="Arial" w:cs="Arial"/>
              </w:rPr>
              <w:t>H</w:t>
            </w:r>
            <w:r w:rsidR="00A319ED">
              <w:rPr>
                <w:rFonts w:ascii="Arial" w:hAnsi="Arial" w:cs="Arial"/>
              </w:rPr>
              <w:t>earing</w:t>
            </w:r>
            <w:r w:rsidR="00DF0B1D">
              <w:rPr>
                <w:rFonts w:ascii="Arial" w:hAnsi="Arial" w:cs="Arial"/>
              </w:rPr>
              <w:t xml:space="preserve"> </w:t>
            </w:r>
          </w:p>
        </w:tc>
      </w:tr>
    </w:tbl>
    <w:p w14:paraId="069A08B1" w14:textId="77777777" w:rsidR="00B268A7" w:rsidRDefault="00B268A7" w:rsidP="007C7D69">
      <w:pPr>
        <w:rPr>
          <w:rFonts w:ascii="Arial" w:hAnsi="Arial" w:cs="Arial"/>
        </w:rPr>
      </w:pPr>
    </w:p>
    <w:p w14:paraId="5E4C29B8" w14:textId="77777777" w:rsidR="00017A12" w:rsidRPr="005D7E92" w:rsidRDefault="00017A12" w:rsidP="007C7D69">
      <w:pPr>
        <w:rPr>
          <w:rFonts w:ascii="Arial" w:hAnsi="Arial" w:cs="Arial"/>
        </w:rPr>
      </w:pPr>
    </w:p>
    <w:tbl>
      <w:tblPr>
        <w:tblW w:w="9445" w:type="dxa"/>
        <w:tblInd w:w="-90" w:type="dxa"/>
        <w:tblLook w:val="0000" w:firstRow="0" w:lastRow="0" w:firstColumn="0" w:lastColumn="0" w:noHBand="0" w:noVBand="0"/>
      </w:tblPr>
      <w:tblGrid>
        <w:gridCol w:w="3796"/>
        <w:gridCol w:w="72"/>
        <w:gridCol w:w="5492"/>
        <w:gridCol w:w="85"/>
      </w:tblGrid>
      <w:tr w:rsidR="0089782A" w:rsidRPr="005D7E92" w14:paraId="30AB91FB" w14:textId="77777777" w:rsidTr="00D64C77">
        <w:tc>
          <w:tcPr>
            <w:tcW w:w="3868" w:type="dxa"/>
            <w:gridSpan w:val="2"/>
          </w:tcPr>
          <w:bookmarkEnd w:id="0"/>
          <w:p w14:paraId="2AE95342" w14:textId="77777777" w:rsidR="0089782A" w:rsidRPr="005D7E92" w:rsidRDefault="0089782A" w:rsidP="007C7D69">
            <w:pPr>
              <w:rPr>
                <w:rFonts w:ascii="Arial" w:hAnsi="Arial" w:cs="Arial"/>
              </w:rPr>
            </w:pPr>
            <w:r w:rsidRPr="005D7E92">
              <w:rPr>
                <w:rFonts w:ascii="Arial" w:hAnsi="Arial" w:cs="Arial"/>
                <w:b/>
              </w:rPr>
              <w:t>APPEARANCES:</w:t>
            </w:r>
          </w:p>
        </w:tc>
        <w:tc>
          <w:tcPr>
            <w:tcW w:w="5577" w:type="dxa"/>
            <w:gridSpan w:val="2"/>
          </w:tcPr>
          <w:p w14:paraId="542BD588" w14:textId="77777777" w:rsidR="0089782A" w:rsidRPr="005D7E92" w:rsidRDefault="0089782A" w:rsidP="007C7D69">
            <w:pPr>
              <w:rPr>
                <w:rFonts w:ascii="Arial" w:hAnsi="Arial" w:cs="Arial"/>
              </w:rPr>
            </w:pPr>
          </w:p>
        </w:tc>
      </w:tr>
      <w:tr w:rsidR="0089782A" w:rsidRPr="005D7E92" w14:paraId="53AE950D" w14:textId="77777777" w:rsidTr="00D64C77">
        <w:tc>
          <w:tcPr>
            <w:tcW w:w="3868" w:type="dxa"/>
            <w:gridSpan w:val="2"/>
          </w:tcPr>
          <w:p w14:paraId="410C2047" w14:textId="77777777" w:rsidR="0089782A" w:rsidRPr="005D7E92" w:rsidRDefault="0089782A" w:rsidP="007C7D69">
            <w:pPr>
              <w:rPr>
                <w:rFonts w:ascii="Arial" w:hAnsi="Arial" w:cs="Arial"/>
              </w:rPr>
            </w:pPr>
          </w:p>
        </w:tc>
        <w:tc>
          <w:tcPr>
            <w:tcW w:w="5577" w:type="dxa"/>
            <w:gridSpan w:val="2"/>
          </w:tcPr>
          <w:p w14:paraId="093F1252" w14:textId="77777777" w:rsidR="0089782A" w:rsidRPr="005D7E92" w:rsidRDefault="0089782A" w:rsidP="007C7D69">
            <w:pPr>
              <w:rPr>
                <w:rFonts w:ascii="Arial" w:hAnsi="Arial" w:cs="Arial"/>
              </w:rPr>
            </w:pPr>
          </w:p>
        </w:tc>
      </w:tr>
      <w:tr w:rsidR="008046EB" w:rsidRPr="005D7E92" w14:paraId="5E28A550" w14:textId="77777777" w:rsidTr="00D64C77">
        <w:tc>
          <w:tcPr>
            <w:tcW w:w="3868" w:type="dxa"/>
            <w:gridSpan w:val="2"/>
          </w:tcPr>
          <w:p w14:paraId="6B98F594" w14:textId="7D1A485E" w:rsidR="008046EB" w:rsidRPr="005D7E92" w:rsidRDefault="008046EB" w:rsidP="007C7D69">
            <w:pPr>
              <w:rPr>
                <w:rFonts w:ascii="Arial" w:hAnsi="Arial" w:cs="Arial"/>
              </w:rPr>
            </w:pPr>
            <w:bookmarkStart w:id="1" w:name="Parties"/>
            <w:r w:rsidRPr="005D7E92">
              <w:rPr>
                <w:rFonts w:ascii="Arial" w:hAnsi="Arial" w:cs="Arial"/>
                <w:b/>
                <w:u w:val="single"/>
              </w:rPr>
              <w:t>Parties</w:t>
            </w:r>
            <w:bookmarkEnd w:id="1"/>
          </w:p>
        </w:tc>
        <w:tc>
          <w:tcPr>
            <w:tcW w:w="5577" w:type="dxa"/>
            <w:gridSpan w:val="2"/>
          </w:tcPr>
          <w:p w14:paraId="66121125" w14:textId="4DFDF39F" w:rsidR="008046EB" w:rsidRPr="005D7E92" w:rsidRDefault="008046EB" w:rsidP="007C7D69">
            <w:pPr>
              <w:rPr>
                <w:rFonts w:ascii="Arial" w:hAnsi="Arial" w:cs="Arial"/>
              </w:rPr>
            </w:pPr>
            <w:bookmarkStart w:id="2" w:name="CounselAgent"/>
            <w:r w:rsidRPr="005D7E92">
              <w:rPr>
                <w:rFonts w:ascii="Arial" w:hAnsi="Arial" w:cs="Arial"/>
                <w:b/>
                <w:u w:val="single"/>
              </w:rPr>
              <w:t>Counse</w:t>
            </w:r>
            <w:r w:rsidR="009333AA" w:rsidRPr="005D7E92">
              <w:rPr>
                <w:rFonts w:ascii="Arial" w:hAnsi="Arial" w:cs="Arial"/>
                <w:b/>
                <w:u w:val="single"/>
              </w:rPr>
              <w:t>l</w:t>
            </w:r>
            <w:bookmarkEnd w:id="2"/>
          </w:p>
        </w:tc>
      </w:tr>
      <w:tr w:rsidR="00CF3F96" w:rsidRPr="005D7E92" w14:paraId="164FEA83" w14:textId="77777777" w:rsidTr="00D64C77">
        <w:tc>
          <w:tcPr>
            <w:tcW w:w="3868" w:type="dxa"/>
            <w:gridSpan w:val="2"/>
          </w:tcPr>
          <w:p w14:paraId="585AC4FA" w14:textId="77777777" w:rsidR="00CF3F96" w:rsidRPr="005D7E92" w:rsidRDefault="00CF3F96" w:rsidP="007C7D69">
            <w:pPr>
              <w:rPr>
                <w:rFonts w:ascii="Arial" w:hAnsi="Arial" w:cs="Arial"/>
              </w:rPr>
            </w:pPr>
          </w:p>
        </w:tc>
        <w:tc>
          <w:tcPr>
            <w:tcW w:w="5577" w:type="dxa"/>
            <w:gridSpan w:val="2"/>
          </w:tcPr>
          <w:p w14:paraId="2D439FA3" w14:textId="77777777" w:rsidR="00CF3F96" w:rsidRPr="005D7E92" w:rsidRDefault="00CF3F96" w:rsidP="007C7D69">
            <w:pPr>
              <w:rPr>
                <w:rFonts w:ascii="Arial" w:hAnsi="Arial" w:cs="Arial"/>
              </w:rPr>
            </w:pPr>
          </w:p>
        </w:tc>
      </w:tr>
      <w:tr w:rsidR="001D67CE" w:rsidRPr="005D7E92" w14:paraId="52A27882" w14:textId="77777777" w:rsidTr="00D64C77">
        <w:trPr>
          <w:trHeight w:val="139"/>
        </w:trPr>
        <w:tc>
          <w:tcPr>
            <w:tcW w:w="3868" w:type="dxa"/>
            <w:gridSpan w:val="2"/>
          </w:tcPr>
          <w:p w14:paraId="12E46335" w14:textId="6F4C9E65" w:rsidR="001D67CE" w:rsidRPr="005D7E92" w:rsidRDefault="00D64C77" w:rsidP="007C7D69">
            <w:pPr>
              <w:rPr>
                <w:rFonts w:ascii="Arial" w:hAnsi="Arial" w:cs="Arial"/>
              </w:rPr>
            </w:pPr>
            <w:r>
              <w:rPr>
                <w:rFonts w:ascii="Arial" w:hAnsi="Arial" w:cs="Arial"/>
              </w:rPr>
              <w:t xml:space="preserve">Prombank Investments Limited </w:t>
            </w:r>
          </w:p>
        </w:tc>
        <w:tc>
          <w:tcPr>
            <w:tcW w:w="5577" w:type="dxa"/>
            <w:gridSpan w:val="2"/>
          </w:tcPr>
          <w:p w14:paraId="5EBEA3E5" w14:textId="2277FC2C" w:rsidR="005B5DC7" w:rsidRPr="005D7E92" w:rsidRDefault="00D64C77" w:rsidP="007C7D69">
            <w:pPr>
              <w:rPr>
                <w:rFonts w:ascii="Arial" w:hAnsi="Arial" w:cs="Arial"/>
              </w:rPr>
            </w:pPr>
            <w:r>
              <w:rPr>
                <w:rFonts w:ascii="Arial" w:hAnsi="Arial" w:cs="Arial"/>
              </w:rPr>
              <w:t>R. Kehar</w:t>
            </w:r>
          </w:p>
        </w:tc>
      </w:tr>
      <w:tr w:rsidR="001D67CE" w:rsidRPr="005D7E92" w14:paraId="59F56296" w14:textId="77777777" w:rsidTr="00D64C77">
        <w:tc>
          <w:tcPr>
            <w:tcW w:w="3868" w:type="dxa"/>
            <w:gridSpan w:val="2"/>
          </w:tcPr>
          <w:p w14:paraId="3DF5F7C8" w14:textId="69658CF0" w:rsidR="001D67CE" w:rsidRPr="005D7E92" w:rsidRDefault="00D64C77" w:rsidP="007C7D69">
            <w:pPr>
              <w:rPr>
                <w:rFonts w:ascii="Arial" w:hAnsi="Arial" w:cs="Arial"/>
              </w:rPr>
            </w:pPr>
            <w:r>
              <w:rPr>
                <w:rFonts w:ascii="Arial" w:hAnsi="Arial" w:cs="Arial"/>
              </w:rPr>
              <w:t>(“Prombank”)</w:t>
            </w:r>
          </w:p>
        </w:tc>
        <w:tc>
          <w:tcPr>
            <w:tcW w:w="5577" w:type="dxa"/>
            <w:gridSpan w:val="2"/>
          </w:tcPr>
          <w:p w14:paraId="202F845B" w14:textId="7EAE67E2" w:rsidR="001D67CE" w:rsidRPr="005D7E92" w:rsidRDefault="001D67CE" w:rsidP="007C7D69">
            <w:pPr>
              <w:rPr>
                <w:rFonts w:ascii="Arial" w:hAnsi="Arial" w:cs="Arial"/>
              </w:rPr>
            </w:pPr>
          </w:p>
        </w:tc>
      </w:tr>
      <w:tr w:rsidR="004D4FA4" w:rsidRPr="005D7E92" w14:paraId="7B59CBBE" w14:textId="77777777" w:rsidTr="00D64C77">
        <w:tc>
          <w:tcPr>
            <w:tcW w:w="3868" w:type="dxa"/>
            <w:gridSpan w:val="2"/>
          </w:tcPr>
          <w:p w14:paraId="27EC09AB" w14:textId="77777777" w:rsidR="004D4FA4" w:rsidRPr="005D7E92" w:rsidRDefault="004D4FA4" w:rsidP="007C7D69">
            <w:pPr>
              <w:rPr>
                <w:rFonts w:ascii="Arial" w:hAnsi="Arial" w:cs="Arial"/>
              </w:rPr>
            </w:pPr>
          </w:p>
        </w:tc>
        <w:tc>
          <w:tcPr>
            <w:tcW w:w="5577" w:type="dxa"/>
            <w:gridSpan w:val="2"/>
          </w:tcPr>
          <w:p w14:paraId="253B9F44" w14:textId="77777777" w:rsidR="004D4FA4" w:rsidRPr="005D7E92" w:rsidRDefault="004D4FA4" w:rsidP="007C7D69">
            <w:pPr>
              <w:rPr>
                <w:rFonts w:ascii="Arial" w:hAnsi="Arial" w:cs="Arial"/>
              </w:rPr>
            </w:pPr>
          </w:p>
        </w:tc>
      </w:tr>
      <w:tr w:rsidR="001D67CE" w:rsidRPr="005D7E92" w14:paraId="37CE495D" w14:textId="77777777" w:rsidTr="00D64C77">
        <w:tc>
          <w:tcPr>
            <w:tcW w:w="3868" w:type="dxa"/>
            <w:gridSpan w:val="2"/>
          </w:tcPr>
          <w:p w14:paraId="35D3F1EE" w14:textId="7011DC8D" w:rsidR="001D67CE" w:rsidRPr="005D7E92" w:rsidRDefault="00D64C77" w:rsidP="007C7D69">
            <w:pPr>
              <w:rPr>
                <w:rFonts w:ascii="Arial" w:hAnsi="Arial" w:cs="Arial"/>
              </w:rPr>
            </w:pPr>
            <w:r>
              <w:rPr>
                <w:rFonts w:ascii="Arial" w:hAnsi="Arial" w:cs="Arial"/>
              </w:rPr>
              <w:t xml:space="preserve">2451681 Ontario Inc. and Greycan 6 </w:t>
            </w:r>
            <w:r w:rsidRPr="00D64C77">
              <w:rPr>
                <w:rFonts w:ascii="Arial" w:hAnsi="Arial" w:cs="Arial"/>
              </w:rPr>
              <w:t>Properties GP</w:t>
            </w:r>
          </w:p>
        </w:tc>
        <w:tc>
          <w:tcPr>
            <w:tcW w:w="5577" w:type="dxa"/>
            <w:gridSpan w:val="2"/>
          </w:tcPr>
          <w:p w14:paraId="1EF4FE58" w14:textId="784712BE" w:rsidR="001D67CE" w:rsidRPr="005D7E92" w:rsidRDefault="00D64C77" w:rsidP="007C7D69">
            <w:pPr>
              <w:rPr>
                <w:rFonts w:ascii="Arial" w:hAnsi="Arial" w:cs="Arial"/>
              </w:rPr>
            </w:pPr>
            <w:r>
              <w:rPr>
                <w:rFonts w:ascii="Arial" w:hAnsi="Arial" w:cs="Arial"/>
              </w:rPr>
              <w:t>J. Shapira</w:t>
            </w:r>
          </w:p>
        </w:tc>
      </w:tr>
      <w:tr w:rsidR="004D4FA4" w:rsidRPr="00D64C77" w14:paraId="54CD6087" w14:textId="77777777" w:rsidTr="00D64C77">
        <w:tc>
          <w:tcPr>
            <w:tcW w:w="3868" w:type="dxa"/>
            <w:gridSpan w:val="2"/>
          </w:tcPr>
          <w:p w14:paraId="5539E4BC" w14:textId="791BC77E" w:rsidR="004D4FA4" w:rsidRPr="00D64C77" w:rsidRDefault="00D64C77" w:rsidP="007C7D69">
            <w:pPr>
              <w:rPr>
                <w:rFonts w:ascii="Arial" w:hAnsi="Arial" w:cs="Arial"/>
              </w:rPr>
            </w:pPr>
            <w:r w:rsidRPr="00D64C77">
              <w:rPr>
                <w:rFonts w:ascii="Arial" w:hAnsi="Arial" w:cs="Arial"/>
              </w:rPr>
              <w:t>Inc. (</w:t>
            </w:r>
            <w:r w:rsidR="00ED7440">
              <w:rPr>
                <w:rFonts w:ascii="Arial" w:hAnsi="Arial" w:cs="Arial"/>
              </w:rPr>
              <w:t xml:space="preserve">“Applicant” or </w:t>
            </w:r>
            <w:r w:rsidRPr="00D64C77">
              <w:rPr>
                <w:rFonts w:ascii="Arial" w:hAnsi="Arial" w:cs="Arial"/>
              </w:rPr>
              <w:t>“K1”)</w:t>
            </w:r>
          </w:p>
        </w:tc>
        <w:tc>
          <w:tcPr>
            <w:tcW w:w="5577" w:type="dxa"/>
            <w:gridSpan w:val="2"/>
          </w:tcPr>
          <w:p w14:paraId="2908E1DB" w14:textId="77777777" w:rsidR="004D4FA4" w:rsidRPr="00D64C77" w:rsidRDefault="004D4FA4" w:rsidP="007C7D69">
            <w:pPr>
              <w:rPr>
                <w:rFonts w:ascii="Arial" w:hAnsi="Arial" w:cs="Arial"/>
              </w:rPr>
            </w:pPr>
          </w:p>
        </w:tc>
      </w:tr>
      <w:tr w:rsidR="00D64C77" w:rsidRPr="005D7E92" w14:paraId="7183AFB4" w14:textId="77777777" w:rsidTr="00D64C77">
        <w:trPr>
          <w:gridAfter w:val="1"/>
          <w:wAfter w:w="85" w:type="dxa"/>
        </w:trPr>
        <w:tc>
          <w:tcPr>
            <w:tcW w:w="3796" w:type="dxa"/>
          </w:tcPr>
          <w:p w14:paraId="5193E64E" w14:textId="77777777" w:rsidR="00D64C77" w:rsidRDefault="00D64C77" w:rsidP="007C7D69">
            <w:pPr>
              <w:rPr>
                <w:rFonts w:ascii="Arial" w:hAnsi="Arial" w:cs="Arial"/>
              </w:rPr>
            </w:pPr>
            <w:bookmarkStart w:id="3" w:name="_Hlk89447207"/>
          </w:p>
        </w:tc>
        <w:tc>
          <w:tcPr>
            <w:tcW w:w="5564" w:type="dxa"/>
            <w:gridSpan w:val="2"/>
          </w:tcPr>
          <w:p w14:paraId="31F72643" w14:textId="77777777" w:rsidR="00D64C77" w:rsidRDefault="00D64C77" w:rsidP="007C7D69">
            <w:pPr>
              <w:rPr>
                <w:rFonts w:ascii="Arial" w:hAnsi="Arial" w:cs="Arial"/>
              </w:rPr>
            </w:pPr>
          </w:p>
        </w:tc>
      </w:tr>
      <w:bookmarkEnd w:id="3"/>
    </w:tbl>
    <w:p w14:paraId="028676CF" w14:textId="77777777" w:rsidR="00FF6BB4" w:rsidRPr="005D7E92" w:rsidRDefault="00FF6BB4" w:rsidP="007C7D69">
      <w:pPr>
        <w:rPr>
          <w:rFonts w:ascii="Arial" w:hAnsi="Arial" w:cs="Arial"/>
        </w:rPr>
      </w:pPr>
    </w:p>
    <w:p w14:paraId="7B889147" w14:textId="30665BF1" w:rsidR="00371F4C" w:rsidRPr="00B65D79" w:rsidRDefault="00935095" w:rsidP="00B210CC">
      <w:pPr>
        <w:pStyle w:val="DecisionDeliveredby"/>
      </w:pPr>
      <w:r w:rsidRPr="005D7E92">
        <w:t xml:space="preserve">DECISION </w:t>
      </w:r>
      <w:r w:rsidR="00017A12" w:rsidRPr="005D7E92">
        <w:t xml:space="preserve">DELIVERED BY </w:t>
      </w:r>
      <w:r w:rsidR="00D64C77">
        <w:t>D. CHIPMAN</w:t>
      </w:r>
      <w:r w:rsidR="00017A12">
        <w:t xml:space="preserve"> </w:t>
      </w:r>
      <w:r w:rsidR="008E10BC" w:rsidRPr="005D7E92">
        <w:t>AND ORDER OF THE TRIBUNAL</w:t>
      </w:r>
      <w:r w:rsidR="000F1CE9" w:rsidRPr="005D7E92">
        <w:t xml:space="preserve"> </w:t>
      </w:r>
    </w:p>
    <w:p w14:paraId="413A45D5" w14:textId="77777777" w:rsidR="00B65D79" w:rsidRDefault="00B65D79" w:rsidP="00A319ED">
      <w:pPr>
        <w:pStyle w:val="DecisionBody"/>
        <w:numPr>
          <w:ilvl w:val="0"/>
          <w:numId w:val="0"/>
        </w:numPr>
        <w:spacing w:beforeLines="0" w:before="0" w:afterLines="0" w:after="0"/>
      </w:pPr>
    </w:p>
    <w:p w14:paraId="7CCCF268" w14:textId="442CB25C" w:rsidR="00D64C77" w:rsidRDefault="00D64C77" w:rsidP="004B722F">
      <w:pPr>
        <w:pStyle w:val="DecisionBody"/>
        <w:widowControl/>
        <w:spacing w:beforeLines="0" w:before="0" w:afterLines="0" w:after="0"/>
        <w:rPr>
          <w:rFonts w:cs="Arial"/>
          <w:lang w:eastAsia="en-CA"/>
        </w:rPr>
      </w:pPr>
      <w:r w:rsidRPr="00D64C77">
        <w:rPr>
          <w:rFonts w:cs="Arial"/>
          <w:lang w:eastAsia="en-CA"/>
        </w:rPr>
        <w:lastRenderedPageBreak/>
        <w:t>The Tribunal had before it one variance for determination</w:t>
      </w:r>
      <w:r w:rsidR="000005CC">
        <w:rPr>
          <w:rFonts w:cs="Arial"/>
          <w:lang w:eastAsia="en-CA"/>
        </w:rPr>
        <w:t>,</w:t>
      </w:r>
      <w:r w:rsidRPr="00D64C77">
        <w:rPr>
          <w:rFonts w:cs="Arial"/>
          <w:lang w:eastAsia="en-CA"/>
        </w:rPr>
        <w:t xml:space="preserve"> namely, whether to</w:t>
      </w:r>
      <w:r w:rsidR="000005CC">
        <w:rPr>
          <w:rFonts w:cs="Arial"/>
          <w:lang w:eastAsia="en-CA"/>
        </w:rPr>
        <w:t xml:space="preserve"> </w:t>
      </w:r>
      <w:r w:rsidRPr="00D64C77">
        <w:rPr>
          <w:rFonts w:cs="Arial"/>
          <w:lang w:eastAsia="en-CA"/>
        </w:rPr>
        <w:t>permit 329 parking spaces for the site known as 1330 Eglinton Av</w:t>
      </w:r>
      <w:r w:rsidR="00B210CC">
        <w:rPr>
          <w:rFonts w:cs="Arial"/>
          <w:lang w:eastAsia="en-CA"/>
        </w:rPr>
        <w:t>e.</w:t>
      </w:r>
      <w:r w:rsidRPr="00D64C77">
        <w:rPr>
          <w:rFonts w:cs="Arial"/>
          <w:lang w:eastAsia="en-CA"/>
        </w:rPr>
        <w:t xml:space="preserve"> East</w:t>
      </w:r>
      <w:r w:rsidR="003E165C">
        <w:t xml:space="preserve"> </w:t>
      </w:r>
      <w:r w:rsidR="003E165C" w:rsidRPr="00D64C77">
        <w:rPr>
          <w:rFonts w:cs="Arial"/>
          <w:lang w:eastAsia="en-CA"/>
        </w:rPr>
        <w:t>(“</w:t>
      </w:r>
      <w:r w:rsidR="003E165C" w:rsidRPr="00D64C77">
        <w:rPr>
          <w:rFonts w:cs="Arial"/>
          <w:bCs w:val="0"/>
          <w:lang w:eastAsia="en-CA"/>
        </w:rPr>
        <w:t>Subject Property</w:t>
      </w:r>
      <w:r w:rsidR="003E165C" w:rsidRPr="00D64C77">
        <w:rPr>
          <w:rFonts w:cs="Arial"/>
          <w:lang w:eastAsia="en-CA"/>
        </w:rPr>
        <w:t>”)</w:t>
      </w:r>
      <w:r w:rsidRPr="00D64C77">
        <w:rPr>
          <w:rFonts w:cs="Arial"/>
          <w:lang w:eastAsia="en-CA"/>
        </w:rPr>
        <w:t>, in the City of Mississauga</w:t>
      </w:r>
      <w:r w:rsidR="003E165C">
        <w:rPr>
          <w:rFonts w:cs="Arial"/>
          <w:lang w:eastAsia="en-CA"/>
        </w:rPr>
        <w:t xml:space="preserve"> (“City”)</w:t>
      </w:r>
      <w:r w:rsidRPr="00D64C77">
        <w:rPr>
          <w:rFonts w:cs="Arial"/>
          <w:lang w:eastAsia="en-CA"/>
        </w:rPr>
        <w:t>, whereas Zoning By-law</w:t>
      </w:r>
      <w:r w:rsidR="00B210CC">
        <w:rPr>
          <w:rFonts w:cs="Arial"/>
          <w:lang w:eastAsia="en-CA"/>
        </w:rPr>
        <w:t xml:space="preserve"> No.</w:t>
      </w:r>
      <w:r w:rsidRPr="00D64C77">
        <w:rPr>
          <w:rFonts w:cs="Arial"/>
          <w:lang w:eastAsia="en-CA"/>
        </w:rPr>
        <w:t xml:space="preserve"> 0225-2007 requires a minimum of 457 parking spaces.</w:t>
      </w:r>
    </w:p>
    <w:p w14:paraId="71D95BD4" w14:textId="77777777" w:rsidR="00D64C77" w:rsidRPr="00D64C77" w:rsidRDefault="00D64C77" w:rsidP="004B722F">
      <w:pPr>
        <w:pStyle w:val="DecisionBody"/>
        <w:widowControl/>
        <w:numPr>
          <w:ilvl w:val="0"/>
          <w:numId w:val="0"/>
        </w:numPr>
        <w:spacing w:beforeLines="0" w:before="0" w:afterLines="0" w:after="0"/>
        <w:rPr>
          <w:rFonts w:cs="Arial"/>
          <w:lang w:eastAsia="en-CA"/>
        </w:rPr>
      </w:pPr>
    </w:p>
    <w:p w14:paraId="5D7C8C6C" w14:textId="448730F8" w:rsidR="00D64C77" w:rsidRDefault="00D64C77" w:rsidP="004B722F">
      <w:pPr>
        <w:pStyle w:val="DecisionBody"/>
        <w:spacing w:beforeLines="0" w:before="0" w:afterLines="0" w:after="0"/>
        <w:rPr>
          <w:rFonts w:cs="Arial"/>
          <w:lang w:eastAsia="en-CA"/>
        </w:rPr>
      </w:pPr>
      <w:r w:rsidRPr="00D64C77">
        <w:rPr>
          <w:rFonts w:cs="Arial"/>
          <w:lang w:eastAsia="en-CA"/>
        </w:rPr>
        <w:t>The Applicant submitted an application to the City’s Committee of Adjustment (“COA") to permit a 3,874 square metre</w:t>
      </w:r>
      <w:r w:rsidR="00DD3941">
        <w:rPr>
          <w:rFonts w:cs="Arial"/>
          <w:lang w:eastAsia="en-CA"/>
        </w:rPr>
        <w:t xml:space="preserve"> (“m</w:t>
      </w:r>
      <w:r w:rsidR="00DD3941" w:rsidRPr="000005CC">
        <w:rPr>
          <w:rFonts w:cs="Arial"/>
          <w:vertAlign w:val="superscript"/>
          <w:lang w:eastAsia="en-CA"/>
        </w:rPr>
        <w:t>2</w:t>
      </w:r>
      <w:r w:rsidR="00DD3941">
        <w:rPr>
          <w:rFonts w:cs="Arial"/>
          <w:lang w:eastAsia="en-CA"/>
        </w:rPr>
        <w:t>”)</w:t>
      </w:r>
      <w:r w:rsidRPr="00D64C77">
        <w:rPr>
          <w:rFonts w:cs="Arial"/>
          <w:lang w:eastAsia="en-CA"/>
        </w:rPr>
        <w:t xml:space="preserve"> indoor electric go-kart track with ancillary food, beverage and arcade use in an industrial/commercial building on the Subject Lands that fails to supply the parking spaces required by </w:t>
      </w:r>
      <w:r w:rsidR="00ED7440">
        <w:rPr>
          <w:rFonts w:cs="Arial"/>
          <w:lang w:eastAsia="en-CA"/>
        </w:rPr>
        <w:t xml:space="preserve">the </w:t>
      </w:r>
      <w:r w:rsidRPr="00D64C77">
        <w:rPr>
          <w:rFonts w:cs="Arial"/>
          <w:lang w:eastAsia="en-CA"/>
        </w:rPr>
        <w:t>City</w:t>
      </w:r>
      <w:r w:rsidR="003E165C">
        <w:rPr>
          <w:rFonts w:cs="Arial"/>
          <w:lang w:eastAsia="en-CA"/>
        </w:rPr>
        <w:t>’s</w:t>
      </w:r>
      <w:r w:rsidRPr="00D64C77">
        <w:rPr>
          <w:rFonts w:cs="Arial"/>
          <w:lang w:eastAsia="en-CA"/>
        </w:rPr>
        <w:t xml:space="preserve"> </w:t>
      </w:r>
      <w:r w:rsidR="00ED7440">
        <w:rPr>
          <w:rFonts w:cs="Arial"/>
          <w:lang w:eastAsia="en-CA"/>
        </w:rPr>
        <w:t xml:space="preserve">Zoning </w:t>
      </w:r>
      <w:r w:rsidRPr="00D64C77">
        <w:rPr>
          <w:rFonts w:cs="Arial"/>
          <w:lang w:eastAsia="en-CA"/>
        </w:rPr>
        <w:t xml:space="preserve">By-law </w:t>
      </w:r>
      <w:r w:rsidR="00ED7440">
        <w:rPr>
          <w:rFonts w:cs="Arial"/>
          <w:lang w:eastAsia="en-CA"/>
        </w:rPr>
        <w:t xml:space="preserve">No. </w:t>
      </w:r>
      <w:r w:rsidRPr="00D64C77">
        <w:rPr>
          <w:rFonts w:cs="Arial"/>
          <w:lang w:eastAsia="en-CA"/>
        </w:rPr>
        <w:t>0225-2007 (the "</w:t>
      </w:r>
      <w:r w:rsidR="00ED7440">
        <w:rPr>
          <w:rFonts w:cs="Arial"/>
          <w:lang w:eastAsia="en-CA"/>
        </w:rPr>
        <w:t>ZBL</w:t>
      </w:r>
      <w:r w:rsidRPr="00D64C77">
        <w:rPr>
          <w:rFonts w:cs="Arial"/>
          <w:lang w:eastAsia="en-CA"/>
        </w:rPr>
        <w:t>").</w:t>
      </w:r>
    </w:p>
    <w:p w14:paraId="430E2F3D" w14:textId="77777777" w:rsidR="00D64C77" w:rsidRPr="00D64C77" w:rsidRDefault="00D64C77" w:rsidP="004B722F">
      <w:pPr>
        <w:spacing w:line="360" w:lineRule="auto"/>
        <w:rPr>
          <w:lang w:eastAsia="en-CA"/>
        </w:rPr>
      </w:pPr>
    </w:p>
    <w:p w14:paraId="0E23E2D4" w14:textId="3212AF51" w:rsidR="00D64C77" w:rsidRDefault="00D64C77" w:rsidP="004B722F">
      <w:pPr>
        <w:pStyle w:val="DecisionBody"/>
        <w:spacing w:beforeLines="0" w:before="0" w:afterLines="0" w:after="0"/>
        <w:rPr>
          <w:rFonts w:cs="Arial"/>
          <w:lang w:eastAsia="en-CA"/>
        </w:rPr>
      </w:pPr>
      <w:r w:rsidRPr="00D64C77">
        <w:rPr>
          <w:rFonts w:cs="Arial"/>
          <w:lang w:eastAsia="en-CA"/>
        </w:rPr>
        <w:t xml:space="preserve">Upon approval of the application by the COA on April 15, 2021, Prombank appealed the decision pursuant to </w:t>
      </w:r>
      <w:r w:rsidR="00ED7440" w:rsidRPr="00D64C77">
        <w:rPr>
          <w:rFonts w:cs="Arial"/>
          <w:lang w:eastAsia="en-CA"/>
        </w:rPr>
        <w:t>s</w:t>
      </w:r>
      <w:r w:rsidR="00ED7440">
        <w:rPr>
          <w:rFonts w:cs="Arial"/>
          <w:lang w:eastAsia="en-CA"/>
        </w:rPr>
        <w:t>.</w:t>
      </w:r>
      <w:r w:rsidR="00ED7440" w:rsidRPr="00D64C77">
        <w:rPr>
          <w:rFonts w:cs="Arial"/>
          <w:lang w:eastAsia="en-CA"/>
        </w:rPr>
        <w:t xml:space="preserve"> </w:t>
      </w:r>
      <w:r w:rsidRPr="00D64C77">
        <w:rPr>
          <w:rFonts w:cs="Arial"/>
          <w:lang w:eastAsia="en-CA"/>
        </w:rPr>
        <w:t xml:space="preserve">45(12) of the </w:t>
      </w:r>
      <w:r w:rsidRPr="00D64C77">
        <w:rPr>
          <w:rFonts w:cs="Arial"/>
          <w:i/>
          <w:iCs/>
          <w:lang w:eastAsia="en-CA"/>
        </w:rPr>
        <w:t>Planning Act</w:t>
      </w:r>
      <w:r w:rsidR="00DD3941">
        <w:rPr>
          <w:rFonts w:cs="Arial"/>
          <w:i/>
          <w:iCs/>
          <w:lang w:eastAsia="en-CA"/>
        </w:rPr>
        <w:t xml:space="preserve"> (</w:t>
      </w:r>
      <w:r w:rsidR="00CF6519" w:rsidRPr="000005CC">
        <w:rPr>
          <w:rFonts w:cs="Arial"/>
          <w:lang w:eastAsia="en-CA"/>
        </w:rPr>
        <w:t>the</w:t>
      </w:r>
      <w:r w:rsidR="00CF6519">
        <w:rPr>
          <w:rFonts w:cs="Arial"/>
          <w:lang w:eastAsia="en-CA"/>
        </w:rPr>
        <w:t xml:space="preserve"> </w:t>
      </w:r>
      <w:r w:rsidR="00DD3941">
        <w:rPr>
          <w:rFonts w:cs="Arial"/>
          <w:i/>
          <w:iCs/>
          <w:lang w:eastAsia="en-CA"/>
        </w:rPr>
        <w:t>“</w:t>
      </w:r>
      <w:r w:rsidR="00DD3941" w:rsidRPr="000005CC">
        <w:rPr>
          <w:rFonts w:cs="Arial"/>
          <w:lang w:eastAsia="en-CA"/>
        </w:rPr>
        <w:t>Act</w:t>
      </w:r>
      <w:r w:rsidR="00DD3941">
        <w:rPr>
          <w:rFonts w:cs="Arial"/>
          <w:i/>
          <w:iCs/>
          <w:lang w:eastAsia="en-CA"/>
        </w:rPr>
        <w:t>”)</w:t>
      </w:r>
      <w:r w:rsidRPr="00D64C77">
        <w:rPr>
          <w:rFonts w:cs="Arial"/>
          <w:lang w:eastAsia="en-CA"/>
        </w:rPr>
        <w:t>.</w:t>
      </w:r>
    </w:p>
    <w:p w14:paraId="0545F25C" w14:textId="77777777" w:rsidR="00D64C77" w:rsidRPr="00D64C77" w:rsidRDefault="00D64C77" w:rsidP="004B722F">
      <w:pPr>
        <w:spacing w:line="360" w:lineRule="auto"/>
        <w:rPr>
          <w:lang w:eastAsia="en-CA"/>
        </w:rPr>
      </w:pPr>
    </w:p>
    <w:p w14:paraId="11C19F75" w14:textId="07838427" w:rsidR="00D64C77" w:rsidRDefault="00D64C77" w:rsidP="004B722F">
      <w:pPr>
        <w:pStyle w:val="DecisionBody"/>
        <w:spacing w:beforeLines="0" w:before="0" w:afterLines="0" w:after="0"/>
        <w:rPr>
          <w:rFonts w:cs="Arial"/>
        </w:rPr>
      </w:pPr>
      <w:r w:rsidRPr="00D64C77">
        <w:rPr>
          <w:rFonts w:cs="Arial"/>
          <w:lang w:eastAsia="en-CA"/>
        </w:rPr>
        <w:t>The subject property is located at the southwest corner of Eglinton Avenue East and Dixie Road.  A portion of Building “D” is where the</w:t>
      </w:r>
      <w:r w:rsidRPr="00D64C77">
        <w:rPr>
          <w:rFonts w:cs="Arial"/>
        </w:rPr>
        <w:t xml:space="preserve"> </w:t>
      </w:r>
      <w:r w:rsidRPr="00D64C77">
        <w:rPr>
          <w:rFonts w:cs="Arial"/>
          <w:lang w:eastAsia="en-CA"/>
        </w:rPr>
        <w:t>Applicant proposes to locate the K1 indoor go kart facility.</w:t>
      </w:r>
    </w:p>
    <w:p w14:paraId="02285C96" w14:textId="77777777" w:rsidR="00D64C77" w:rsidRPr="00D64C77" w:rsidRDefault="00D64C77" w:rsidP="004B722F">
      <w:pPr>
        <w:spacing w:line="360" w:lineRule="auto"/>
      </w:pPr>
    </w:p>
    <w:p w14:paraId="4C0F0712" w14:textId="4645F2DA" w:rsidR="00D64C77" w:rsidRDefault="00D64C77" w:rsidP="004B722F">
      <w:pPr>
        <w:pStyle w:val="DecisionBody"/>
        <w:spacing w:beforeLines="0" w:before="0" w:afterLines="0" w:after="0"/>
        <w:rPr>
          <w:rFonts w:cs="Arial"/>
        </w:rPr>
      </w:pPr>
      <w:r w:rsidRPr="00D64C77">
        <w:rPr>
          <w:rFonts w:cs="Arial"/>
        </w:rPr>
        <w:t xml:space="preserve">The objective </w:t>
      </w:r>
      <w:r w:rsidR="00ED7440">
        <w:rPr>
          <w:rFonts w:cs="Arial"/>
        </w:rPr>
        <w:t>of</w:t>
      </w:r>
      <w:r w:rsidRPr="00D64C77">
        <w:rPr>
          <w:rFonts w:cs="Arial"/>
        </w:rPr>
        <w:t xml:space="preserve"> the Applicant is to repurpose the existing warehouse use of Unit 1</w:t>
      </w:r>
      <w:r w:rsidR="00ED7440">
        <w:rPr>
          <w:rFonts w:cs="Arial"/>
        </w:rPr>
        <w:t>,</w:t>
      </w:r>
      <w:r w:rsidRPr="00D64C77">
        <w:rPr>
          <w:rFonts w:cs="Arial"/>
        </w:rPr>
        <w:t xml:space="preserve"> in </w:t>
      </w:r>
      <w:r w:rsidR="008C7347">
        <w:rPr>
          <w:rFonts w:cs="Arial"/>
        </w:rPr>
        <w:t>B</w:t>
      </w:r>
      <w:r w:rsidRPr="00D64C77">
        <w:rPr>
          <w:rFonts w:cs="Arial"/>
        </w:rPr>
        <w:t xml:space="preserve">uilding </w:t>
      </w:r>
      <w:r w:rsidR="00ED7440">
        <w:rPr>
          <w:rFonts w:cs="Arial"/>
        </w:rPr>
        <w:t>“</w:t>
      </w:r>
      <w:r w:rsidRPr="00D64C77">
        <w:rPr>
          <w:rFonts w:cs="Arial"/>
        </w:rPr>
        <w:t>D</w:t>
      </w:r>
      <w:r w:rsidR="00ED7440">
        <w:rPr>
          <w:rFonts w:cs="Arial"/>
        </w:rPr>
        <w:t>”,</w:t>
      </w:r>
      <w:r w:rsidRPr="00D64C77">
        <w:rPr>
          <w:rFonts w:cs="Arial"/>
        </w:rPr>
        <w:t xml:space="preserve"> to a recreational establishment use, of which, the use is permitted under the City</w:t>
      </w:r>
      <w:r w:rsidR="00ED7440">
        <w:rPr>
          <w:rFonts w:cs="Arial"/>
        </w:rPr>
        <w:t xml:space="preserve"> ZBL</w:t>
      </w:r>
      <w:r w:rsidRPr="00D64C77">
        <w:rPr>
          <w:rFonts w:cs="Arial"/>
        </w:rPr>
        <w:t>. The existing building is to remain unmodified, and there is no change in G</w:t>
      </w:r>
      <w:r w:rsidR="00ED7440">
        <w:rPr>
          <w:rFonts w:cs="Arial"/>
        </w:rPr>
        <w:t xml:space="preserve">ross </w:t>
      </w:r>
      <w:r w:rsidRPr="00D64C77">
        <w:rPr>
          <w:rFonts w:cs="Arial"/>
        </w:rPr>
        <w:t>F</w:t>
      </w:r>
      <w:r w:rsidR="00ED7440">
        <w:rPr>
          <w:rFonts w:cs="Arial"/>
        </w:rPr>
        <w:t xml:space="preserve">loor </w:t>
      </w:r>
      <w:r w:rsidRPr="00D64C77">
        <w:rPr>
          <w:rFonts w:cs="Arial"/>
        </w:rPr>
        <w:t>A</w:t>
      </w:r>
      <w:r w:rsidR="00ED7440">
        <w:rPr>
          <w:rFonts w:cs="Arial"/>
        </w:rPr>
        <w:t>rea (“GFA”)</w:t>
      </w:r>
      <w:r w:rsidRPr="00D64C77">
        <w:rPr>
          <w:rFonts w:cs="Arial"/>
        </w:rPr>
        <w:t xml:space="preserve">. The intention of this matter is to justify that the provision of 206 parking spaces for </w:t>
      </w:r>
      <w:r w:rsidR="008C7347">
        <w:rPr>
          <w:rFonts w:cs="Arial"/>
        </w:rPr>
        <w:t>B</w:t>
      </w:r>
      <w:r w:rsidRPr="00D64C77">
        <w:rPr>
          <w:rFonts w:cs="Arial"/>
        </w:rPr>
        <w:t>uildings A – D (Bldg. E is not calculated into this amount as per para</w:t>
      </w:r>
      <w:r w:rsidR="00ED7440">
        <w:rPr>
          <w:rFonts w:cs="Arial"/>
        </w:rPr>
        <w:t>graph</w:t>
      </w:r>
      <w:r w:rsidRPr="00D64C77">
        <w:rPr>
          <w:rFonts w:cs="Arial"/>
        </w:rPr>
        <w:t xml:space="preserve"> 39) as adequate for the proposed recreational establishment.</w:t>
      </w:r>
    </w:p>
    <w:p w14:paraId="176D5C44" w14:textId="77777777" w:rsidR="00D64C77" w:rsidRPr="00D64C77" w:rsidRDefault="00D64C77" w:rsidP="004B722F">
      <w:pPr>
        <w:spacing w:line="360" w:lineRule="auto"/>
      </w:pPr>
    </w:p>
    <w:p w14:paraId="778F26E3" w14:textId="3965296F" w:rsidR="00D64C77" w:rsidRDefault="00D64C77" w:rsidP="004B722F">
      <w:pPr>
        <w:pStyle w:val="DecisionBody"/>
        <w:spacing w:beforeLines="0" w:before="0" w:afterLines="0" w:after="0"/>
        <w:rPr>
          <w:rFonts w:cs="Arial"/>
          <w:lang w:eastAsia="en-CA"/>
        </w:rPr>
      </w:pPr>
      <w:r w:rsidRPr="00D64C77">
        <w:rPr>
          <w:rFonts w:cs="Arial"/>
          <w:color w:val="000000"/>
        </w:rPr>
        <w:t>The City’s Planning Staff’s report dated March 3, 2021</w:t>
      </w:r>
      <w:r w:rsidR="00DD3941">
        <w:rPr>
          <w:rFonts w:cs="Arial"/>
          <w:color w:val="000000"/>
        </w:rPr>
        <w:t>,</w:t>
      </w:r>
      <w:r w:rsidRPr="00D64C77">
        <w:rPr>
          <w:rFonts w:cs="Arial"/>
          <w:color w:val="000000"/>
        </w:rPr>
        <w:t xml:space="preserve"> supported the application and</w:t>
      </w:r>
      <w:r w:rsidR="00DD3941">
        <w:rPr>
          <w:rFonts w:cs="Arial"/>
          <w:color w:val="000000"/>
        </w:rPr>
        <w:t>,</w:t>
      </w:r>
      <w:r w:rsidRPr="00D64C77">
        <w:rPr>
          <w:rFonts w:cs="Arial"/>
          <w:color w:val="000000"/>
        </w:rPr>
        <w:t xml:space="preserve"> as a result</w:t>
      </w:r>
      <w:r w:rsidR="00DD3941">
        <w:rPr>
          <w:rFonts w:cs="Arial"/>
          <w:color w:val="000000"/>
        </w:rPr>
        <w:t>,</w:t>
      </w:r>
      <w:r w:rsidRPr="00D64C77">
        <w:rPr>
          <w:rFonts w:cs="Arial"/>
          <w:color w:val="000000"/>
        </w:rPr>
        <w:t xml:space="preserve"> t</w:t>
      </w:r>
      <w:r w:rsidRPr="00D64C77">
        <w:rPr>
          <w:rFonts w:cs="Arial"/>
        </w:rPr>
        <w:t>he City took no position on this appeal, and as such, did not attend the hearing.</w:t>
      </w:r>
    </w:p>
    <w:p w14:paraId="05E07469" w14:textId="77777777" w:rsidR="00D64C77" w:rsidRPr="00D64C77" w:rsidRDefault="00D64C77" w:rsidP="004B722F">
      <w:pPr>
        <w:spacing w:line="360" w:lineRule="auto"/>
        <w:rPr>
          <w:lang w:eastAsia="en-CA"/>
        </w:rPr>
      </w:pPr>
    </w:p>
    <w:p w14:paraId="49D3BB24" w14:textId="18E33D09" w:rsidR="00D64C77" w:rsidRDefault="00D64C77" w:rsidP="004B722F">
      <w:pPr>
        <w:pStyle w:val="DecisionBody"/>
        <w:keepNext/>
        <w:keepLines/>
        <w:numPr>
          <w:ilvl w:val="0"/>
          <w:numId w:val="0"/>
        </w:numPr>
        <w:spacing w:beforeLines="0" w:before="0" w:afterLines="0" w:after="0"/>
        <w:rPr>
          <w:rFonts w:cs="Arial"/>
          <w:b/>
        </w:rPr>
      </w:pPr>
      <w:r w:rsidRPr="00D64C77">
        <w:rPr>
          <w:rFonts w:cs="Arial"/>
          <w:b/>
        </w:rPr>
        <w:lastRenderedPageBreak/>
        <w:t xml:space="preserve">Site and Area Context </w:t>
      </w:r>
    </w:p>
    <w:p w14:paraId="60A92F60" w14:textId="77777777" w:rsidR="00D64C77" w:rsidRPr="00D64C77" w:rsidRDefault="00D64C77" w:rsidP="004B722F">
      <w:pPr>
        <w:pStyle w:val="DecisionBody"/>
        <w:keepNext/>
        <w:keepLines/>
        <w:numPr>
          <w:ilvl w:val="0"/>
          <w:numId w:val="0"/>
        </w:numPr>
        <w:spacing w:beforeLines="0" w:before="0" w:afterLines="0" w:after="0"/>
        <w:rPr>
          <w:rFonts w:cs="Arial"/>
        </w:rPr>
      </w:pPr>
    </w:p>
    <w:p w14:paraId="5ABF247A" w14:textId="0932FEA9" w:rsidR="00D64C77" w:rsidRDefault="00D64C77" w:rsidP="004B722F">
      <w:pPr>
        <w:pStyle w:val="DecisionBody"/>
        <w:keepNext/>
        <w:keepLines/>
        <w:spacing w:beforeLines="0" w:before="0" w:afterLines="0" w:after="0"/>
        <w:rPr>
          <w:rFonts w:cs="Arial"/>
          <w:lang w:eastAsia="en-CA"/>
        </w:rPr>
      </w:pPr>
      <w:r w:rsidRPr="00D64C77">
        <w:rPr>
          <w:rFonts w:cs="Arial"/>
        </w:rPr>
        <w:t>The subject site is a multi-pad, multi-tenant commercial plaza located upon the south-west corner of the Eglinton Avenue East and Dixie Road intersection. The site is occupied by five (5) single-storey</w:t>
      </w:r>
      <w:r w:rsidR="00CF6519">
        <w:rPr>
          <w:rFonts w:cs="Arial"/>
        </w:rPr>
        <w:t>,</w:t>
      </w:r>
      <w:r w:rsidRPr="00D64C77">
        <w:rPr>
          <w:rFonts w:cs="Arial"/>
        </w:rPr>
        <w:t xml:space="preserve"> mixed-use commercial buildings with a total </w:t>
      </w:r>
      <w:r w:rsidR="00DD3941">
        <w:rPr>
          <w:rFonts w:cs="Arial"/>
        </w:rPr>
        <w:t>GFA</w:t>
      </w:r>
      <w:r w:rsidRPr="00D64C77">
        <w:rPr>
          <w:rFonts w:cs="Arial"/>
        </w:rPr>
        <w:t xml:space="preserve"> of 12,948.83 m</w:t>
      </w:r>
      <w:r w:rsidRPr="000005CC">
        <w:rPr>
          <w:rFonts w:cs="Arial"/>
          <w:vertAlign w:val="superscript"/>
        </w:rPr>
        <w:t>2</w:t>
      </w:r>
      <w:r w:rsidRPr="00D64C77">
        <w:rPr>
          <w:rFonts w:cs="Arial"/>
        </w:rPr>
        <w:t xml:space="preserve">. </w:t>
      </w:r>
      <w:r w:rsidRPr="00D64C77">
        <w:rPr>
          <w:rFonts w:cs="Arial"/>
          <w:lang w:eastAsia="en-CA"/>
        </w:rPr>
        <w:t xml:space="preserve">There is a mutual full moves access off Eglinton Avenue East that services the </w:t>
      </w:r>
      <w:r w:rsidR="00195ACE">
        <w:rPr>
          <w:rFonts w:cs="Arial"/>
          <w:lang w:eastAsia="en-CA"/>
        </w:rPr>
        <w:t>S</w:t>
      </w:r>
      <w:r w:rsidRPr="00D64C77">
        <w:rPr>
          <w:rFonts w:cs="Arial"/>
          <w:lang w:eastAsia="en-CA"/>
        </w:rPr>
        <w:t xml:space="preserve">ubject </w:t>
      </w:r>
      <w:r w:rsidR="00195ACE">
        <w:rPr>
          <w:rFonts w:cs="Arial"/>
          <w:lang w:eastAsia="en-CA"/>
        </w:rPr>
        <w:t>P</w:t>
      </w:r>
      <w:r w:rsidRPr="00D64C77">
        <w:rPr>
          <w:rFonts w:cs="Arial"/>
          <w:lang w:eastAsia="en-CA"/>
        </w:rPr>
        <w:t>roperty (including Building “D”) and the Prombank Lands at 1250-1300 Eglinton Avenue East. The Prombank Lands contain seven (7) buildings in total.</w:t>
      </w:r>
    </w:p>
    <w:p w14:paraId="62EE486D" w14:textId="77777777" w:rsidR="00D64C77" w:rsidRPr="00D64C77" w:rsidRDefault="00D64C77" w:rsidP="004B722F">
      <w:pPr>
        <w:pStyle w:val="DecisionBody"/>
        <w:keepNext/>
        <w:keepLines/>
        <w:numPr>
          <w:ilvl w:val="0"/>
          <w:numId w:val="0"/>
        </w:numPr>
        <w:spacing w:beforeLines="0" w:before="0" w:afterLines="0" w:after="0"/>
        <w:rPr>
          <w:rFonts w:cs="Arial"/>
          <w:lang w:eastAsia="en-CA"/>
        </w:rPr>
      </w:pPr>
    </w:p>
    <w:p w14:paraId="71E73256" w14:textId="296671F4" w:rsidR="00D64C77" w:rsidRDefault="00D64C77" w:rsidP="004B722F">
      <w:pPr>
        <w:pStyle w:val="DecisionBody"/>
        <w:spacing w:beforeLines="0" w:before="0" w:afterLines="0" w:after="0"/>
        <w:rPr>
          <w:rFonts w:cs="Arial"/>
          <w:lang w:eastAsia="en-CA"/>
        </w:rPr>
      </w:pPr>
      <w:r w:rsidRPr="00D64C77">
        <w:rPr>
          <w:rFonts w:cs="Arial"/>
          <w:lang w:eastAsia="en-CA"/>
        </w:rPr>
        <w:t xml:space="preserve">There is no barrier between the </w:t>
      </w:r>
      <w:r w:rsidR="00195ACE">
        <w:rPr>
          <w:rFonts w:cs="Arial"/>
          <w:lang w:eastAsia="en-CA"/>
        </w:rPr>
        <w:t>S</w:t>
      </w:r>
      <w:r w:rsidRPr="00D64C77">
        <w:rPr>
          <w:rFonts w:cs="Arial"/>
          <w:lang w:eastAsia="en-CA"/>
        </w:rPr>
        <w:t xml:space="preserve">ubject </w:t>
      </w:r>
      <w:r w:rsidR="00195ACE">
        <w:rPr>
          <w:rFonts w:cs="Arial"/>
          <w:lang w:eastAsia="en-CA"/>
        </w:rPr>
        <w:t>P</w:t>
      </w:r>
      <w:r w:rsidRPr="00D64C77">
        <w:rPr>
          <w:rFonts w:cs="Arial"/>
          <w:lang w:eastAsia="en-CA"/>
        </w:rPr>
        <w:t xml:space="preserve">roperty and the Prombank Lands </w:t>
      </w:r>
      <w:r w:rsidR="000005CC">
        <w:rPr>
          <w:rFonts w:cs="Arial"/>
          <w:lang w:eastAsia="en-CA"/>
        </w:rPr>
        <w:t>at</w:t>
      </w:r>
      <w:r w:rsidR="000005CC" w:rsidRPr="00D64C77">
        <w:rPr>
          <w:rFonts w:cs="Arial"/>
          <w:lang w:eastAsia="en-CA"/>
        </w:rPr>
        <w:t xml:space="preserve"> </w:t>
      </w:r>
      <w:r w:rsidRPr="00D64C77">
        <w:rPr>
          <w:rFonts w:cs="Arial"/>
          <w:lang w:eastAsia="en-CA"/>
        </w:rPr>
        <w:t>the front of these sites. Vehicular and pedestrian traffic can travel between these two sites when entering off Eglinton Avenue East.</w:t>
      </w:r>
    </w:p>
    <w:p w14:paraId="1D62ADA9" w14:textId="77777777" w:rsidR="00D64C77" w:rsidRPr="00D64C77" w:rsidRDefault="00D64C77" w:rsidP="004B722F">
      <w:pPr>
        <w:spacing w:line="360" w:lineRule="auto"/>
        <w:rPr>
          <w:lang w:eastAsia="en-CA"/>
        </w:rPr>
      </w:pPr>
    </w:p>
    <w:p w14:paraId="4D82FB29" w14:textId="3461DE4E" w:rsidR="00D64C77" w:rsidRDefault="00D64C77" w:rsidP="004B722F">
      <w:pPr>
        <w:pStyle w:val="DecisionBody"/>
        <w:spacing w:beforeLines="0" w:before="0" w:afterLines="0" w:after="0"/>
        <w:rPr>
          <w:rFonts w:cs="Arial"/>
        </w:rPr>
      </w:pPr>
      <w:r w:rsidRPr="00D64C77">
        <w:rPr>
          <w:rFonts w:cs="Arial"/>
        </w:rPr>
        <w:t>The immediate neighbourhood along this portion of Eglinton Avenue East is a mixture of multi-tenant commercial plazas; however, the neighboring section of Dixie Road provides a transitional area, with both office-industrial and warehouse-industrial land-uses being prevalent.</w:t>
      </w:r>
    </w:p>
    <w:p w14:paraId="1868FF39" w14:textId="77777777" w:rsidR="00D64C77" w:rsidRPr="00D64C77" w:rsidRDefault="00D64C77" w:rsidP="004B722F">
      <w:pPr>
        <w:spacing w:line="360" w:lineRule="auto"/>
      </w:pPr>
    </w:p>
    <w:p w14:paraId="34EA3FB8" w14:textId="24D49191" w:rsidR="00D64C77" w:rsidRDefault="00D64C77" w:rsidP="004B722F">
      <w:pPr>
        <w:pStyle w:val="DecisionBody"/>
        <w:numPr>
          <w:ilvl w:val="0"/>
          <w:numId w:val="0"/>
        </w:numPr>
        <w:spacing w:beforeLines="0" w:before="0" w:afterLines="0" w:after="0"/>
        <w:rPr>
          <w:rFonts w:cs="Arial"/>
          <w:b/>
          <w:bCs w:val="0"/>
          <w:color w:val="000000"/>
        </w:rPr>
      </w:pPr>
      <w:r w:rsidRPr="00D64C77">
        <w:rPr>
          <w:rFonts w:cs="Arial"/>
          <w:b/>
          <w:bCs w:val="0"/>
          <w:color w:val="000000"/>
        </w:rPr>
        <w:t xml:space="preserve">ISSUES </w:t>
      </w:r>
    </w:p>
    <w:p w14:paraId="18F55105" w14:textId="77777777" w:rsidR="00D64C77" w:rsidRPr="00D64C77" w:rsidRDefault="00D64C77" w:rsidP="004B722F">
      <w:pPr>
        <w:pStyle w:val="DecisionBody"/>
        <w:numPr>
          <w:ilvl w:val="0"/>
          <w:numId w:val="0"/>
        </w:numPr>
        <w:spacing w:beforeLines="0" w:before="0" w:afterLines="0" w:after="0"/>
        <w:rPr>
          <w:rFonts w:cs="Arial"/>
        </w:rPr>
      </w:pPr>
    </w:p>
    <w:p w14:paraId="199B37EF" w14:textId="64B7CADE" w:rsidR="00D64C77" w:rsidRDefault="00D64C77" w:rsidP="004B722F">
      <w:pPr>
        <w:pStyle w:val="DecisionBody"/>
        <w:spacing w:beforeLines="0" w:before="0" w:afterLines="0" w:after="0"/>
        <w:rPr>
          <w:rFonts w:cs="Arial"/>
        </w:rPr>
      </w:pPr>
      <w:r w:rsidRPr="00D64C77">
        <w:rPr>
          <w:rFonts w:cs="Arial"/>
          <w:lang w:eastAsia="en-CA"/>
        </w:rPr>
        <w:t>The Tribunal</w:t>
      </w:r>
      <w:r w:rsidR="00195ACE">
        <w:rPr>
          <w:rFonts w:cs="Arial"/>
          <w:lang w:eastAsia="en-CA"/>
        </w:rPr>
        <w:t>,</w:t>
      </w:r>
      <w:r w:rsidRPr="00D64C77">
        <w:rPr>
          <w:rFonts w:cs="Arial"/>
          <w:lang w:eastAsia="en-CA"/>
        </w:rPr>
        <w:t xml:space="preserve"> having heard the evidence of both parties</w:t>
      </w:r>
      <w:r w:rsidR="00195ACE">
        <w:rPr>
          <w:rFonts w:cs="Arial"/>
          <w:lang w:eastAsia="en-CA"/>
        </w:rPr>
        <w:t>,</w:t>
      </w:r>
      <w:r w:rsidRPr="00D64C77">
        <w:rPr>
          <w:rFonts w:cs="Arial"/>
          <w:lang w:eastAsia="en-CA"/>
        </w:rPr>
        <w:t xml:space="preserve"> must decide whether through a </w:t>
      </w:r>
      <w:r w:rsidR="00DD3941">
        <w:rPr>
          <w:rFonts w:cs="Arial"/>
          <w:lang w:eastAsia="en-CA"/>
        </w:rPr>
        <w:t xml:space="preserve">zoning </w:t>
      </w:r>
      <w:r w:rsidR="00195ACE">
        <w:rPr>
          <w:rFonts w:cs="Arial"/>
          <w:lang w:eastAsia="en-CA"/>
        </w:rPr>
        <w:t>b</w:t>
      </w:r>
      <w:r w:rsidR="00DD3941">
        <w:rPr>
          <w:rFonts w:cs="Arial"/>
          <w:lang w:eastAsia="en-CA"/>
        </w:rPr>
        <w:t>y-law amendment</w:t>
      </w:r>
      <w:r w:rsidRPr="00D64C77">
        <w:rPr>
          <w:rFonts w:cs="Arial"/>
          <w:lang w:eastAsia="en-CA"/>
        </w:rPr>
        <w:t xml:space="preserve"> there will be sufficient parking available to serve the combined parking demands / zoning by</w:t>
      </w:r>
      <w:r w:rsidR="00DD3941">
        <w:rPr>
          <w:rFonts w:cs="Arial"/>
          <w:lang w:eastAsia="en-CA"/>
        </w:rPr>
        <w:t>-</w:t>
      </w:r>
      <w:r w:rsidRPr="00D64C77">
        <w:rPr>
          <w:rFonts w:cs="Arial"/>
          <w:lang w:eastAsia="en-CA"/>
        </w:rPr>
        <w:t>law requirements of various uses on the subject</w:t>
      </w:r>
      <w:r w:rsidRPr="00D64C77">
        <w:rPr>
          <w:rFonts w:cs="Arial"/>
          <w:b/>
          <w:bCs w:val="0"/>
          <w:lang w:eastAsia="en-CA"/>
        </w:rPr>
        <w:t xml:space="preserve"> </w:t>
      </w:r>
      <w:r w:rsidRPr="00D64C77">
        <w:rPr>
          <w:rFonts w:cs="Arial"/>
          <w:lang w:eastAsia="en-CA"/>
        </w:rPr>
        <w:t xml:space="preserve">multi-use / multi-building site to </w:t>
      </w:r>
      <w:r w:rsidRPr="00D64C77">
        <w:rPr>
          <w:rFonts w:cs="Arial"/>
        </w:rPr>
        <w:t>satisfy that the four tests in s. 45(1) of the Act:</w:t>
      </w:r>
    </w:p>
    <w:p w14:paraId="6CC44A1C" w14:textId="77777777" w:rsidR="00D64C77" w:rsidRPr="00D64C77" w:rsidRDefault="00D64C77" w:rsidP="004B722F">
      <w:pPr>
        <w:pStyle w:val="DecisionBody"/>
        <w:numPr>
          <w:ilvl w:val="0"/>
          <w:numId w:val="0"/>
        </w:numPr>
        <w:spacing w:beforeLines="0" w:before="0" w:afterLines="0" w:after="0"/>
        <w:rPr>
          <w:rFonts w:cs="Arial"/>
        </w:rPr>
      </w:pPr>
    </w:p>
    <w:p w14:paraId="72BD873D" w14:textId="7751657A" w:rsidR="00D64C77" w:rsidRPr="00D64C77" w:rsidRDefault="00D64C77" w:rsidP="004B722F">
      <w:pPr>
        <w:pStyle w:val="DecisionBody"/>
        <w:numPr>
          <w:ilvl w:val="0"/>
          <w:numId w:val="8"/>
        </w:numPr>
        <w:spacing w:beforeLines="0" w:before="0" w:afterLines="0" w:after="240"/>
        <w:ind w:left="1267" w:hanging="547"/>
        <w:rPr>
          <w:rFonts w:cs="Arial"/>
          <w:lang w:eastAsia="en-CA"/>
        </w:rPr>
      </w:pPr>
      <w:r w:rsidRPr="00D64C77">
        <w:rPr>
          <w:rFonts w:cs="Arial"/>
          <w:lang w:eastAsia="en-CA"/>
        </w:rPr>
        <w:t>Does it maintain the general intent and purpose of the O</w:t>
      </w:r>
      <w:r w:rsidR="00DD3941">
        <w:rPr>
          <w:rFonts w:cs="Arial"/>
          <w:lang w:eastAsia="en-CA"/>
        </w:rPr>
        <w:t xml:space="preserve">fficial </w:t>
      </w:r>
      <w:r w:rsidRPr="00D64C77">
        <w:rPr>
          <w:rFonts w:cs="Arial"/>
          <w:lang w:eastAsia="en-CA"/>
        </w:rPr>
        <w:t>P</w:t>
      </w:r>
      <w:r w:rsidR="00DD3941">
        <w:rPr>
          <w:rFonts w:cs="Arial"/>
          <w:lang w:eastAsia="en-CA"/>
        </w:rPr>
        <w:t>lan</w:t>
      </w:r>
      <w:r w:rsidR="00586890">
        <w:rPr>
          <w:rFonts w:cs="Arial"/>
          <w:lang w:eastAsia="en-CA"/>
        </w:rPr>
        <w:t xml:space="preserve"> (“OP”)</w:t>
      </w:r>
      <w:r w:rsidRPr="00D64C77">
        <w:rPr>
          <w:rFonts w:cs="Arial"/>
          <w:lang w:eastAsia="en-CA"/>
        </w:rPr>
        <w:t>?</w:t>
      </w:r>
    </w:p>
    <w:p w14:paraId="6BFA30EF" w14:textId="3F549794" w:rsidR="00D64C77" w:rsidRPr="00D64C77" w:rsidRDefault="00D64C77" w:rsidP="004B722F">
      <w:pPr>
        <w:pStyle w:val="DecisionBody"/>
        <w:numPr>
          <w:ilvl w:val="0"/>
          <w:numId w:val="8"/>
        </w:numPr>
        <w:spacing w:beforeLines="0" w:before="0" w:afterLines="0" w:after="240"/>
        <w:ind w:left="1267" w:hanging="547"/>
        <w:rPr>
          <w:rFonts w:cs="Arial"/>
          <w:lang w:eastAsia="en-CA"/>
        </w:rPr>
      </w:pPr>
      <w:r w:rsidRPr="00D64C77">
        <w:rPr>
          <w:rFonts w:cs="Arial"/>
          <w:lang w:eastAsia="en-CA"/>
        </w:rPr>
        <w:t>Does it maintain the general intent and purpose of the ZBL?</w:t>
      </w:r>
    </w:p>
    <w:p w14:paraId="783431BD" w14:textId="2B47E9CD" w:rsidR="00D64C77" w:rsidRPr="00D64C77" w:rsidRDefault="00D64C77" w:rsidP="004B722F">
      <w:pPr>
        <w:pStyle w:val="DecisionBody"/>
        <w:numPr>
          <w:ilvl w:val="0"/>
          <w:numId w:val="8"/>
        </w:numPr>
        <w:spacing w:beforeLines="0" w:before="0" w:afterLines="0" w:after="240"/>
        <w:ind w:left="1267" w:hanging="547"/>
        <w:rPr>
          <w:rFonts w:cs="Arial"/>
          <w:lang w:eastAsia="en-CA"/>
        </w:rPr>
      </w:pPr>
      <w:r w:rsidRPr="00D64C77">
        <w:rPr>
          <w:rFonts w:cs="Arial"/>
          <w:lang w:eastAsia="en-CA"/>
        </w:rPr>
        <w:t>Is it desirable for the appropriate development or use of the land?</w:t>
      </w:r>
    </w:p>
    <w:p w14:paraId="104D63BA" w14:textId="3FFE4D53" w:rsidR="004B722F" w:rsidRPr="004B722F" w:rsidRDefault="00D64C77" w:rsidP="004B722F">
      <w:pPr>
        <w:pStyle w:val="DecisionBody"/>
        <w:numPr>
          <w:ilvl w:val="0"/>
          <w:numId w:val="8"/>
        </w:numPr>
        <w:spacing w:beforeLines="0" w:before="0" w:afterLines="0" w:after="240"/>
        <w:ind w:left="1267" w:hanging="547"/>
        <w:rPr>
          <w:rFonts w:cs="Arial"/>
          <w:lang w:eastAsia="en-CA"/>
        </w:rPr>
      </w:pPr>
      <w:r w:rsidRPr="00D64C77">
        <w:rPr>
          <w:rFonts w:cs="Arial"/>
          <w:lang w:eastAsia="en-CA"/>
        </w:rPr>
        <w:t>Is it minor?</w:t>
      </w:r>
    </w:p>
    <w:p w14:paraId="11FD44A0" w14:textId="2DDF711A" w:rsidR="00D64C77" w:rsidRPr="00D64C77" w:rsidRDefault="00D64C77" w:rsidP="004B722F">
      <w:pPr>
        <w:pStyle w:val="DecisionBody"/>
        <w:spacing w:beforeLines="0" w:before="0" w:afterLines="0" w:after="0"/>
        <w:rPr>
          <w:rFonts w:cs="Arial"/>
        </w:rPr>
      </w:pPr>
      <w:r w:rsidRPr="00D64C77">
        <w:rPr>
          <w:rFonts w:cs="Arial"/>
          <w:color w:val="000000"/>
        </w:rPr>
        <w:lastRenderedPageBreak/>
        <w:t>In addition, </w:t>
      </w:r>
      <w:r w:rsidRPr="00D64C77">
        <w:rPr>
          <w:rFonts w:cs="Arial"/>
        </w:rPr>
        <w:t>s. 3(5)</w:t>
      </w:r>
      <w:r w:rsidRPr="00D64C77">
        <w:rPr>
          <w:rFonts w:cs="Arial"/>
          <w:color w:val="000000"/>
        </w:rPr>
        <w:t> of the </w:t>
      </w:r>
      <w:r w:rsidRPr="00D64C77">
        <w:rPr>
          <w:rFonts w:cs="Arial"/>
        </w:rPr>
        <w:t>Act</w:t>
      </w:r>
      <w:r w:rsidRPr="00D64C77">
        <w:rPr>
          <w:rFonts w:cs="Arial"/>
          <w:color w:val="000000"/>
        </w:rPr>
        <w:t> requires that decisions of the Tribunal affecting planning matters be consistent with the Provincial Policy Statement, 2020 (“PPS”).  The Tribunal must also have regard to matters of Provincial interest in </w:t>
      </w:r>
      <w:r w:rsidRPr="00D64C77">
        <w:rPr>
          <w:rFonts w:cs="Arial"/>
        </w:rPr>
        <w:t>s. 2</w:t>
      </w:r>
      <w:r w:rsidRPr="00D64C77">
        <w:rPr>
          <w:rFonts w:cs="Arial"/>
          <w:color w:val="000000"/>
        </w:rPr>
        <w:t> of the </w:t>
      </w:r>
      <w:r w:rsidRPr="00D64C77">
        <w:rPr>
          <w:rFonts w:cs="Arial"/>
        </w:rPr>
        <w:t>Act</w:t>
      </w:r>
      <w:r w:rsidRPr="00D64C77">
        <w:rPr>
          <w:rFonts w:cs="Arial"/>
          <w:color w:val="000000"/>
        </w:rPr>
        <w:t>, as well as regard for the decision of the municipality and the information it considered in the course of making its decision, in accordance with </w:t>
      </w:r>
      <w:r w:rsidRPr="00D64C77">
        <w:rPr>
          <w:rFonts w:cs="Arial"/>
        </w:rPr>
        <w:t>s. 2.1(1)</w:t>
      </w:r>
      <w:r w:rsidRPr="00D64C77">
        <w:rPr>
          <w:rFonts w:cs="Arial"/>
          <w:color w:val="000000"/>
        </w:rPr>
        <w:t> of the </w:t>
      </w:r>
      <w:r w:rsidRPr="00D64C77">
        <w:rPr>
          <w:rFonts w:cs="Arial"/>
        </w:rPr>
        <w:t>Act</w:t>
      </w:r>
      <w:r w:rsidRPr="00D64C77">
        <w:rPr>
          <w:rFonts w:cs="Arial"/>
          <w:i/>
          <w:iCs/>
          <w:color w:val="000000"/>
        </w:rPr>
        <w:t>.</w:t>
      </w:r>
    </w:p>
    <w:p w14:paraId="7002CA55" w14:textId="77777777" w:rsidR="00D64C77" w:rsidRPr="00D64C77" w:rsidRDefault="00D64C77" w:rsidP="004B722F">
      <w:pPr>
        <w:pStyle w:val="DecisionBody"/>
        <w:numPr>
          <w:ilvl w:val="0"/>
          <w:numId w:val="0"/>
        </w:numPr>
        <w:spacing w:beforeLines="0" w:before="0" w:afterLines="0" w:after="0"/>
        <w:rPr>
          <w:rFonts w:cs="Arial"/>
        </w:rPr>
      </w:pPr>
    </w:p>
    <w:p w14:paraId="3C3E5922" w14:textId="3619218E" w:rsidR="00D64C77" w:rsidRDefault="00D64C77" w:rsidP="004B722F">
      <w:pPr>
        <w:pStyle w:val="DecisionBody"/>
        <w:numPr>
          <w:ilvl w:val="0"/>
          <w:numId w:val="0"/>
        </w:numPr>
        <w:spacing w:beforeLines="0" w:before="0" w:afterLines="0" w:after="0"/>
        <w:rPr>
          <w:rFonts w:cs="Arial"/>
          <w:b/>
          <w:bCs w:val="0"/>
        </w:rPr>
      </w:pPr>
      <w:bookmarkStart w:id="4" w:name="_Hlk90379727"/>
      <w:r w:rsidRPr="00D64C77">
        <w:rPr>
          <w:rFonts w:cs="Arial"/>
          <w:b/>
          <w:bCs w:val="0"/>
        </w:rPr>
        <w:t>PLANNING EVIDENCE AND ANALYSIS</w:t>
      </w:r>
    </w:p>
    <w:bookmarkEnd w:id="4"/>
    <w:p w14:paraId="7D291608" w14:textId="77777777" w:rsidR="00D64C77" w:rsidRPr="00D64C77" w:rsidRDefault="00D64C77" w:rsidP="004B722F">
      <w:pPr>
        <w:pStyle w:val="DecisionBody"/>
        <w:numPr>
          <w:ilvl w:val="0"/>
          <w:numId w:val="0"/>
        </w:numPr>
        <w:spacing w:beforeLines="0" w:before="0" w:afterLines="0" w:after="0"/>
        <w:rPr>
          <w:rFonts w:cs="Arial"/>
          <w:b/>
          <w:bCs w:val="0"/>
          <w:lang w:eastAsia="en-CA"/>
        </w:rPr>
      </w:pPr>
    </w:p>
    <w:p w14:paraId="3EEE513B" w14:textId="3D87803E" w:rsidR="00D64C77" w:rsidRPr="00D64C77" w:rsidRDefault="00D64C77" w:rsidP="004B722F">
      <w:pPr>
        <w:pStyle w:val="DecisionBody"/>
        <w:spacing w:beforeLines="0" w:before="0" w:afterLines="0" w:after="0"/>
        <w:rPr>
          <w:rFonts w:cs="Arial"/>
          <w:b/>
          <w:bCs w:val="0"/>
          <w:lang w:eastAsia="en-CA"/>
        </w:rPr>
      </w:pPr>
      <w:r w:rsidRPr="00D64C77">
        <w:rPr>
          <w:rFonts w:cs="Arial"/>
          <w:color w:val="000000"/>
        </w:rPr>
        <w:t>The following individuals were qualified by the Tribunal to provide expert opinion evidence:</w:t>
      </w:r>
      <w:r w:rsidRPr="00D64C77">
        <w:rPr>
          <w:rFonts w:cs="Arial"/>
          <w:b/>
          <w:bCs w:val="0"/>
          <w:lang w:eastAsia="en-CA"/>
        </w:rPr>
        <w:t xml:space="preserve"> </w:t>
      </w:r>
      <w:r w:rsidRPr="00D64C77">
        <w:rPr>
          <w:rFonts w:cs="Arial"/>
          <w:color w:val="000000"/>
        </w:rPr>
        <w:t>David McKay, land use planning, and Richard Pernicky, transportation planning on behalf of K1 and Michael Tedesco, transportation planning on behalf of Prombank. Prombank reserved the opportunity to call Lindsay Dale-Harris as an expert in land use planning but did not call on her testimony.</w:t>
      </w:r>
    </w:p>
    <w:p w14:paraId="0C1895DB" w14:textId="77777777" w:rsidR="00D64C77" w:rsidRDefault="00D64C77" w:rsidP="004B722F">
      <w:pPr>
        <w:pStyle w:val="DecisionBody"/>
        <w:numPr>
          <w:ilvl w:val="0"/>
          <w:numId w:val="0"/>
        </w:numPr>
        <w:spacing w:beforeLines="0" w:before="0" w:afterLines="0" w:after="0"/>
        <w:rPr>
          <w:rFonts w:cs="Arial"/>
          <w:b/>
          <w:bCs w:val="0"/>
          <w:color w:val="000000"/>
        </w:rPr>
      </w:pPr>
    </w:p>
    <w:p w14:paraId="57AF2324" w14:textId="2639A4C3" w:rsidR="00D64C77" w:rsidRDefault="00D64C77" w:rsidP="004B722F">
      <w:pPr>
        <w:pStyle w:val="DecisionBody"/>
        <w:numPr>
          <w:ilvl w:val="0"/>
          <w:numId w:val="0"/>
        </w:numPr>
        <w:spacing w:beforeLines="0" w:before="0" w:afterLines="0" w:after="0"/>
        <w:rPr>
          <w:rFonts w:cs="Arial"/>
          <w:b/>
          <w:bCs w:val="0"/>
          <w:color w:val="000000"/>
        </w:rPr>
      </w:pPr>
      <w:r w:rsidRPr="00D64C77">
        <w:rPr>
          <w:rFonts w:cs="Arial"/>
          <w:b/>
          <w:bCs w:val="0"/>
          <w:color w:val="000000"/>
        </w:rPr>
        <w:t>PPS and matters of Provincial interest</w:t>
      </w:r>
    </w:p>
    <w:p w14:paraId="0C729B25" w14:textId="77777777" w:rsidR="00D64C77" w:rsidRPr="00D64C77" w:rsidRDefault="00D64C77" w:rsidP="004B722F">
      <w:pPr>
        <w:pStyle w:val="DecisionBody"/>
        <w:numPr>
          <w:ilvl w:val="0"/>
          <w:numId w:val="0"/>
        </w:numPr>
        <w:spacing w:beforeLines="0" w:before="0" w:afterLines="0" w:after="0"/>
        <w:rPr>
          <w:rFonts w:cs="Arial"/>
          <w:lang w:eastAsia="en-CA"/>
        </w:rPr>
      </w:pPr>
    </w:p>
    <w:p w14:paraId="74E40CB1" w14:textId="23B686CD" w:rsidR="00D64C77" w:rsidRDefault="00D64C77" w:rsidP="004B722F">
      <w:pPr>
        <w:pStyle w:val="DecisionBody"/>
        <w:spacing w:beforeLines="0" w:before="0" w:afterLines="0" w:after="0"/>
        <w:rPr>
          <w:rFonts w:cs="Arial"/>
          <w:lang w:eastAsia="en-CA"/>
        </w:rPr>
      </w:pPr>
      <w:r w:rsidRPr="00D64C77">
        <w:rPr>
          <w:rFonts w:cs="Arial"/>
        </w:rPr>
        <w:t>The Tribunal shall also have regard to matters of Provincial interest and to information and material that the COA considered in making its decision.</w:t>
      </w:r>
    </w:p>
    <w:p w14:paraId="2C5E2E55" w14:textId="77777777" w:rsidR="00D64C77" w:rsidRPr="00D64C77" w:rsidRDefault="00D64C77" w:rsidP="004B722F">
      <w:pPr>
        <w:pStyle w:val="DecisionBody"/>
        <w:numPr>
          <w:ilvl w:val="0"/>
          <w:numId w:val="0"/>
        </w:numPr>
        <w:spacing w:beforeLines="0" w:before="0" w:afterLines="0" w:after="0"/>
        <w:rPr>
          <w:rFonts w:cs="Arial"/>
          <w:lang w:eastAsia="en-CA"/>
        </w:rPr>
      </w:pPr>
    </w:p>
    <w:p w14:paraId="6BC7E2BA" w14:textId="09E13B26" w:rsidR="00D64C77" w:rsidRPr="00D64C77" w:rsidRDefault="00D64C77" w:rsidP="004B722F">
      <w:pPr>
        <w:pStyle w:val="DecisionBody"/>
        <w:spacing w:beforeLines="0" w:before="0" w:afterLines="0" w:after="0"/>
        <w:rPr>
          <w:rFonts w:cs="Arial"/>
          <w:lang w:eastAsia="en-CA"/>
        </w:rPr>
      </w:pPr>
      <w:r w:rsidRPr="00D64C77">
        <w:rPr>
          <w:rFonts w:cs="Arial"/>
          <w:color w:val="000000"/>
        </w:rPr>
        <w:t>Given </w:t>
      </w:r>
      <w:r w:rsidRPr="00D64C77">
        <w:rPr>
          <w:rStyle w:val="solexhl"/>
          <w:rFonts w:cs="Arial"/>
          <w:color w:val="000000"/>
        </w:rPr>
        <w:t>the</w:t>
      </w:r>
      <w:r w:rsidRPr="00D64C77">
        <w:rPr>
          <w:rFonts w:cs="Arial"/>
          <w:color w:val="000000"/>
        </w:rPr>
        <w:t> limited nature of </w:t>
      </w:r>
      <w:r w:rsidRPr="00D64C77">
        <w:rPr>
          <w:rStyle w:val="solexhl"/>
          <w:rFonts w:cs="Arial"/>
          <w:color w:val="000000"/>
        </w:rPr>
        <w:t>the</w:t>
      </w:r>
      <w:r w:rsidRPr="00D64C77">
        <w:rPr>
          <w:rFonts w:cs="Arial"/>
          <w:color w:val="000000"/>
        </w:rPr>
        <w:t> </w:t>
      </w:r>
      <w:r w:rsidR="008A0A23">
        <w:rPr>
          <w:rStyle w:val="solexhl"/>
          <w:rFonts w:cs="Arial"/>
          <w:color w:val="000000"/>
        </w:rPr>
        <w:t>v</w:t>
      </w:r>
      <w:r w:rsidRPr="00D64C77">
        <w:rPr>
          <w:rStyle w:val="solexhl"/>
          <w:rFonts w:cs="Arial"/>
          <w:color w:val="000000"/>
        </w:rPr>
        <w:t>ariance</w:t>
      </w:r>
      <w:r w:rsidR="003E165C">
        <w:rPr>
          <w:rStyle w:val="solexhl"/>
          <w:rFonts w:cs="Arial"/>
          <w:color w:val="000000"/>
        </w:rPr>
        <w:t>,</w:t>
      </w:r>
      <w:r w:rsidRPr="00D64C77">
        <w:rPr>
          <w:rFonts w:cs="Arial"/>
          <w:color w:val="000000"/>
        </w:rPr>
        <w:t> there is little contained in </w:t>
      </w:r>
      <w:r w:rsidRPr="00D64C77">
        <w:rPr>
          <w:rStyle w:val="solexhl"/>
          <w:rFonts w:cs="Arial"/>
          <w:color w:val="000000"/>
        </w:rPr>
        <w:t>the</w:t>
      </w:r>
      <w:r w:rsidRPr="00D64C77">
        <w:rPr>
          <w:rFonts w:cs="Arial"/>
          <w:color w:val="000000"/>
        </w:rPr>
        <w:t> higher order policies of </w:t>
      </w:r>
      <w:r w:rsidRPr="00D64C77">
        <w:rPr>
          <w:rStyle w:val="solexhl"/>
          <w:rFonts w:cs="Arial"/>
          <w:color w:val="000000"/>
        </w:rPr>
        <w:t>the</w:t>
      </w:r>
      <w:r w:rsidRPr="00D64C77">
        <w:rPr>
          <w:rFonts w:cs="Arial"/>
          <w:color w:val="000000"/>
        </w:rPr>
        <w:t> PPS that are engaged by </w:t>
      </w:r>
      <w:r w:rsidRPr="00D64C77">
        <w:rPr>
          <w:rStyle w:val="solexhl"/>
          <w:rFonts w:cs="Arial"/>
          <w:color w:val="000000"/>
        </w:rPr>
        <w:t>the</w:t>
      </w:r>
      <w:r w:rsidRPr="00D64C77">
        <w:rPr>
          <w:rFonts w:cs="Arial"/>
          <w:color w:val="000000"/>
        </w:rPr>
        <w:t> Application, there was a general agreement amongst the experts that the requested variance is a matter which is, local in nature.</w:t>
      </w:r>
    </w:p>
    <w:p w14:paraId="6AFCD5ED" w14:textId="77777777" w:rsidR="00D64C77" w:rsidRPr="00D64C77" w:rsidRDefault="00D64C77" w:rsidP="004B722F">
      <w:pPr>
        <w:spacing w:line="360" w:lineRule="auto"/>
        <w:rPr>
          <w:lang w:eastAsia="en-CA"/>
        </w:rPr>
      </w:pPr>
    </w:p>
    <w:p w14:paraId="6E51E04B" w14:textId="398DBC0C" w:rsidR="00D64C77" w:rsidRPr="00D64C77" w:rsidRDefault="00D64C77" w:rsidP="004B722F">
      <w:pPr>
        <w:pStyle w:val="DecisionBody"/>
        <w:spacing w:beforeLines="0" w:before="0" w:afterLines="0" w:after="0"/>
        <w:rPr>
          <w:rFonts w:cs="Arial"/>
          <w:lang w:eastAsia="en-CA"/>
        </w:rPr>
      </w:pPr>
      <w:r w:rsidRPr="00D64C77">
        <w:rPr>
          <w:rFonts w:cs="Arial"/>
          <w:color w:val="000000"/>
        </w:rPr>
        <w:t>However, when asked to turn his mind to the PPS and matters of Provincial interest, Mr. McKay referenced policies speaking to the efficient use of land</w:t>
      </w:r>
      <w:r w:rsidR="003E165C">
        <w:rPr>
          <w:rFonts w:cs="Arial"/>
          <w:color w:val="000000"/>
        </w:rPr>
        <w:t>,</w:t>
      </w:r>
      <w:r w:rsidRPr="00D64C77">
        <w:rPr>
          <w:rFonts w:cs="Arial"/>
          <w:color w:val="000000"/>
        </w:rPr>
        <w:t xml:space="preserve"> which sustains the financial well-being of the Province and municipalities over the long term  (PPS 1.1.1 (a) and (e))  while promoting transit-supportive development.</w:t>
      </w:r>
    </w:p>
    <w:p w14:paraId="50E3AF66" w14:textId="77777777" w:rsidR="00D64C77" w:rsidRPr="00D64C77" w:rsidRDefault="00D64C77" w:rsidP="004B722F">
      <w:pPr>
        <w:spacing w:line="360" w:lineRule="auto"/>
        <w:rPr>
          <w:lang w:eastAsia="en-CA"/>
        </w:rPr>
      </w:pPr>
    </w:p>
    <w:p w14:paraId="2F52AD6E" w14:textId="72AC2A78" w:rsidR="00D64C77" w:rsidRPr="004B722F" w:rsidRDefault="00D64C77" w:rsidP="004B722F">
      <w:pPr>
        <w:pStyle w:val="DecisionBody"/>
        <w:widowControl/>
        <w:spacing w:beforeLines="0" w:before="0" w:afterLines="0" w:after="0"/>
        <w:rPr>
          <w:rFonts w:cs="Arial"/>
          <w:lang w:eastAsia="en-CA"/>
        </w:rPr>
      </w:pPr>
      <w:r w:rsidRPr="00D64C77">
        <w:rPr>
          <w:rFonts w:cs="Arial"/>
          <w:lang w:eastAsia="en-CA"/>
        </w:rPr>
        <w:t xml:space="preserve">Turning to the Act, s. 45(1), he opined the </w:t>
      </w:r>
      <w:r w:rsidR="00A64A08">
        <w:rPr>
          <w:rFonts w:cs="Arial"/>
          <w:lang w:eastAsia="en-CA"/>
        </w:rPr>
        <w:t>A</w:t>
      </w:r>
      <w:r w:rsidRPr="00D64C77">
        <w:rPr>
          <w:rFonts w:cs="Arial"/>
          <w:lang w:eastAsia="en-CA"/>
        </w:rPr>
        <w:t>pplication meets this section of the Act as it is desirable for the appropriate development and use of the building.</w:t>
      </w:r>
    </w:p>
    <w:p w14:paraId="3CD11475" w14:textId="66550E04" w:rsidR="00D64C77" w:rsidRPr="00D64C77" w:rsidRDefault="00D64C77" w:rsidP="004B722F">
      <w:pPr>
        <w:pStyle w:val="DecisionBody"/>
        <w:spacing w:beforeLines="0" w:before="0" w:afterLines="0" w:after="0"/>
        <w:rPr>
          <w:rFonts w:cs="Arial"/>
          <w:lang w:eastAsia="en-CA"/>
        </w:rPr>
      </w:pPr>
      <w:r w:rsidRPr="00D64C77">
        <w:rPr>
          <w:rFonts w:cs="Arial"/>
          <w:color w:val="000000"/>
        </w:rPr>
        <w:lastRenderedPageBreak/>
        <w:t xml:space="preserve">In addressing the four tests under s. 45(1), Mr. McKay explained that, although the parking does not accord with that of the ZBL, the requested variance would not result in a change to the land use of the </w:t>
      </w:r>
      <w:r w:rsidR="00195ACE">
        <w:rPr>
          <w:rFonts w:cs="Arial"/>
          <w:color w:val="000000"/>
        </w:rPr>
        <w:t>S</w:t>
      </w:r>
      <w:r w:rsidRPr="00D64C77">
        <w:rPr>
          <w:rFonts w:cs="Arial"/>
          <w:color w:val="000000"/>
        </w:rPr>
        <w:t xml:space="preserve">ubject </w:t>
      </w:r>
      <w:r w:rsidR="00195ACE">
        <w:rPr>
          <w:rFonts w:cs="Arial"/>
          <w:color w:val="000000"/>
        </w:rPr>
        <w:t>P</w:t>
      </w:r>
      <w:r w:rsidRPr="00D64C77">
        <w:rPr>
          <w:rFonts w:cs="Arial"/>
          <w:color w:val="000000"/>
        </w:rPr>
        <w:t>roperty and, in general, the intent and purpose of the ZBL would be maintained.</w:t>
      </w:r>
    </w:p>
    <w:p w14:paraId="725DB455" w14:textId="77777777" w:rsidR="00D64C77" w:rsidRPr="00D64C77" w:rsidRDefault="00D64C77" w:rsidP="004B722F">
      <w:pPr>
        <w:spacing w:line="360" w:lineRule="auto"/>
        <w:rPr>
          <w:lang w:eastAsia="en-CA"/>
        </w:rPr>
      </w:pPr>
    </w:p>
    <w:p w14:paraId="3C0A914A" w14:textId="6807A84F" w:rsidR="00D64C77" w:rsidRPr="00D64C77" w:rsidRDefault="00D64C77" w:rsidP="004B722F">
      <w:pPr>
        <w:pStyle w:val="DecisionBody"/>
        <w:spacing w:beforeLines="0" w:before="0" w:afterLines="0" w:after="0"/>
        <w:rPr>
          <w:rFonts w:cs="Arial"/>
          <w:lang w:eastAsia="en-CA"/>
        </w:rPr>
      </w:pPr>
      <w:r w:rsidRPr="00D64C77">
        <w:rPr>
          <w:rFonts w:cs="Arial"/>
          <w:color w:val="000000"/>
        </w:rPr>
        <w:t xml:space="preserve">The Tribunal finds that the </w:t>
      </w:r>
      <w:r w:rsidR="00A64A08">
        <w:rPr>
          <w:rFonts w:cs="Arial"/>
          <w:color w:val="000000"/>
        </w:rPr>
        <w:t>A</w:t>
      </w:r>
      <w:r w:rsidRPr="00D64C77">
        <w:rPr>
          <w:rFonts w:cs="Arial"/>
          <w:color w:val="000000"/>
        </w:rPr>
        <w:t xml:space="preserve">pplication satisfies </w:t>
      </w:r>
      <w:r w:rsidR="00A64A08">
        <w:rPr>
          <w:rFonts w:cs="Arial"/>
          <w:color w:val="000000"/>
        </w:rPr>
        <w:t xml:space="preserve">the </w:t>
      </w:r>
      <w:r w:rsidRPr="00D64C77">
        <w:rPr>
          <w:rFonts w:cs="Arial"/>
          <w:color w:val="000000"/>
        </w:rPr>
        <w:t>Provincial interests.</w:t>
      </w:r>
    </w:p>
    <w:p w14:paraId="5B89A1BC" w14:textId="77777777" w:rsidR="00D64C77" w:rsidRPr="00D64C77" w:rsidRDefault="00D64C77" w:rsidP="004B722F">
      <w:pPr>
        <w:spacing w:line="360" w:lineRule="auto"/>
        <w:rPr>
          <w:lang w:eastAsia="en-CA"/>
        </w:rPr>
      </w:pPr>
    </w:p>
    <w:p w14:paraId="7C7493FA" w14:textId="08D0DE61" w:rsidR="00D64C77" w:rsidRDefault="00D64C77" w:rsidP="004B722F">
      <w:pPr>
        <w:pStyle w:val="DecisionBody"/>
        <w:numPr>
          <w:ilvl w:val="0"/>
          <w:numId w:val="0"/>
        </w:numPr>
        <w:spacing w:beforeLines="0" w:before="0" w:afterLines="0" w:after="0"/>
        <w:rPr>
          <w:rFonts w:cs="Arial"/>
          <w:b/>
          <w:bCs w:val="0"/>
          <w:color w:val="000000"/>
        </w:rPr>
      </w:pPr>
      <w:r w:rsidRPr="00D64C77">
        <w:rPr>
          <w:rFonts w:cs="Arial"/>
          <w:b/>
          <w:bCs w:val="0"/>
          <w:color w:val="000000"/>
        </w:rPr>
        <w:t xml:space="preserve">Does the </w:t>
      </w:r>
      <w:r w:rsidR="00A64A08">
        <w:rPr>
          <w:rFonts w:cs="Arial"/>
          <w:b/>
          <w:bCs w:val="0"/>
          <w:color w:val="000000"/>
        </w:rPr>
        <w:t>V</w:t>
      </w:r>
      <w:r w:rsidRPr="00D64C77">
        <w:rPr>
          <w:rFonts w:cs="Arial"/>
          <w:b/>
          <w:bCs w:val="0"/>
          <w:color w:val="000000"/>
        </w:rPr>
        <w:t>ariance maintain the general intent and purpose of the OP?</w:t>
      </w:r>
    </w:p>
    <w:p w14:paraId="6C6D87A0" w14:textId="77777777" w:rsidR="00A64A08" w:rsidRPr="00D64C77" w:rsidRDefault="00A64A08" w:rsidP="004B722F">
      <w:pPr>
        <w:pStyle w:val="DecisionBody"/>
        <w:numPr>
          <w:ilvl w:val="0"/>
          <w:numId w:val="0"/>
        </w:numPr>
        <w:spacing w:beforeLines="0" w:before="0" w:afterLines="0" w:after="0"/>
        <w:rPr>
          <w:rFonts w:cs="Arial"/>
        </w:rPr>
      </w:pPr>
    </w:p>
    <w:p w14:paraId="4F844D18" w14:textId="117FC7D2" w:rsidR="00D64C77" w:rsidRDefault="00D64C77" w:rsidP="004B722F">
      <w:pPr>
        <w:pStyle w:val="DecisionBody"/>
        <w:numPr>
          <w:ilvl w:val="0"/>
          <w:numId w:val="0"/>
        </w:numPr>
        <w:spacing w:beforeLines="0" w:before="0" w:afterLines="0" w:after="0"/>
        <w:rPr>
          <w:rFonts w:cs="Arial"/>
          <w:b/>
        </w:rPr>
      </w:pPr>
      <w:r w:rsidRPr="00D64C77">
        <w:rPr>
          <w:rFonts w:cs="Arial"/>
          <w:b/>
        </w:rPr>
        <w:t xml:space="preserve">Region of Peel Official </w:t>
      </w:r>
      <w:r w:rsidRPr="002877FF">
        <w:rPr>
          <w:rFonts w:cs="Arial"/>
          <w:b/>
        </w:rPr>
        <w:t xml:space="preserve">Plan </w:t>
      </w:r>
      <w:r w:rsidR="00A64A08" w:rsidRPr="002877FF">
        <w:rPr>
          <w:rFonts w:cs="Arial"/>
          <w:b/>
        </w:rPr>
        <w:t>(“ROP”)</w:t>
      </w:r>
    </w:p>
    <w:p w14:paraId="2D80B60F" w14:textId="77777777" w:rsidR="00D64C77" w:rsidRPr="00D64C77" w:rsidRDefault="00D64C77" w:rsidP="004B722F">
      <w:pPr>
        <w:pStyle w:val="DecisionBody"/>
        <w:numPr>
          <w:ilvl w:val="0"/>
          <w:numId w:val="0"/>
        </w:numPr>
        <w:spacing w:beforeLines="0" w:before="0" w:afterLines="0" w:after="0"/>
        <w:rPr>
          <w:rFonts w:cs="Arial"/>
          <w:b/>
        </w:rPr>
      </w:pPr>
    </w:p>
    <w:p w14:paraId="701B3257" w14:textId="43D03603" w:rsidR="00D64C77" w:rsidRPr="00D64C77" w:rsidRDefault="00D64C77" w:rsidP="004B722F">
      <w:pPr>
        <w:pStyle w:val="DecisionBody"/>
        <w:spacing w:beforeLines="0" w:before="0" w:afterLines="0" w:after="0"/>
        <w:rPr>
          <w:rFonts w:cs="Arial"/>
          <w:i/>
          <w:iCs/>
          <w:lang w:eastAsia="en-CA"/>
        </w:rPr>
      </w:pPr>
      <w:r w:rsidRPr="00D64C77">
        <w:rPr>
          <w:rFonts w:cs="Arial"/>
        </w:rPr>
        <w:t>Mr. McKay took the Tribunal through the Region of Peel Official Plan particularly</w:t>
      </w:r>
      <w:r w:rsidR="00A64A08">
        <w:rPr>
          <w:rFonts w:cs="Arial"/>
        </w:rPr>
        <w:t>,</w:t>
      </w:r>
      <w:r w:rsidRPr="00D64C77">
        <w:rPr>
          <w:rFonts w:cs="Arial"/>
        </w:rPr>
        <w:t xml:space="preserve"> itemizing</w:t>
      </w:r>
      <w:r w:rsidR="00A64A08">
        <w:rPr>
          <w:rFonts w:cs="Arial"/>
        </w:rPr>
        <w:t xml:space="preserve"> s.</w:t>
      </w:r>
      <w:r w:rsidRPr="00D64C77">
        <w:rPr>
          <w:rFonts w:cs="Arial"/>
        </w:rPr>
        <w:t xml:space="preserve"> 5.9.9.2.7 regarding parking management strategies.  He stated the proposal meets the ROP intention to encourage less car usage and reductions in parking by encouraging transit.  The location of the proposed go kart facility is on Eglinton Avenue</w:t>
      </w:r>
      <w:r w:rsidR="003E165C">
        <w:rPr>
          <w:rFonts w:cs="Arial"/>
        </w:rPr>
        <w:t xml:space="preserve"> East</w:t>
      </w:r>
      <w:r w:rsidRPr="00D64C77">
        <w:rPr>
          <w:rFonts w:cs="Arial"/>
        </w:rPr>
        <w:t>, a major transit corridor which is serviced by Mississauga Transit.</w:t>
      </w:r>
    </w:p>
    <w:p w14:paraId="36289BD0" w14:textId="77777777" w:rsidR="00D64C77" w:rsidRPr="00D64C77" w:rsidRDefault="00D64C77" w:rsidP="004B722F">
      <w:pPr>
        <w:pStyle w:val="DecisionBody"/>
        <w:numPr>
          <w:ilvl w:val="0"/>
          <w:numId w:val="0"/>
        </w:numPr>
        <w:spacing w:beforeLines="0" w:before="0" w:afterLines="0" w:after="0"/>
        <w:rPr>
          <w:rFonts w:cs="Arial"/>
          <w:i/>
          <w:iCs/>
          <w:lang w:eastAsia="en-CA"/>
        </w:rPr>
      </w:pPr>
    </w:p>
    <w:p w14:paraId="5E671DDA" w14:textId="3B80A03D" w:rsidR="00D64C77" w:rsidRDefault="00D64C77" w:rsidP="004B722F">
      <w:pPr>
        <w:pStyle w:val="DecisionBody"/>
        <w:numPr>
          <w:ilvl w:val="0"/>
          <w:numId w:val="0"/>
        </w:numPr>
        <w:spacing w:beforeLines="0" w:before="0" w:afterLines="0" w:after="0"/>
        <w:rPr>
          <w:rFonts w:cs="Arial"/>
          <w:b/>
        </w:rPr>
      </w:pPr>
      <w:r w:rsidRPr="00D64C77">
        <w:rPr>
          <w:rFonts w:cs="Arial"/>
          <w:b/>
        </w:rPr>
        <w:t>Mississauga Official Plan</w:t>
      </w:r>
      <w:r w:rsidR="00A64A08">
        <w:rPr>
          <w:rFonts w:cs="Arial"/>
          <w:b/>
        </w:rPr>
        <w:t xml:space="preserve"> (“MOP”)</w:t>
      </w:r>
    </w:p>
    <w:p w14:paraId="0075B447" w14:textId="77777777" w:rsidR="00D64C77" w:rsidRPr="00D64C77" w:rsidRDefault="00D64C77" w:rsidP="004B722F">
      <w:pPr>
        <w:pStyle w:val="DecisionBody"/>
        <w:numPr>
          <w:ilvl w:val="0"/>
          <w:numId w:val="0"/>
        </w:numPr>
        <w:spacing w:beforeLines="0" w:before="0" w:afterLines="0" w:after="0"/>
        <w:rPr>
          <w:rFonts w:cs="Arial"/>
        </w:rPr>
      </w:pPr>
    </w:p>
    <w:p w14:paraId="34F123EA" w14:textId="17A22085" w:rsidR="00D64C77" w:rsidRDefault="00D64C77" w:rsidP="004B722F">
      <w:pPr>
        <w:pStyle w:val="DecisionBody"/>
        <w:spacing w:beforeLines="0" w:before="0" w:afterLines="0" w:after="0"/>
        <w:rPr>
          <w:rFonts w:cs="Arial"/>
        </w:rPr>
      </w:pPr>
      <w:r w:rsidRPr="00D64C77">
        <w:rPr>
          <w:rFonts w:cs="Arial"/>
        </w:rPr>
        <w:t>The site is located within the Northwest Employment Area Character Area and is designated Mixed Use and Business Employment by the</w:t>
      </w:r>
      <w:r w:rsidR="00A64A08">
        <w:rPr>
          <w:rFonts w:cs="Arial"/>
        </w:rPr>
        <w:t xml:space="preserve"> </w:t>
      </w:r>
      <w:r w:rsidRPr="00D64C77">
        <w:rPr>
          <w:rFonts w:cs="Arial"/>
        </w:rPr>
        <w:t xml:space="preserve">MOP. Pursuant to </w:t>
      </w:r>
      <w:r w:rsidR="00A64A08">
        <w:rPr>
          <w:rFonts w:cs="Arial"/>
        </w:rPr>
        <w:t>s.</w:t>
      </w:r>
      <w:r w:rsidRPr="00D64C77">
        <w:rPr>
          <w:rFonts w:cs="Arial"/>
        </w:rPr>
        <w:t xml:space="preserve"> 11.2.11 (j) (Business Employment), this designation permits entertainment, recreation and sports facility uses.</w:t>
      </w:r>
    </w:p>
    <w:p w14:paraId="76968593" w14:textId="77777777" w:rsidR="00D64C77" w:rsidRPr="00D64C77" w:rsidRDefault="00D64C77" w:rsidP="004B722F">
      <w:pPr>
        <w:pStyle w:val="DecisionBody"/>
        <w:numPr>
          <w:ilvl w:val="0"/>
          <w:numId w:val="0"/>
        </w:numPr>
        <w:spacing w:beforeLines="0" w:before="0" w:afterLines="0" w:after="0"/>
        <w:rPr>
          <w:rFonts w:cs="Arial"/>
        </w:rPr>
      </w:pPr>
    </w:p>
    <w:p w14:paraId="21FB9B2E" w14:textId="6CEE04E4" w:rsidR="00D64C77" w:rsidRDefault="00D64C77" w:rsidP="004B722F">
      <w:pPr>
        <w:pStyle w:val="DecisionBody"/>
        <w:spacing w:beforeLines="0" w:before="0" w:afterLines="0" w:after="0"/>
        <w:rPr>
          <w:rFonts w:cs="Arial"/>
        </w:rPr>
      </w:pPr>
      <w:r w:rsidRPr="00D64C77">
        <w:rPr>
          <w:rFonts w:cs="Arial"/>
        </w:rPr>
        <w:t xml:space="preserve">It was noted by both parties that the Applicant’s proposal of an indoor </w:t>
      </w:r>
      <w:r w:rsidR="00A64A08">
        <w:rPr>
          <w:rFonts w:cs="Arial"/>
        </w:rPr>
        <w:t xml:space="preserve">go </w:t>
      </w:r>
      <w:r w:rsidRPr="00D64C77">
        <w:rPr>
          <w:rFonts w:cs="Arial"/>
        </w:rPr>
        <w:t xml:space="preserve">karting facility meets the purpose and general intent of the </w:t>
      </w:r>
      <w:r w:rsidR="00A64A08">
        <w:rPr>
          <w:rFonts w:cs="Arial"/>
        </w:rPr>
        <w:t>MOP</w:t>
      </w:r>
      <w:r w:rsidRPr="00D64C77">
        <w:rPr>
          <w:rFonts w:cs="Arial"/>
        </w:rPr>
        <w:t>.</w:t>
      </w:r>
    </w:p>
    <w:p w14:paraId="41D761CF" w14:textId="77777777" w:rsidR="00D64C77" w:rsidRPr="00D64C77" w:rsidRDefault="00D64C77" w:rsidP="004B722F">
      <w:pPr>
        <w:pStyle w:val="DecisionBody"/>
        <w:numPr>
          <w:ilvl w:val="0"/>
          <w:numId w:val="0"/>
        </w:numPr>
        <w:spacing w:beforeLines="0" w:before="0" w:afterLines="0" w:after="0"/>
        <w:rPr>
          <w:rFonts w:cs="Arial"/>
        </w:rPr>
      </w:pPr>
    </w:p>
    <w:p w14:paraId="4AF03AE1" w14:textId="359EBC24" w:rsidR="00D64C77" w:rsidRDefault="00D64C77" w:rsidP="004B722F">
      <w:pPr>
        <w:pStyle w:val="DecisionBody"/>
        <w:spacing w:beforeLines="0" w:before="0" w:afterLines="0" w:after="0"/>
        <w:rPr>
          <w:rFonts w:cs="Arial"/>
          <w:i/>
          <w:iCs/>
          <w:lang w:eastAsia="en-CA"/>
        </w:rPr>
      </w:pPr>
      <w:r w:rsidRPr="00D64C77">
        <w:rPr>
          <w:rFonts w:cs="Arial"/>
        </w:rPr>
        <w:t>Turning to the MOP, Mr. McKay reiterated this by stating that s. 8.4.2 of the MOP:</w:t>
      </w:r>
    </w:p>
    <w:p w14:paraId="725004FB" w14:textId="34D6DD85" w:rsidR="00D64C77" w:rsidRPr="0011734D" w:rsidRDefault="00D64C77" w:rsidP="000005CC">
      <w:pPr>
        <w:pStyle w:val="DecisionBody"/>
        <w:numPr>
          <w:ilvl w:val="0"/>
          <w:numId w:val="0"/>
        </w:numPr>
        <w:spacing w:beforeLines="0" w:before="0" w:afterLines="0" w:after="0" w:line="240" w:lineRule="auto"/>
        <w:ind w:left="1440" w:right="1080"/>
        <w:rPr>
          <w:rFonts w:cs="Arial"/>
          <w:i/>
          <w:iCs/>
          <w:sz w:val="20"/>
          <w:szCs w:val="20"/>
          <w:lang w:eastAsia="en-CA"/>
        </w:rPr>
      </w:pPr>
      <w:r w:rsidRPr="0011734D">
        <w:rPr>
          <w:rFonts w:cs="Arial"/>
          <w:sz w:val="20"/>
          <w:szCs w:val="20"/>
        </w:rPr>
        <w:t>encourages the shared use of parking and allow off-site parking, where appropriate</w:t>
      </w:r>
    </w:p>
    <w:p w14:paraId="3D9BFC5E" w14:textId="77777777" w:rsidR="0011734D" w:rsidRPr="00D64C77" w:rsidRDefault="0011734D" w:rsidP="00644D75">
      <w:pPr>
        <w:rPr>
          <w:lang w:eastAsia="en-CA"/>
        </w:rPr>
      </w:pPr>
    </w:p>
    <w:p w14:paraId="02DC0ACC" w14:textId="31FD10DB" w:rsidR="00D64C77" w:rsidRPr="00D64C77" w:rsidRDefault="00D64C77" w:rsidP="004B722F">
      <w:pPr>
        <w:pStyle w:val="DecisionBody"/>
        <w:spacing w:beforeLines="0" w:before="0" w:afterLines="0" w:after="0"/>
        <w:rPr>
          <w:rFonts w:cs="Arial"/>
          <w:i/>
          <w:iCs/>
          <w:lang w:eastAsia="en-CA"/>
        </w:rPr>
      </w:pPr>
      <w:r w:rsidRPr="00D64C77">
        <w:rPr>
          <w:rFonts w:cs="Arial"/>
        </w:rPr>
        <w:lastRenderedPageBreak/>
        <w:t>Further</w:t>
      </w:r>
      <w:r w:rsidR="00A64A08">
        <w:rPr>
          <w:rFonts w:cs="Arial"/>
        </w:rPr>
        <w:t>,</w:t>
      </w:r>
      <w:r w:rsidRPr="00D64C77">
        <w:rPr>
          <w:rFonts w:cs="Arial"/>
        </w:rPr>
        <w:t xml:space="preserve"> he stated that the </w:t>
      </w:r>
      <w:r w:rsidR="00A64A08">
        <w:rPr>
          <w:rFonts w:cs="Arial"/>
        </w:rPr>
        <w:t>A</w:t>
      </w:r>
      <w:r w:rsidRPr="00D64C77">
        <w:rPr>
          <w:rFonts w:cs="Arial"/>
        </w:rPr>
        <w:t>pplication meets s.</w:t>
      </w:r>
      <w:r w:rsidR="00A64A08">
        <w:rPr>
          <w:rFonts w:cs="Arial"/>
        </w:rPr>
        <w:t xml:space="preserve"> </w:t>
      </w:r>
      <w:r w:rsidRPr="00D64C77">
        <w:rPr>
          <w:rFonts w:cs="Arial"/>
        </w:rPr>
        <w:t>8.4.3 of the MOP</w:t>
      </w:r>
      <w:r w:rsidR="00A64A08">
        <w:rPr>
          <w:rFonts w:cs="Arial"/>
        </w:rPr>
        <w:t>,</w:t>
      </w:r>
      <w:r w:rsidRPr="00D64C77">
        <w:rPr>
          <w:rFonts w:cs="Arial"/>
        </w:rPr>
        <w:t xml:space="preserve"> which encourages the reduction of off-street parking requirements as a means to encourage the greater use of transit.</w:t>
      </w:r>
    </w:p>
    <w:p w14:paraId="0EC86649" w14:textId="77777777" w:rsidR="00D64C77" w:rsidRPr="00D64C77" w:rsidRDefault="00D64C77" w:rsidP="004B722F">
      <w:pPr>
        <w:spacing w:line="360" w:lineRule="auto"/>
        <w:rPr>
          <w:lang w:eastAsia="en-CA"/>
        </w:rPr>
      </w:pPr>
    </w:p>
    <w:p w14:paraId="4E96E017" w14:textId="00E8E208" w:rsidR="00D64C77" w:rsidRPr="00D64C77" w:rsidRDefault="00D64C77" w:rsidP="004B722F">
      <w:pPr>
        <w:pStyle w:val="DecisionBody"/>
        <w:spacing w:beforeLines="0" w:before="0" w:afterLines="0" w:after="0"/>
        <w:rPr>
          <w:rFonts w:cs="Arial"/>
          <w:b/>
          <w:bCs w:val="0"/>
          <w:lang w:eastAsia="en-CA"/>
        </w:rPr>
      </w:pPr>
      <w:r w:rsidRPr="00D64C77">
        <w:rPr>
          <w:rFonts w:cs="Arial"/>
          <w:color w:val="000000"/>
        </w:rPr>
        <w:t>Mr. McKay provided the Tribunal with photo illustrated overview of the site and described the proposed use of the building as having a go kart track, arcade, restaurant/bar (the Paddock Lounge) for the use of patrons, viewing areas and a merchandise counter.  It was his opinion that the illustrated floor plan was representative of the standard template K1 uses in all its facilities. He stated that study conducted by Mr. Pernicky reflects the same usage of the proposed site as the proxy site with the main focus being the track itself as well as ancillary options for patrons to enhance their visit.</w:t>
      </w:r>
    </w:p>
    <w:p w14:paraId="0133EB68" w14:textId="77777777" w:rsidR="00D64C77" w:rsidRPr="00D64C77" w:rsidRDefault="00D64C77" w:rsidP="004B722F">
      <w:pPr>
        <w:spacing w:line="360" w:lineRule="auto"/>
        <w:rPr>
          <w:lang w:eastAsia="en-CA"/>
        </w:rPr>
      </w:pPr>
    </w:p>
    <w:p w14:paraId="0D1FC41A" w14:textId="547C7DB8" w:rsidR="00D64C77" w:rsidRPr="00D64C77" w:rsidRDefault="00D64C77" w:rsidP="004B722F">
      <w:pPr>
        <w:pStyle w:val="DecisionBody"/>
        <w:spacing w:beforeLines="0" w:before="0" w:afterLines="0" w:after="0"/>
        <w:rPr>
          <w:rFonts w:cs="Arial"/>
          <w:b/>
          <w:bCs w:val="0"/>
          <w:lang w:eastAsia="en-CA"/>
        </w:rPr>
      </w:pPr>
      <w:r w:rsidRPr="00D64C77">
        <w:rPr>
          <w:rFonts w:cs="Arial"/>
          <w:color w:val="000000"/>
        </w:rPr>
        <w:t xml:space="preserve">The Tribunal is satisfied that the Applicant’s proposal meets the general intent of the </w:t>
      </w:r>
      <w:r w:rsidR="00A64A08">
        <w:rPr>
          <w:rFonts w:cs="Arial"/>
          <w:color w:val="000000"/>
        </w:rPr>
        <w:t>MOP</w:t>
      </w:r>
      <w:r w:rsidRPr="00D64C77">
        <w:rPr>
          <w:rFonts w:cs="Arial"/>
          <w:color w:val="000000"/>
        </w:rPr>
        <w:t xml:space="preserve"> as it encourages transit use and shared use of parking. Further</w:t>
      </w:r>
      <w:r w:rsidR="00A64A08">
        <w:rPr>
          <w:rFonts w:cs="Arial"/>
          <w:color w:val="000000"/>
        </w:rPr>
        <w:t>,</w:t>
      </w:r>
      <w:r w:rsidRPr="00D64C77">
        <w:rPr>
          <w:rFonts w:cs="Arial"/>
          <w:color w:val="000000"/>
        </w:rPr>
        <w:t xml:space="preserve"> the proposal meets the </w:t>
      </w:r>
      <w:r w:rsidRPr="00D64C77">
        <w:rPr>
          <w:rFonts w:cs="Arial"/>
        </w:rPr>
        <w:t>Mixed Use and Business Employment designation.</w:t>
      </w:r>
    </w:p>
    <w:p w14:paraId="48BAF8F6" w14:textId="77777777" w:rsidR="00D64C77" w:rsidRPr="00D64C77" w:rsidRDefault="00D64C77" w:rsidP="004B722F">
      <w:pPr>
        <w:spacing w:line="360" w:lineRule="auto"/>
        <w:rPr>
          <w:lang w:eastAsia="en-CA"/>
        </w:rPr>
      </w:pPr>
    </w:p>
    <w:p w14:paraId="04B8977A" w14:textId="46EFE5B8" w:rsidR="00641C97" w:rsidRDefault="00D64C77" w:rsidP="004B722F">
      <w:pPr>
        <w:pStyle w:val="DecisionBody"/>
        <w:numPr>
          <w:ilvl w:val="0"/>
          <w:numId w:val="0"/>
        </w:numPr>
        <w:spacing w:beforeLines="0" w:before="0" w:afterLines="0" w:after="0"/>
        <w:rPr>
          <w:rFonts w:cs="Arial"/>
          <w:b/>
          <w:bCs w:val="0"/>
        </w:rPr>
      </w:pPr>
      <w:r w:rsidRPr="00D64C77">
        <w:rPr>
          <w:rFonts w:cs="Arial"/>
          <w:b/>
          <w:bCs w:val="0"/>
        </w:rPr>
        <w:t xml:space="preserve">Does the proposal maintain the general intent and purpose of the </w:t>
      </w:r>
      <w:r w:rsidR="00A64A08">
        <w:rPr>
          <w:rFonts w:cs="Arial"/>
          <w:b/>
          <w:bCs w:val="0"/>
        </w:rPr>
        <w:t>ZBL</w:t>
      </w:r>
      <w:r w:rsidRPr="00D64C77">
        <w:rPr>
          <w:rFonts w:cs="Arial"/>
          <w:b/>
          <w:bCs w:val="0"/>
        </w:rPr>
        <w:t>?</w:t>
      </w:r>
    </w:p>
    <w:p w14:paraId="75D214E9" w14:textId="77777777" w:rsidR="00641C97" w:rsidRPr="00D64C77" w:rsidRDefault="00641C97" w:rsidP="004B722F">
      <w:pPr>
        <w:pStyle w:val="DecisionBody"/>
        <w:numPr>
          <w:ilvl w:val="0"/>
          <w:numId w:val="0"/>
        </w:numPr>
        <w:spacing w:beforeLines="0" w:before="0" w:afterLines="0" w:after="0"/>
        <w:rPr>
          <w:rFonts w:cs="Arial"/>
          <w:b/>
          <w:bCs w:val="0"/>
        </w:rPr>
      </w:pPr>
    </w:p>
    <w:p w14:paraId="6652158C" w14:textId="2CD52B7D" w:rsidR="00D64C77" w:rsidRDefault="00D64C77" w:rsidP="004B722F">
      <w:pPr>
        <w:pStyle w:val="DecisionBody"/>
        <w:spacing w:beforeLines="0" w:before="0" w:afterLines="0" w:after="0"/>
        <w:rPr>
          <w:rFonts w:cs="Arial"/>
        </w:rPr>
      </w:pPr>
      <w:r w:rsidRPr="00D64C77">
        <w:rPr>
          <w:rFonts w:cs="Arial"/>
        </w:rPr>
        <w:t xml:space="preserve">As per </w:t>
      </w:r>
      <w:r w:rsidR="00A64A08">
        <w:rPr>
          <w:rFonts w:cs="Arial"/>
        </w:rPr>
        <w:t>the ZBL</w:t>
      </w:r>
      <w:r w:rsidRPr="00D64C77">
        <w:rPr>
          <w:rFonts w:cs="Arial"/>
        </w:rPr>
        <w:t xml:space="preserve">, the </w:t>
      </w:r>
      <w:r w:rsidR="00195ACE">
        <w:rPr>
          <w:rFonts w:cs="Arial"/>
        </w:rPr>
        <w:t>S</w:t>
      </w:r>
      <w:r w:rsidRPr="00D64C77">
        <w:rPr>
          <w:rFonts w:cs="Arial"/>
        </w:rPr>
        <w:t xml:space="preserve">ubject </w:t>
      </w:r>
      <w:r w:rsidR="00195ACE">
        <w:rPr>
          <w:rFonts w:cs="Arial"/>
        </w:rPr>
        <w:t>P</w:t>
      </w:r>
      <w:r w:rsidRPr="00D64C77">
        <w:rPr>
          <w:rFonts w:cs="Arial"/>
        </w:rPr>
        <w:t xml:space="preserve">roperty is zoned C3-1 (Commercial) and E2 (Employment).  </w:t>
      </w:r>
      <w:r w:rsidRPr="00D64C77">
        <w:rPr>
          <w:rFonts w:cs="Arial"/>
          <w:lang w:eastAsia="en-CA"/>
        </w:rPr>
        <w:t>The existing development has a GFA of 3,874 m</w:t>
      </w:r>
      <w:r w:rsidRPr="000005CC">
        <w:rPr>
          <w:rFonts w:cs="Arial"/>
          <w:vertAlign w:val="superscript"/>
          <w:lang w:eastAsia="en-CA"/>
        </w:rPr>
        <w:t>2</w:t>
      </w:r>
      <w:r w:rsidRPr="00D64C77">
        <w:rPr>
          <w:rFonts w:cs="Arial"/>
          <w:lang w:eastAsia="en-CA"/>
        </w:rPr>
        <w:t xml:space="preserve"> for recreational establishment uses. Based on the City’s by-law definitions, recreational establishment use is defined as:</w:t>
      </w:r>
    </w:p>
    <w:p w14:paraId="01C37606" w14:textId="77777777" w:rsidR="0011734D" w:rsidRPr="00D64C77" w:rsidRDefault="0011734D" w:rsidP="0011734D">
      <w:pPr>
        <w:pStyle w:val="DecisionBody"/>
        <w:numPr>
          <w:ilvl w:val="0"/>
          <w:numId w:val="0"/>
        </w:numPr>
        <w:spacing w:beforeLines="0" w:before="0" w:afterLines="0" w:after="0"/>
        <w:rPr>
          <w:rFonts w:cs="Arial"/>
        </w:rPr>
      </w:pPr>
    </w:p>
    <w:p w14:paraId="761195B1" w14:textId="4A05A3E3" w:rsidR="00D64C77" w:rsidRPr="008C7347" w:rsidRDefault="00D64C77" w:rsidP="008C7347">
      <w:pPr>
        <w:autoSpaceDE w:val="0"/>
        <w:autoSpaceDN w:val="0"/>
        <w:adjustRightInd w:val="0"/>
        <w:ind w:left="1440" w:right="1080"/>
        <w:rPr>
          <w:rFonts w:ascii="Arial" w:hAnsi="Arial" w:cs="Arial"/>
          <w:sz w:val="20"/>
          <w:szCs w:val="20"/>
          <w:lang w:val="en-CA" w:eastAsia="en-CA"/>
        </w:rPr>
      </w:pPr>
      <w:r w:rsidRPr="008C7347">
        <w:rPr>
          <w:rFonts w:ascii="Arial" w:hAnsi="Arial" w:cs="Arial"/>
          <w:sz w:val="20"/>
          <w:szCs w:val="20"/>
          <w:lang w:val="en-CA" w:eastAsia="en-CA"/>
        </w:rPr>
        <w:t xml:space="preserve">a </w:t>
      </w:r>
      <w:r w:rsidRPr="008C7347">
        <w:rPr>
          <w:rFonts w:ascii="Arial" w:hAnsi="Arial" w:cs="Arial"/>
          <w:b/>
          <w:bCs/>
          <w:sz w:val="20"/>
          <w:szCs w:val="20"/>
          <w:lang w:val="en-CA" w:eastAsia="en-CA"/>
        </w:rPr>
        <w:t xml:space="preserve">building, structure </w:t>
      </w:r>
      <w:r w:rsidRPr="008C7347">
        <w:rPr>
          <w:rFonts w:ascii="Arial" w:hAnsi="Arial" w:cs="Arial"/>
          <w:sz w:val="20"/>
          <w:szCs w:val="20"/>
          <w:lang w:val="en-CA" w:eastAsia="en-CA"/>
        </w:rPr>
        <w:t>or part thereof, designed and equipped to be used for athletic and leisure activities and may include such facilities as a fitness centre, racquet club, billiard hall, bowling alley, arena, curling rink, indoor facility used for golf, baseball or soccer, indoor playground.</w:t>
      </w:r>
    </w:p>
    <w:p w14:paraId="1D8E7D73" w14:textId="77777777" w:rsidR="00641C97" w:rsidRPr="00D64C77" w:rsidRDefault="00641C97" w:rsidP="00641C97">
      <w:pPr>
        <w:autoSpaceDE w:val="0"/>
        <w:autoSpaceDN w:val="0"/>
        <w:adjustRightInd w:val="0"/>
        <w:spacing w:line="360" w:lineRule="auto"/>
        <w:rPr>
          <w:rFonts w:ascii="Arial" w:hAnsi="Arial" w:cs="Arial"/>
          <w:i/>
          <w:iCs/>
          <w:lang w:val="en-CA" w:eastAsia="en-CA"/>
        </w:rPr>
      </w:pPr>
    </w:p>
    <w:p w14:paraId="3376705D" w14:textId="01358985" w:rsidR="004B722F" w:rsidRDefault="00D64C77" w:rsidP="004B722F">
      <w:pPr>
        <w:pStyle w:val="DecisionBody"/>
        <w:widowControl/>
        <w:spacing w:beforeLines="0" w:before="0" w:afterLines="0" w:after="0"/>
        <w:rPr>
          <w:rFonts w:cs="Arial"/>
          <w:i/>
          <w:iCs/>
          <w:lang w:eastAsia="en-CA"/>
        </w:rPr>
      </w:pPr>
      <w:r w:rsidRPr="00D64C77">
        <w:rPr>
          <w:rFonts w:cs="Arial"/>
        </w:rPr>
        <w:t xml:space="preserve">In accordance with the </w:t>
      </w:r>
      <w:r w:rsidR="00A64A08">
        <w:rPr>
          <w:rFonts w:cs="Arial"/>
        </w:rPr>
        <w:t>ZBL</w:t>
      </w:r>
      <w:r w:rsidRPr="00D64C77">
        <w:rPr>
          <w:rFonts w:cs="Arial"/>
        </w:rPr>
        <w:t xml:space="preserve">, Table 3.1.2.2, (Required Number of Parking Spaces for Non-Residential Uses), the table regulates the required parking rates for the uses permitted on the site.  The intent under the By-law is to quantify the amount to ensure </w:t>
      </w:r>
      <w:r w:rsidRPr="00D64C77">
        <w:rPr>
          <w:rFonts w:cs="Arial"/>
        </w:rPr>
        <w:lastRenderedPageBreak/>
        <w:t>that each structure is self-sufficient in providing adequate parking accommodations based upon its intended use.</w:t>
      </w:r>
    </w:p>
    <w:p w14:paraId="7DE96823" w14:textId="77777777" w:rsidR="004B722F" w:rsidRPr="004B722F" w:rsidRDefault="004B722F" w:rsidP="004B722F">
      <w:pPr>
        <w:pStyle w:val="DecisionBody"/>
        <w:numPr>
          <w:ilvl w:val="0"/>
          <w:numId w:val="0"/>
        </w:numPr>
        <w:spacing w:beforeLines="0" w:before="0" w:afterLines="0" w:after="0"/>
        <w:rPr>
          <w:rFonts w:cs="Arial"/>
          <w:i/>
          <w:iCs/>
          <w:lang w:eastAsia="en-CA"/>
        </w:rPr>
      </w:pPr>
    </w:p>
    <w:p w14:paraId="2C6EBCCE" w14:textId="285897EC" w:rsidR="00D64C77" w:rsidRPr="00641C97" w:rsidRDefault="00D64C77" w:rsidP="004B722F">
      <w:pPr>
        <w:pStyle w:val="DecisionBody"/>
        <w:spacing w:beforeLines="0" w:before="0" w:afterLines="0" w:after="0"/>
        <w:rPr>
          <w:rFonts w:cs="Arial"/>
          <w:i/>
          <w:iCs/>
          <w:lang w:eastAsia="en-CA"/>
        </w:rPr>
      </w:pPr>
      <w:r w:rsidRPr="00D64C77">
        <w:rPr>
          <w:rFonts w:cs="Arial"/>
        </w:rPr>
        <w:t>The City required an onsite survey account for all buildings on site. City Staff applied the proxy site demand ratio and determined that for the proposed Recreational Establishment, the overall onsite demand will be sufficiently accommodated by the 329 spaces provided onsite.</w:t>
      </w:r>
    </w:p>
    <w:p w14:paraId="69C90143" w14:textId="77777777" w:rsidR="00641C97" w:rsidRPr="00641C97" w:rsidRDefault="00641C97" w:rsidP="004B722F">
      <w:pPr>
        <w:spacing w:line="360" w:lineRule="auto"/>
        <w:rPr>
          <w:lang w:eastAsia="en-CA"/>
        </w:rPr>
      </w:pPr>
    </w:p>
    <w:p w14:paraId="2F4E068D" w14:textId="52C91AAC" w:rsidR="00D64C77" w:rsidRPr="00641C97" w:rsidRDefault="00D64C77" w:rsidP="004B722F">
      <w:pPr>
        <w:pStyle w:val="DecisionBody"/>
        <w:spacing w:beforeLines="0" w:before="0" w:afterLines="0" w:after="0"/>
        <w:rPr>
          <w:rFonts w:cs="Arial"/>
          <w:i/>
          <w:iCs/>
          <w:lang w:eastAsia="en-CA"/>
        </w:rPr>
      </w:pPr>
      <w:r w:rsidRPr="00D64C77">
        <w:rPr>
          <w:rFonts w:cs="Arial"/>
        </w:rPr>
        <w:t xml:space="preserve">Mr. McKay stated that through an online application system, City staff track an application once received and staff comments are added as the application proceeds through the process to the final building permit and/or the application meets final approval. He produced the spreadsheets to ensure the Tribunal that the </w:t>
      </w:r>
      <w:r w:rsidR="002F6E52">
        <w:rPr>
          <w:rFonts w:cs="Arial"/>
        </w:rPr>
        <w:t>A</w:t>
      </w:r>
      <w:r w:rsidRPr="00D64C77">
        <w:rPr>
          <w:rFonts w:cs="Arial"/>
        </w:rPr>
        <w:t xml:space="preserve">pplication did not create any concerns to City Staff. </w:t>
      </w:r>
    </w:p>
    <w:p w14:paraId="63731F93" w14:textId="77777777" w:rsidR="00641C97" w:rsidRPr="00641C97" w:rsidRDefault="00641C97" w:rsidP="004B722F">
      <w:pPr>
        <w:spacing w:line="360" w:lineRule="auto"/>
        <w:rPr>
          <w:lang w:eastAsia="en-CA"/>
        </w:rPr>
      </w:pPr>
    </w:p>
    <w:p w14:paraId="5F5E0F49" w14:textId="5C5ED6FA" w:rsidR="00D64C77" w:rsidRPr="00641C97" w:rsidRDefault="00D64C77" w:rsidP="004B722F">
      <w:pPr>
        <w:pStyle w:val="DecisionBody"/>
        <w:spacing w:beforeLines="0" w:before="0" w:afterLines="0" w:after="0"/>
        <w:rPr>
          <w:rFonts w:cs="Arial"/>
          <w:b/>
          <w:bCs w:val="0"/>
          <w:lang w:eastAsia="en-CA"/>
        </w:rPr>
      </w:pPr>
      <w:r w:rsidRPr="00D64C77">
        <w:rPr>
          <w:rFonts w:cs="Arial"/>
          <w:color w:val="000000"/>
        </w:rPr>
        <w:t xml:space="preserve">Mr. Pernicky clarified the access from Eglinton Ave. </w:t>
      </w:r>
      <w:r w:rsidR="002F6E52">
        <w:rPr>
          <w:rFonts w:cs="Arial"/>
          <w:color w:val="000000"/>
        </w:rPr>
        <w:t xml:space="preserve">East </w:t>
      </w:r>
      <w:r w:rsidRPr="00D64C77">
        <w:rPr>
          <w:rFonts w:cs="Arial"/>
          <w:color w:val="000000"/>
        </w:rPr>
        <w:t>is shared in perpetuity through an easement. He confirmed the shared fencing between the buildings along the property line starting at the frontage of each of the building and continued to the rear of the buildings allowing enough mutual access to turn into either building areas.</w:t>
      </w:r>
    </w:p>
    <w:p w14:paraId="1E0239B8" w14:textId="77777777" w:rsidR="00641C97" w:rsidRPr="00641C97" w:rsidRDefault="00641C97" w:rsidP="004B722F">
      <w:pPr>
        <w:spacing w:line="360" w:lineRule="auto"/>
        <w:rPr>
          <w:lang w:eastAsia="en-CA"/>
        </w:rPr>
      </w:pPr>
    </w:p>
    <w:p w14:paraId="367D48F9" w14:textId="3D2A48CF" w:rsidR="00D64C77" w:rsidRDefault="00D64C77" w:rsidP="004B722F">
      <w:pPr>
        <w:pStyle w:val="DecisionBody"/>
        <w:spacing w:beforeLines="0" w:before="0" w:afterLines="0" w:after="0"/>
        <w:rPr>
          <w:rFonts w:cs="Arial"/>
          <w:lang w:eastAsia="en-CA"/>
        </w:rPr>
      </w:pPr>
      <w:r w:rsidRPr="00D64C77">
        <w:rPr>
          <w:rFonts w:cs="Arial"/>
        </w:rPr>
        <w:t>Mr. Pernicky informed the Tribunal that a Parking Utilization Study (</w:t>
      </w:r>
      <w:r w:rsidR="002F6E52">
        <w:rPr>
          <w:rFonts w:cs="Arial"/>
        </w:rPr>
        <w:t>“</w:t>
      </w:r>
      <w:r w:rsidRPr="00D64C77">
        <w:rPr>
          <w:rFonts w:cs="Arial"/>
        </w:rPr>
        <w:t>PUS</w:t>
      </w:r>
      <w:r w:rsidR="002F6E52">
        <w:rPr>
          <w:rFonts w:cs="Arial"/>
        </w:rPr>
        <w:t>”</w:t>
      </w:r>
      <w:r w:rsidRPr="00D64C77">
        <w:rPr>
          <w:rFonts w:cs="Arial"/>
        </w:rPr>
        <w:t xml:space="preserve">), </w:t>
      </w:r>
      <w:r w:rsidR="008A0A23">
        <w:rPr>
          <w:rFonts w:cs="Arial"/>
        </w:rPr>
        <w:t xml:space="preserve">was </w:t>
      </w:r>
      <w:r w:rsidRPr="00D64C77">
        <w:rPr>
          <w:rFonts w:cs="Arial"/>
        </w:rPr>
        <w:t>prepared</w:t>
      </w:r>
      <w:r w:rsidR="00B166A9">
        <w:rPr>
          <w:rFonts w:cs="Arial"/>
        </w:rPr>
        <w:t xml:space="preserve"> </w:t>
      </w:r>
      <w:r w:rsidRPr="00D64C77">
        <w:rPr>
          <w:rFonts w:cs="Arial"/>
        </w:rPr>
        <w:t xml:space="preserve">dated, February 11, 2021, </w:t>
      </w:r>
      <w:r w:rsidRPr="00D64C77">
        <w:rPr>
          <w:rFonts w:cs="Arial"/>
          <w:lang w:eastAsia="en-CA"/>
        </w:rPr>
        <w:t>and an addendum to that study dated October 4, 2021</w:t>
      </w:r>
      <w:r w:rsidR="002F6E52">
        <w:rPr>
          <w:rFonts w:cs="Arial"/>
          <w:lang w:eastAsia="en-CA"/>
        </w:rPr>
        <w:t>,</w:t>
      </w:r>
      <w:r w:rsidRPr="00D64C77">
        <w:rPr>
          <w:rFonts w:cs="Arial"/>
          <w:lang w:eastAsia="en-CA"/>
        </w:rPr>
        <w:t xml:space="preserve"> </w:t>
      </w:r>
      <w:r w:rsidRPr="00D64C77">
        <w:rPr>
          <w:rFonts w:cs="Arial"/>
        </w:rPr>
        <w:t xml:space="preserve">were both in support of the </w:t>
      </w:r>
      <w:r w:rsidR="002F6E52">
        <w:rPr>
          <w:rFonts w:cs="Arial"/>
        </w:rPr>
        <w:t>A</w:t>
      </w:r>
      <w:r w:rsidRPr="00D64C77">
        <w:rPr>
          <w:rFonts w:cs="Arial"/>
        </w:rPr>
        <w:t xml:space="preserve">pplication.  </w:t>
      </w:r>
    </w:p>
    <w:p w14:paraId="410BCC4D" w14:textId="77777777" w:rsidR="00641C97" w:rsidRPr="00641C97" w:rsidRDefault="00641C97" w:rsidP="004B722F">
      <w:pPr>
        <w:spacing w:line="360" w:lineRule="auto"/>
        <w:rPr>
          <w:lang w:eastAsia="en-CA"/>
        </w:rPr>
      </w:pPr>
    </w:p>
    <w:p w14:paraId="727F4025" w14:textId="25BB20DA" w:rsidR="00641C97" w:rsidRDefault="00D64C77" w:rsidP="004B722F">
      <w:pPr>
        <w:pStyle w:val="DecisionBody"/>
        <w:spacing w:beforeLines="0" w:before="0" w:afterLines="0" w:after="0"/>
        <w:rPr>
          <w:rFonts w:cs="Arial"/>
          <w:lang w:eastAsia="en-CA"/>
        </w:rPr>
      </w:pPr>
      <w:r w:rsidRPr="00D64C77">
        <w:rPr>
          <w:rFonts w:cs="Arial"/>
          <w:lang w:eastAsia="en-CA"/>
        </w:rPr>
        <w:t>He took the Tribunal through the survey tables and graphs in the P</w:t>
      </w:r>
      <w:r w:rsidR="002F6E52">
        <w:rPr>
          <w:rFonts w:cs="Arial"/>
          <w:lang w:eastAsia="en-CA"/>
        </w:rPr>
        <w:t>US</w:t>
      </w:r>
      <w:r w:rsidRPr="00D64C77">
        <w:rPr>
          <w:rFonts w:cs="Arial"/>
          <w:lang w:eastAsia="en-CA"/>
        </w:rPr>
        <w:t xml:space="preserve"> in detail. He explained that the surveys on the Site occurred over a 10</w:t>
      </w:r>
      <w:r w:rsidRPr="00D64C77">
        <w:rPr>
          <w:rFonts w:cs="Arial"/>
          <w:i/>
          <w:iCs/>
          <w:lang w:eastAsia="en-CA"/>
        </w:rPr>
        <w:t>-</w:t>
      </w:r>
      <w:r w:rsidRPr="00D64C77">
        <w:rPr>
          <w:rFonts w:cs="Arial"/>
          <w:lang w:eastAsia="en-CA"/>
        </w:rPr>
        <w:t>hour period. The survey results were combined to produce future total demand at the site.</w:t>
      </w:r>
    </w:p>
    <w:p w14:paraId="16E82257" w14:textId="77777777" w:rsidR="000005CC" w:rsidRPr="008C7347" w:rsidRDefault="000005CC" w:rsidP="004B722F">
      <w:pPr>
        <w:pStyle w:val="DecisionBody"/>
        <w:numPr>
          <w:ilvl w:val="0"/>
          <w:numId w:val="0"/>
        </w:numPr>
        <w:spacing w:beforeLines="0" w:before="0" w:afterLines="0" w:after="0"/>
        <w:rPr>
          <w:rFonts w:cs="Arial"/>
          <w:lang w:eastAsia="en-CA"/>
        </w:rPr>
      </w:pPr>
    </w:p>
    <w:p w14:paraId="6CBCC329" w14:textId="0E001247" w:rsidR="00D64C77" w:rsidRDefault="00D64C77" w:rsidP="004B722F">
      <w:pPr>
        <w:pStyle w:val="DecisionBody"/>
        <w:widowControl/>
        <w:spacing w:beforeLines="0" w:before="0" w:afterLines="0" w:after="0"/>
        <w:rPr>
          <w:rFonts w:cs="Arial"/>
          <w:lang w:eastAsia="en-CA"/>
        </w:rPr>
      </w:pPr>
      <w:r w:rsidRPr="00D64C77">
        <w:rPr>
          <w:rFonts w:cs="Arial"/>
          <w:color w:val="000000"/>
        </w:rPr>
        <w:t xml:space="preserve">Through the </w:t>
      </w:r>
      <w:r w:rsidR="00B202FD">
        <w:rPr>
          <w:rFonts w:cs="Arial"/>
          <w:color w:val="000000"/>
        </w:rPr>
        <w:t>Applicant’s Planning</w:t>
      </w:r>
      <w:r w:rsidRPr="00D64C77">
        <w:rPr>
          <w:rFonts w:cs="Arial"/>
          <w:color w:val="000000"/>
        </w:rPr>
        <w:t xml:space="preserve"> Justification Study</w:t>
      </w:r>
      <w:r w:rsidR="002F6E52">
        <w:rPr>
          <w:rFonts w:cs="Arial"/>
          <w:color w:val="000000"/>
        </w:rPr>
        <w:t>,</w:t>
      </w:r>
      <w:r w:rsidRPr="00D64C77">
        <w:rPr>
          <w:rFonts w:cs="Arial"/>
          <w:color w:val="000000"/>
        </w:rPr>
        <w:t xml:space="preserve"> which </w:t>
      </w:r>
      <w:r w:rsidR="002F6E52">
        <w:rPr>
          <w:rFonts w:cs="Arial"/>
          <w:color w:val="000000"/>
        </w:rPr>
        <w:t xml:space="preserve">was </w:t>
      </w:r>
      <w:r w:rsidRPr="00D64C77">
        <w:rPr>
          <w:rFonts w:cs="Arial"/>
          <w:color w:val="000000"/>
        </w:rPr>
        <w:t xml:space="preserve">utilized pre-COVID data and the Downsview K1 site as a proxy site for his study, he further identified that </w:t>
      </w:r>
      <w:r w:rsidRPr="00D64C77">
        <w:rPr>
          <w:rFonts w:cs="Arial"/>
          <w:lang w:eastAsia="en-CA"/>
        </w:rPr>
        <w:t xml:space="preserve">only the parking provision and demand of </w:t>
      </w:r>
      <w:r w:rsidR="008C7347">
        <w:rPr>
          <w:rFonts w:cs="Arial"/>
          <w:lang w:eastAsia="en-CA"/>
        </w:rPr>
        <w:t>B</w:t>
      </w:r>
      <w:r w:rsidRPr="00D64C77">
        <w:rPr>
          <w:rFonts w:cs="Arial"/>
          <w:lang w:eastAsia="en-CA"/>
        </w:rPr>
        <w:t xml:space="preserve">uildings A – D were considered in the analysis as the parking provision for </w:t>
      </w:r>
      <w:r w:rsidR="008C7347">
        <w:rPr>
          <w:rFonts w:cs="Arial"/>
          <w:lang w:eastAsia="en-CA"/>
        </w:rPr>
        <w:t>B</w:t>
      </w:r>
      <w:r w:rsidRPr="00D64C77">
        <w:rPr>
          <w:rFonts w:cs="Arial"/>
          <w:lang w:eastAsia="en-CA"/>
        </w:rPr>
        <w:t xml:space="preserve">uilding E is met by its existing </w:t>
      </w:r>
      <w:r w:rsidRPr="00D64C77">
        <w:rPr>
          <w:rFonts w:cs="Arial"/>
          <w:lang w:eastAsia="en-CA"/>
        </w:rPr>
        <w:lastRenderedPageBreak/>
        <w:t>supply (i.e. 123 spaces required, and 123 spaces provided).</w:t>
      </w:r>
      <w:r w:rsidRPr="00D64C77">
        <w:rPr>
          <w:rFonts w:cs="Arial"/>
          <w:color w:val="000000"/>
        </w:rPr>
        <w:t xml:space="preserve"> </w:t>
      </w:r>
      <w:r w:rsidRPr="00D64C77">
        <w:rPr>
          <w:rFonts w:cs="Arial"/>
          <w:lang w:eastAsia="en-CA"/>
        </w:rPr>
        <w:t xml:space="preserve">To quantify peak demand characteristics for the subject site, the selected survey methodologies (i.e. date and duration) were selected. </w:t>
      </w:r>
    </w:p>
    <w:p w14:paraId="1CF241F9" w14:textId="77777777" w:rsidR="00641C97" w:rsidRPr="00641C97" w:rsidRDefault="00641C97" w:rsidP="004B722F">
      <w:pPr>
        <w:spacing w:line="360" w:lineRule="auto"/>
        <w:rPr>
          <w:lang w:eastAsia="en-CA"/>
        </w:rPr>
      </w:pPr>
    </w:p>
    <w:p w14:paraId="2097DDD4" w14:textId="14D9A8BA" w:rsidR="00D64C77" w:rsidRDefault="00D64C77" w:rsidP="004B722F">
      <w:pPr>
        <w:pStyle w:val="DecisionBody"/>
        <w:widowControl/>
        <w:spacing w:beforeLines="0" w:before="0" w:afterLines="0" w:after="0"/>
        <w:rPr>
          <w:rFonts w:cs="Arial"/>
          <w:lang w:eastAsia="en-CA"/>
        </w:rPr>
      </w:pPr>
      <w:r w:rsidRPr="00D64C77">
        <w:rPr>
          <w:rFonts w:cs="Arial"/>
          <w:lang w:eastAsia="en-CA"/>
        </w:rPr>
        <w:t>He explained that a key feature in undertaking the parking utilization work is to identify peak periods. In this case, the anticipated peak operational parking demand were Fridays and Saturdays.</w:t>
      </w:r>
    </w:p>
    <w:p w14:paraId="7D2AB50B" w14:textId="77777777" w:rsidR="00641C97" w:rsidRPr="00641C97" w:rsidRDefault="00641C97" w:rsidP="004B722F">
      <w:pPr>
        <w:spacing w:line="360" w:lineRule="auto"/>
        <w:rPr>
          <w:lang w:eastAsia="en-CA"/>
        </w:rPr>
      </w:pPr>
    </w:p>
    <w:p w14:paraId="7D25D113" w14:textId="1F493576" w:rsidR="00D64C77" w:rsidRDefault="00D64C77" w:rsidP="004B722F">
      <w:pPr>
        <w:pStyle w:val="DecisionBody"/>
        <w:spacing w:beforeLines="0" w:before="0" w:afterLines="0" w:after="0"/>
        <w:rPr>
          <w:rFonts w:cs="Arial"/>
          <w:lang w:eastAsia="en-CA"/>
        </w:rPr>
      </w:pPr>
      <w:r w:rsidRPr="00D64C77">
        <w:rPr>
          <w:rFonts w:cs="Arial"/>
          <w:lang w:eastAsia="en-CA"/>
        </w:rPr>
        <w:t xml:space="preserve">He stated that at the time of the surveys, the City was in Stage 3 of reopening and all units were operating except for </w:t>
      </w:r>
      <w:r w:rsidR="008C7347">
        <w:rPr>
          <w:rFonts w:cs="Arial"/>
          <w:lang w:eastAsia="en-CA"/>
        </w:rPr>
        <w:t>B</w:t>
      </w:r>
      <w:r w:rsidRPr="00D64C77">
        <w:rPr>
          <w:rFonts w:cs="Arial"/>
          <w:lang w:eastAsia="en-CA"/>
        </w:rPr>
        <w:t xml:space="preserve">uilding C (i.e. the vacant building) and unit 1 of </w:t>
      </w:r>
      <w:r w:rsidR="008C7347">
        <w:rPr>
          <w:rFonts w:cs="Arial"/>
          <w:lang w:eastAsia="en-CA"/>
        </w:rPr>
        <w:t>B</w:t>
      </w:r>
      <w:r w:rsidRPr="00D64C77">
        <w:rPr>
          <w:rFonts w:cs="Arial"/>
          <w:lang w:eastAsia="en-CA"/>
        </w:rPr>
        <w:t xml:space="preserve">uilding D (i.e. the proposed development). Mr. Pernicky disagreed with Mr. Tedesco’s concerns of using pre-COVID data from 2018 and that of 2021. </w:t>
      </w:r>
    </w:p>
    <w:p w14:paraId="74D4A2F8" w14:textId="77777777" w:rsidR="00641C97" w:rsidRPr="00641C97" w:rsidRDefault="00641C97" w:rsidP="004B722F">
      <w:pPr>
        <w:spacing w:line="360" w:lineRule="auto"/>
        <w:rPr>
          <w:lang w:eastAsia="en-CA"/>
        </w:rPr>
      </w:pPr>
    </w:p>
    <w:p w14:paraId="2ED2B58C" w14:textId="5694BF71" w:rsidR="00D64C77" w:rsidRDefault="00D64C77" w:rsidP="004B722F">
      <w:pPr>
        <w:pStyle w:val="DecisionBody"/>
        <w:spacing w:beforeLines="0" w:before="0" w:afterLines="0" w:after="0"/>
        <w:rPr>
          <w:rFonts w:cs="Arial"/>
          <w:lang w:eastAsia="en-CA"/>
        </w:rPr>
      </w:pPr>
      <w:r w:rsidRPr="00D64C77">
        <w:rPr>
          <w:rFonts w:cs="Arial"/>
          <w:lang w:eastAsia="en-CA"/>
        </w:rPr>
        <w:t xml:space="preserve">Mr. Pernicky stated the utilization rates used were calculated based on the GFA of the existing operational units (i.e. the total GFA of </w:t>
      </w:r>
      <w:r w:rsidR="008C7347">
        <w:rPr>
          <w:rFonts w:cs="Arial"/>
          <w:lang w:eastAsia="en-CA"/>
        </w:rPr>
        <w:t>B</w:t>
      </w:r>
      <w:r w:rsidRPr="00D64C77">
        <w:rPr>
          <w:rFonts w:cs="Arial"/>
          <w:lang w:eastAsia="en-CA"/>
        </w:rPr>
        <w:t>uildings A – D minus the GFA of the proposed recreational establishment), which was 5,370.16 m</w:t>
      </w:r>
      <w:r w:rsidRPr="00B202FD">
        <w:rPr>
          <w:rFonts w:cs="Arial"/>
          <w:vertAlign w:val="superscript"/>
          <w:lang w:eastAsia="en-CA"/>
        </w:rPr>
        <w:t>2</w:t>
      </w:r>
      <w:r w:rsidRPr="00D64C77">
        <w:rPr>
          <w:rFonts w:cs="Arial"/>
          <w:lang w:eastAsia="en-CA"/>
        </w:rPr>
        <w:t xml:space="preserve">.  </w:t>
      </w:r>
    </w:p>
    <w:p w14:paraId="7237C245" w14:textId="77777777" w:rsidR="00641C97" w:rsidRPr="00641C97" w:rsidRDefault="00641C97" w:rsidP="004B722F">
      <w:pPr>
        <w:spacing w:line="360" w:lineRule="auto"/>
        <w:rPr>
          <w:lang w:eastAsia="en-CA"/>
        </w:rPr>
      </w:pPr>
    </w:p>
    <w:p w14:paraId="648B8836" w14:textId="23812825" w:rsidR="00D64C77" w:rsidRDefault="00D64C77" w:rsidP="004B722F">
      <w:pPr>
        <w:pStyle w:val="DecisionBody"/>
        <w:spacing w:beforeLines="0" w:before="0" w:afterLines="0" w:after="0"/>
        <w:rPr>
          <w:rFonts w:cs="Arial"/>
          <w:lang w:eastAsia="en-CA"/>
        </w:rPr>
      </w:pPr>
      <w:r w:rsidRPr="00D64C77">
        <w:rPr>
          <w:rFonts w:cs="Arial"/>
          <w:lang w:eastAsia="en-CA"/>
        </w:rPr>
        <w:t xml:space="preserve">To quantify an empirical approach to suggest a reasonable parking provision rate, he conducted parking utilization surveys at a proxy site. The proxy site has the same owner as the proposed development and has a </w:t>
      </w:r>
      <w:r w:rsidR="0001519D">
        <w:rPr>
          <w:rFonts w:cs="Arial"/>
          <w:lang w:eastAsia="en-CA"/>
        </w:rPr>
        <w:t>GFA</w:t>
      </w:r>
      <w:r w:rsidRPr="00D64C77">
        <w:rPr>
          <w:rFonts w:cs="Arial"/>
          <w:lang w:eastAsia="en-CA"/>
        </w:rPr>
        <w:t xml:space="preserve"> of 4</w:t>
      </w:r>
      <w:r w:rsidR="0001519D">
        <w:rPr>
          <w:rFonts w:cs="Arial"/>
          <w:lang w:eastAsia="en-CA"/>
        </w:rPr>
        <w:t>,</w:t>
      </w:r>
      <w:r w:rsidRPr="00D64C77">
        <w:rPr>
          <w:rFonts w:cs="Arial"/>
          <w:lang w:eastAsia="en-CA"/>
        </w:rPr>
        <w:t>298 m</w:t>
      </w:r>
      <w:r w:rsidRPr="00B202FD">
        <w:rPr>
          <w:rFonts w:cs="Arial"/>
          <w:vertAlign w:val="superscript"/>
          <w:lang w:eastAsia="en-CA"/>
        </w:rPr>
        <w:t>2</w:t>
      </w:r>
      <w:r w:rsidRPr="00D64C77">
        <w:rPr>
          <w:rFonts w:cs="Arial"/>
          <w:lang w:eastAsia="en-CA"/>
        </w:rPr>
        <w:t xml:space="preserve">. The parking at the proxy site is provided in a shared parking configuration. </w:t>
      </w:r>
    </w:p>
    <w:p w14:paraId="42A8ECB9" w14:textId="77777777" w:rsidR="00641C97" w:rsidRPr="00641C97" w:rsidRDefault="00641C97" w:rsidP="004B722F">
      <w:pPr>
        <w:spacing w:line="360" w:lineRule="auto"/>
        <w:rPr>
          <w:lang w:eastAsia="en-CA"/>
        </w:rPr>
      </w:pPr>
    </w:p>
    <w:p w14:paraId="57F55CFA" w14:textId="30519021" w:rsidR="00D64C77" w:rsidRDefault="00D64C77" w:rsidP="004B722F">
      <w:pPr>
        <w:pStyle w:val="DecisionBody"/>
        <w:spacing w:beforeLines="0" w:before="0" w:afterLines="0" w:after="0"/>
        <w:rPr>
          <w:rFonts w:cs="Arial"/>
          <w:lang w:eastAsia="en-CA"/>
        </w:rPr>
      </w:pPr>
      <w:r w:rsidRPr="00D64C77">
        <w:rPr>
          <w:rFonts w:cs="Arial"/>
          <w:lang w:eastAsia="en-CA"/>
        </w:rPr>
        <w:t>The City Terms of Reference (“City TOR”) for Parking Utilization Studies for Site Specific Applications indicate</w:t>
      </w:r>
      <w:r w:rsidR="00B202FD">
        <w:rPr>
          <w:rFonts w:cs="Arial"/>
          <w:lang w:eastAsia="en-CA"/>
        </w:rPr>
        <w:t>s</w:t>
      </w:r>
      <w:r w:rsidRPr="00D64C77">
        <w:rPr>
          <w:rFonts w:cs="Arial"/>
          <w:lang w:eastAsia="en-CA"/>
        </w:rPr>
        <w:t xml:space="preserve"> that:</w:t>
      </w:r>
    </w:p>
    <w:p w14:paraId="42FFCC1F" w14:textId="77777777" w:rsidR="00641C97" w:rsidRDefault="00641C97" w:rsidP="00641C97">
      <w:pPr>
        <w:pStyle w:val="DecisionBody"/>
        <w:numPr>
          <w:ilvl w:val="0"/>
          <w:numId w:val="0"/>
        </w:numPr>
        <w:spacing w:beforeLines="0" w:before="0" w:afterLines="0" w:after="0"/>
        <w:rPr>
          <w:rFonts w:cs="Arial"/>
          <w:i/>
          <w:iCs/>
          <w:lang w:eastAsia="en-CA"/>
        </w:rPr>
      </w:pPr>
    </w:p>
    <w:p w14:paraId="7C7753BB" w14:textId="53C5A4F6" w:rsidR="00641C97" w:rsidRPr="008C7347" w:rsidRDefault="00D64C77" w:rsidP="00B202FD">
      <w:pPr>
        <w:pStyle w:val="DecisionBody"/>
        <w:widowControl/>
        <w:numPr>
          <w:ilvl w:val="0"/>
          <w:numId w:val="0"/>
        </w:numPr>
        <w:spacing w:beforeLines="0" w:before="0" w:afterLines="0" w:after="0" w:line="240" w:lineRule="auto"/>
        <w:ind w:left="1440" w:right="1080"/>
        <w:rPr>
          <w:rFonts w:cs="Arial"/>
          <w:sz w:val="20"/>
          <w:szCs w:val="20"/>
          <w:lang w:eastAsia="en-CA"/>
        </w:rPr>
      </w:pPr>
      <w:r w:rsidRPr="00B202FD">
        <w:rPr>
          <w:rFonts w:cs="Arial"/>
          <w:sz w:val="20"/>
          <w:szCs w:val="20"/>
          <w:lang w:eastAsia="en-CA"/>
        </w:rPr>
        <w:t>The majority of site-specific Parking Utilization Studies are undertaken for an existing building where an increase in floor area of a particular use or the introduction of a new use is being proposed. In these types of situations, an assessment of the existing reoccurring peak parking demand and demand ratio, and an analysis of additional parking spaces required by the proposal, can be done with reasonable accuracy and confidence.</w:t>
      </w:r>
    </w:p>
    <w:p w14:paraId="085BF043" w14:textId="77777777" w:rsidR="00E51D0F" w:rsidRPr="008C7347" w:rsidRDefault="00E51D0F" w:rsidP="00F10E2A">
      <w:pPr>
        <w:pStyle w:val="DecisionBody"/>
        <w:numPr>
          <w:ilvl w:val="0"/>
          <w:numId w:val="0"/>
        </w:numPr>
        <w:spacing w:beforeLines="0" w:before="0" w:afterLines="0" w:after="0" w:line="240" w:lineRule="auto"/>
        <w:ind w:left="1440" w:right="1080"/>
        <w:rPr>
          <w:rFonts w:cs="Arial"/>
          <w:sz w:val="20"/>
          <w:szCs w:val="20"/>
          <w:lang w:eastAsia="en-CA"/>
        </w:rPr>
      </w:pPr>
    </w:p>
    <w:p w14:paraId="467DFAEC" w14:textId="29762457" w:rsidR="00D64C77" w:rsidRPr="00B202FD" w:rsidRDefault="00D64C77" w:rsidP="00B202FD">
      <w:pPr>
        <w:autoSpaceDE w:val="0"/>
        <w:autoSpaceDN w:val="0"/>
        <w:adjustRightInd w:val="0"/>
        <w:ind w:left="1440" w:right="1080"/>
        <w:rPr>
          <w:rFonts w:ascii="Arial" w:hAnsi="Arial" w:cs="Arial"/>
          <w:sz w:val="20"/>
          <w:szCs w:val="20"/>
          <w:lang w:val="en-CA" w:eastAsia="en-CA"/>
        </w:rPr>
      </w:pPr>
      <w:r w:rsidRPr="00B202FD">
        <w:rPr>
          <w:rFonts w:ascii="Arial" w:hAnsi="Arial" w:cs="Arial"/>
          <w:sz w:val="20"/>
          <w:szCs w:val="20"/>
          <w:lang w:val="en-CA" w:eastAsia="en-CA"/>
        </w:rPr>
        <w:t>An oversupply of parking is costly for business, visually unattractive, and may</w:t>
      </w:r>
      <w:r w:rsidR="0011734D" w:rsidRPr="00B202FD">
        <w:rPr>
          <w:rFonts w:ascii="Arial" w:hAnsi="Arial" w:cs="Arial"/>
          <w:sz w:val="20"/>
          <w:szCs w:val="20"/>
          <w:lang w:val="en-CA" w:eastAsia="en-CA"/>
        </w:rPr>
        <w:t xml:space="preserve"> </w:t>
      </w:r>
      <w:r w:rsidRPr="00B202FD">
        <w:rPr>
          <w:rFonts w:ascii="Arial" w:hAnsi="Arial" w:cs="Arial"/>
          <w:sz w:val="20"/>
          <w:szCs w:val="20"/>
          <w:lang w:val="en-CA" w:eastAsia="en-CA"/>
        </w:rPr>
        <w:t>negatively impact urban design and streetscape. Conversely, an undersupply of</w:t>
      </w:r>
      <w:r w:rsidR="0011734D" w:rsidRPr="00B202FD">
        <w:rPr>
          <w:rFonts w:ascii="Arial" w:hAnsi="Arial" w:cs="Arial"/>
          <w:sz w:val="20"/>
          <w:szCs w:val="20"/>
          <w:lang w:val="en-CA" w:eastAsia="en-CA"/>
        </w:rPr>
        <w:t xml:space="preserve"> </w:t>
      </w:r>
      <w:r w:rsidRPr="00B202FD">
        <w:rPr>
          <w:rFonts w:ascii="Arial" w:hAnsi="Arial" w:cs="Arial"/>
          <w:sz w:val="20"/>
          <w:szCs w:val="20"/>
          <w:lang w:val="en-CA" w:eastAsia="en-CA"/>
        </w:rPr>
        <w:t>spaces may compromise access and circulation, and create spillover problems for</w:t>
      </w:r>
      <w:r w:rsidR="0011734D" w:rsidRPr="00B202FD">
        <w:rPr>
          <w:rFonts w:ascii="Arial" w:hAnsi="Arial" w:cs="Arial"/>
          <w:sz w:val="20"/>
          <w:szCs w:val="20"/>
          <w:lang w:val="en-CA" w:eastAsia="en-CA"/>
        </w:rPr>
        <w:t xml:space="preserve"> </w:t>
      </w:r>
      <w:r w:rsidRPr="00B202FD">
        <w:rPr>
          <w:rFonts w:ascii="Arial" w:hAnsi="Arial" w:cs="Arial"/>
          <w:sz w:val="20"/>
          <w:szCs w:val="20"/>
          <w:lang w:val="en-CA" w:eastAsia="en-CA"/>
        </w:rPr>
        <w:t xml:space="preserve">adjacent uses. It is, therefore, important for the supply of </w:t>
      </w:r>
      <w:r w:rsidRPr="00B202FD">
        <w:rPr>
          <w:rFonts w:ascii="Arial" w:hAnsi="Arial" w:cs="Arial"/>
          <w:sz w:val="20"/>
          <w:szCs w:val="20"/>
          <w:lang w:val="en-CA" w:eastAsia="en-CA"/>
        </w:rPr>
        <w:lastRenderedPageBreak/>
        <w:t>parking to strike a balance between oversupply and undersupply</w:t>
      </w:r>
      <w:r w:rsidRPr="008C7347">
        <w:rPr>
          <w:rFonts w:ascii="Arial" w:hAnsi="Arial" w:cs="Arial"/>
          <w:sz w:val="20"/>
          <w:szCs w:val="20"/>
          <w:lang w:val="en-CA" w:eastAsia="en-CA"/>
        </w:rPr>
        <w:t>.  (Ex</w:t>
      </w:r>
      <w:r w:rsidR="00E51D0F" w:rsidRPr="008C7347">
        <w:rPr>
          <w:rFonts w:ascii="Arial" w:hAnsi="Arial" w:cs="Arial"/>
          <w:sz w:val="20"/>
          <w:szCs w:val="20"/>
          <w:lang w:val="en-CA" w:eastAsia="en-CA"/>
        </w:rPr>
        <w:t>.</w:t>
      </w:r>
      <w:r w:rsidRPr="008C7347">
        <w:rPr>
          <w:rFonts w:ascii="Arial" w:hAnsi="Arial" w:cs="Arial"/>
          <w:sz w:val="20"/>
          <w:szCs w:val="20"/>
          <w:lang w:val="en-CA" w:eastAsia="en-CA"/>
        </w:rPr>
        <w:t xml:space="preserve"> 3, Tab 31)</w:t>
      </w:r>
    </w:p>
    <w:p w14:paraId="4EDFE8F2" w14:textId="77777777" w:rsidR="00641C97" w:rsidRPr="00D64C77" w:rsidRDefault="00641C97" w:rsidP="00D64C77">
      <w:pPr>
        <w:autoSpaceDE w:val="0"/>
        <w:autoSpaceDN w:val="0"/>
        <w:adjustRightInd w:val="0"/>
        <w:spacing w:line="360" w:lineRule="auto"/>
        <w:rPr>
          <w:rFonts w:ascii="Arial" w:hAnsi="Arial" w:cs="Arial"/>
          <w:lang w:val="en-CA" w:eastAsia="en-CA"/>
        </w:rPr>
      </w:pPr>
    </w:p>
    <w:p w14:paraId="6A101BEE" w14:textId="78CEB1F2" w:rsidR="00D64C77" w:rsidRDefault="00D64C77" w:rsidP="004B722F">
      <w:pPr>
        <w:pStyle w:val="DecisionBody"/>
        <w:widowControl/>
        <w:spacing w:beforeLines="0" w:before="0" w:afterLines="0" w:after="0"/>
        <w:rPr>
          <w:rFonts w:cs="Arial"/>
          <w:lang w:eastAsia="en-CA"/>
        </w:rPr>
      </w:pPr>
      <w:r w:rsidRPr="00D64C77">
        <w:rPr>
          <w:rFonts w:cs="Arial"/>
          <w:lang w:eastAsia="en-CA"/>
        </w:rPr>
        <w:t>Mr. Pernicky advised the Tribunal that the City TOR are robust, and that he had done this and a number of other studies following these TOR. He explained that a key feature in undertaking the parking utilization work is to identify peak periods. In this case, the anticipated peak operational parking demand were Fridays and Saturdays.</w:t>
      </w:r>
    </w:p>
    <w:p w14:paraId="18E61FFD" w14:textId="77777777" w:rsidR="00641C97" w:rsidRPr="00D64C77" w:rsidRDefault="00641C97" w:rsidP="004B722F">
      <w:pPr>
        <w:pStyle w:val="DecisionBody"/>
        <w:numPr>
          <w:ilvl w:val="0"/>
          <w:numId w:val="0"/>
        </w:numPr>
        <w:spacing w:beforeLines="0" w:before="0" w:afterLines="0" w:after="0"/>
        <w:rPr>
          <w:rFonts w:cs="Arial"/>
          <w:lang w:eastAsia="en-CA"/>
        </w:rPr>
      </w:pPr>
    </w:p>
    <w:p w14:paraId="070C5E65" w14:textId="3CC87C06" w:rsidR="00D64C77" w:rsidRDefault="00D64C77" w:rsidP="004B722F">
      <w:pPr>
        <w:pStyle w:val="DecisionBody"/>
        <w:spacing w:beforeLines="0" w:before="0" w:afterLines="0" w:after="0"/>
        <w:rPr>
          <w:rFonts w:cs="Arial"/>
          <w:lang w:eastAsia="en-CA"/>
        </w:rPr>
      </w:pPr>
      <w:r w:rsidRPr="00D64C77">
        <w:rPr>
          <w:rFonts w:cs="Arial"/>
          <w:lang w:eastAsia="en-CA"/>
        </w:rPr>
        <w:t xml:space="preserve">Mr. Pernicky explained that this site data was provided by the City in its Parking Allocation Report. The Site Plan shows that applying the zoning rate to each use on the Site plus the ZBL rate for “Recreational Establishment Use” (4.5 spaces / 100 </w:t>
      </w:r>
      <w:r w:rsidR="00B202FD">
        <w:rPr>
          <w:rFonts w:cs="Arial"/>
          <w:lang w:eastAsia="en-CA"/>
        </w:rPr>
        <w:t>m</w:t>
      </w:r>
      <w:r w:rsidR="00B202FD" w:rsidRPr="00B202FD">
        <w:rPr>
          <w:rFonts w:cs="Arial"/>
          <w:vertAlign w:val="superscript"/>
          <w:lang w:eastAsia="en-CA"/>
        </w:rPr>
        <w:t>2</w:t>
      </w:r>
      <w:r w:rsidRPr="00D64C77">
        <w:rPr>
          <w:rFonts w:cs="Arial"/>
          <w:lang w:eastAsia="en-CA"/>
        </w:rPr>
        <w:t>) for Building D</w:t>
      </w:r>
      <w:r w:rsidR="00E51D0F">
        <w:rPr>
          <w:rFonts w:cs="Arial"/>
          <w:lang w:eastAsia="en-CA"/>
        </w:rPr>
        <w:t>,</w:t>
      </w:r>
      <w:r w:rsidRPr="00D64C77">
        <w:rPr>
          <w:rFonts w:cs="Arial"/>
          <w:lang w:eastAsia="en-CA"/>
        </w:rPr>
        <w:t xml:space="preserve"> Unit 1 (K1)</w:t>
      </w:r>
      <w:r w:rsidR="00E51D0F">
        <w:rPr>
          <w:rFonts w:cs="Arial"/>
          <w:lang w:eastAsia="en-CA"/>
        </w:rPr>
        <w:t>,</w:t>
      </w:r>
      <w:r w:rsidRPr="00D64C77">
        <w:rPr>
          <w:rFonts w:cs="Arial"/>
          <w:lang w:eastAsia="en-CA"/>
        </w:rPr>
        <w:t xml:space="preserve"> would result in 457 parking spaces being required, whereas 329 parking spaces are provided. </w:t>
      </w:r>
    </w:p>
    <w:p w14:paraId="13F63547" w14:textId="77777777" w:rsidR="00641C97" w:rsidRPr="00641C97" w:rsidRDefault="00641C97" w:rsidP="004B722F">
      <w:pPr>
        <w:spacing w:line="360" w:lineRule="auto"/>
        <w:rPr>
          <w:lang w:eastAsia="en-CA"/>
        </w:rPr>
      </w:pPr>
    </w:p>
    <w:p w14:paraId="008DEF82" w14:textId="4B814D38" w:rsidR="00D64C77" w:rsidRPr="00D64C77" w:rsidRDefault="00D64C77" w:rsidP="004B722F">
      <w:pPr>
        <w:pStyle w:val="DecisionBody"/>
        <w:spacing w:beforeLines="0" w:before="0" w:afterLines="0" w:after="0"/>
        <w:rPr>
          <w:rFonts w:cs="Arial"/>
        </w:rPr>
      </w:pPr>
      <w:r w:rsidRPr="00D64C77">
        <w:rPr>
          <w:rFonts w:cs="Arial"/>
          <w:lang w:eastAsia="en-CA"/>
        </w:rPr>
        <w:t>Mr. Pernicky explained to the Tribunal that not all 329 parking spaces shown on the Site Plan exist today. The actual on-site conditions</w:t>
      </w:r>
      <w:r w:rsidR="00F10E2A">
        <w:rPr>
          <w:rFonts w:cs="Arial"/>
          <w:lang w:eastAsia="en-CA"/>
        </w:rPr>
        <w:t>,</w:t>
      </w:r>
      <w:r w:rsidRPr="00D64C77">
        <w:rPr>
          <w:rFonts w:cs="Arial"/>
          <w:lang w:eastAsia="en-CA"/>
        </w:rPr>
        <w:t xml:space="preserve"> as of today</w:t>
      </w:r>
      <w:r w:rsidR="00F10E2A">
        <w:rPr>
          <w:rFonts w:cs="Arial"/>
          <w:lang w:eastAsia="en-CA"/>
        </w:rPr>
        <w:t>,</w:t>
      </w:r>
      <w:r w:rsidRPr="00D64C77">
        <w:rPr>
          <w:rFonts w:cs="Arial"/>
          <w:lang w:eastAsia="en-CA"/>
        </w:rPr>
        <w:t xml:space="preserve"> shows a total of 255 parking spaces. </w:t>
      </w:r>
      <w:r w:rsidR="00641C97">
        <w:rPr>
          <w:rFonts w:cs="Arial"/>
          <w:lang w:eastAsia="en-CA"/>
        </w:rPr>
        <w:br/>
      </w:r>
    </w:p>
    <w:p w14:paraId="602A0526" w14:textId="56AEC8B8" w:rsidR="00D64C77" w:rsidRDefault="00D64C77" w:rsidP="004B722F">
      <w:pPr>
        <w:pStyle w:val="DecisionBody"/>
        <w:widowControl/>
        <w:spacing w:beforeLines="0" w:before="0" w:afterLines="0" w:after="0"/>
        <w:rPr>
          <w:rFonts w:cs="Arial"/>
        </w:rPr>
      </w:pPr>
      <w:r w:rsidRPr="00D64C77">
        <w:rPr>
          <w:rFonts w:cs="Arial"/>
          <w:lang w:eastAsia="en-CA"/>
        </w:rPr>
        <w:t>He further explained that the required parking rate for “Recreational Establishment Use” of 4.5 spaces per 100 m</w:t>
      </w:r>
      <w:r w:rsidR="00761AB2" w:rsidRPr="00B202FD">
        <w:rPr>
          <w:rFonts w:cs="Arial"/>
          <w:vertAlign w:val="superscript"/>
          <w:lang w:eastAsia="en-CA"/>
        </w:rPr>
        <w:t>2</w:t>
      </w:r>
      <w:r w:rsidRPr="00D64C77">
        <w:rPr>
          <w:rFonts w:cs="Arial"/>
          <w:lang w:eastAsia="en-CA"/>
        </w:rPr>
        <w:t xml:space="preserve"> is a very high standard and that the definition of “Recreational Establishment Use” includes a wide variety of uses, resulting in the need to rationalize the parking rate and decide whether that ZBL rate is suitable for the use in question.</w:t>
      </w:r>
    </w:p>
    <w:p w14:paraId="5CF94BE1" w14:textId="77777777" w:rsidR="00641C97" w:rsidRPr="00D64C77" w:rsidRDefault="00641C97" w:rsidP="004B722F">
      <w:pPr>
        <w:pStyle w:val="DecisionBody"/>
        <w:widowControl/>
        <w:numPr>
          <w:ilvl w:val="0"/>
          <w:numId w:val="0"/>
        </w:numPr>
        <w:spacing w:beforeLines="0" w:before="0" w:afterLines="0" w:after="0"/>
        <w:rPr>
          <w:rFonts w:cs="Arial"/>
        </w:rPr>
      </w:pPr>
    </w:p>
    <w:p w14:paraId="4714621D" w14:textId="724AD3CF" w:rsidR="00D64C77" w:rsidRDefault="00D64C77" w:rsidP="004B722F">
      <w:pPr>
        <w:pStyle w:val="DecisionBody"/>
        <w:widowControl/>
        <w:spacing w:beforeLines="0" w:before="0" w:afterLines="0" w:after="0"/>
        <w:rPr>
          <w:rFonts w:cs="Arial"/>
        </w:rPr>
      </w:pPr>
      <w:r w:rsidRPr="00D64C77">
        <w:rPr>
          <w:rFonts w:cs="Arial"/>
          <w:lang w:eastAsia="en-CA"/>
        </w:rPr>
        <w:t xml:space="preserve">Mr. Pernicky stated that if one applied the rate of ZBL </w:t>
      </w:r>
      <w:r w:rsidR="008C58BF">
        <w:rPr>
          <w:rFonts w:cs="Arial"/>
          <w:lang w:eastAsia="en-CA"/>
        </w:rPr>
        <w:t xml:space="preserve">to </w:t>
      </w:r>
      <w:r w:rsidRPr="00D64C77">
        <w:rPr>
          <w:rFonts w:cs="Arial"/>
          <w:lang w:eastAsia="en-CA"/>
        </w:rPr>
        <w:t xml:space="preserve">4.5 spaces per 100 </w:t>
      </w:r>
      <w:r w:rsidR="008C58BF">
        <w:rPr>
          <w:rFonts w:cs="Arial"/>
          <w:lang w:eastAsia="en-CA"/>
        </w:rPr>
        <w:t>m</w:t>
      </w:r>
      <w:r w:rsidR="008C58BF" w:rsidRPr="00B202FD">
        <w:rPr>
          <w:rFonts w:cs="Arial"/>
          <w:vertAlign w:val="superscript"/>
          <w:lang w:eastAsia="en-CA"/>
        </w:rPr>
        <w:t>2</w:t>
      </w:r>
      <w:r w:rsidRPr="00D64C77">
        <w:rPr>
          <w:rFonts w:cs="Arial"/>
          <w:lang w:eastAsia="en-CA"/>
        </w:rPr>
        <w:t xml:space="preserve"> to the K1 unit, it would result in the requirement for 174 parking spaces. In his opinion, the nature of the proposed use, where the majority of the area is used for a track, suggested that that rate was too high. His parking studies were aimed at determining</w:t>
      </w:r>
      <w:r w:rsidRPr="00D64C77">
        <w:rPr>
          <w:rFonts w:cs="Arial"/>
        </w:rPr>
        <w:t xml:space="preserve"> </w:t>
      </w:r>
      <w:r w:rsidRPr="00D64C77">
        <w:rPr>
          <w:rFonts w:cs="Arial"/>
          <w:lang w:eastAsia="en-CA"/>
        </w:rPr>
        <w:t xml:space="preserve">what a more accurate demand would be. </w:t>
      </w:r>
      <w:r w:rsidRPr="00D64C77">
        <w:rPr>
          <w:rFonts w:cs="Arial"/>
        </w:rPr>
        <w:t>The PUS explains that the zoning by-law rate for a Recreational Establishment does not reflect the demand to support an indoor go karting facility, where most of the GFA is attributed to the racing track.</w:t>
      </w:r>
    </w:p>
    <w:p w14:paraId="66AB840E" w14:textId="77777777" w:rsidR="00641C97" w:rsidRPr="00641C97" w:rsidRDefault="00641C97" w:rsidP="004B722F">
      <w:pPr>
        <w:spacing w:line="360" w:lineRule="auto"/>
      </w:pPr>
    </w:p>
    <w:p w14:paraId="1EA656C8" w14:textId="631EF119" w:rsidR="00641C97" w:rsidRDefault="00D64C77" w:rsidP="004B722F">
      <w:pPr>
        <w:pStyle w:val="DecisionBody"/>
        <w:spacing w:beforeLines="0" w:before="0" w:afterLines="0" w:after="0"/>
        <w:rPr>
          <w:rFonts w:cs="Arial"/>
          <w:lang w:eastAsia="en-CA"/>
        </w:rPr>
      </w:pPr>
      <w:r w:rsidRPr="00D64C77">
        <w:rPr>
          <w:rFonts w:cs="Arial"/>
          <w:lang w:eastAsia="en-CA"/>
        </w:rPr>
        <w:lastRenderedPageBreak/>
        <w:t xml:space="preserve">It was his conclusion that </w:t>
      </w:r>
      <w:r w:rsidR="008C58BF">
        <w:rPr>
          <w:rFonts w:cs="Arial"/>
          <w:lang w:eastAsia="en-CA"/>
        </w:rPr>
        <w:t xml:space="preserve">there </w:t>
      </w:r>
      <w:r w:rsidRPr="00D64C77">
        <w:rPr>
          <w:rFonts w:cs="Arial"/>
          <w:lang w:eastAsia="en-CA"/>
        </w:rPr>
        <w:t>are adequate spaces on the subject site to accommodate the expected future total weekend demand on the total site after the proposed development is operational. He was able to determine that those peak demands were not as significant if he were to compare the site being used as a warehouse which, he opined would generate significantly more parking spaces.</w:t>
      </w:r>
    </w:p>
    <w:p w14:paraId="35142519" w14:textId="77777777" w:rsidR="004B722F" w:rsidRPr="004B722F" w:rsidRDefault="004B722F" w:rsidP="004B722F">
      <w:pPr>
        <w:pStyle w:val="ListParagraph"/>
        <w:numPr>
          <w:ilvl w:val="0"/>
          <w:numId w:val="0"/>
        </w:numPr>
        <w:ind w:left="1260"/>
        <w:rPr>
          <w:rFonts w:cs="Arial"/>
          <w:lang w:eastAsia="en-CA"/>
        </w:rPr>
      </w:pPr>
    </w:p>
    <w:p w14:paraId="791E19A7" w14:textId="297AF643" w:rsidR="00D64C77" w:rsidRDefault="00D64C77" w:rsidP="004B722F">
      <w:pPr>
        <w:pStyle w:val="DecisionBody"/>
        <w:spacing w:beforeLines="0" w:before="0" w:afterLines="0" w:after="0"/>
        <w:rPr>
          <w:rFonts w:cs="Arial"/>
          <w:lang w:eastAsia="en-CA"/>
        </w:rPr>
      </w:pPr>
      <w:r w:rsidRPr="00D64C77">
        <w:rPr>
          <w:rFonts w:cs="Arial"/>
          <w:lang w:eastAsia="en-CA"/>
        </w:rPr>
        <w:t xml:space="preserve">Understanding the concerns of the Appellant and also to ensure clarity to patrons that parking is to the rear of the building, Mr. Pernicky agreed that the use of signs and the striping of the parking </w:t>
      </w:r>
      <w:r w:rsidR="008C58BF">
        <w:rPr>
          <w:rFonts w:cs="Arial"/>
          <w:lang w:eastAsia="en-CA"/>
        </w:rPr>
        <w:t xml:space="preserve">lot </w:t>
      </w:r>
      <w:r w:rsidRPr="00D64C77">
        <w:rPr>
          <w:rFonts w:cs="Arial"/>
          <w:lang w:eastAsia="en-CA"/>
        </w:rPr>
        <w:t>behind the building would aid in deflecting the use of parking on the neighbouring site.</w:t>
      </w:r>
    </w:p>
    <w:p w14:paraId="67527032" w14:textId="77777777" w:rsidR="00641C97" w:rsidRPr="00641C97" w:rsidRDefault="00641C97" w:rsidP="004B722F">
      <w:pPr>
        <w:spacing w:line="360" w:lineRule="auto"/>
        <w:rPr>
          <w:lang w:eastAsia="en-CA"/>
        </w:rPr>
      </w:pPr>
    </w:p>
    <w:p w14:paraId="29FD90F4" w14:textId="68847294" w:rsidR="008C58BF" w:rsidRPr="008C58BF" w:rsidRDefault="00D64C77" w:rsidP="004B722F">
      <w:pPr>
        <w:pStyle w:val="DecisionBody"/>
        <w:spacing w:beforeLines="0" w:before="0" w:afterLines="0" w:after="0"/>
        <w:rPr>
          <w:rFonts w:cs="Arial"/>
        </w:rPr>
      </w:pPr>
      <w:r w:rsidRPr="00D64C77">
        <w:rPr>
          <w:rFonts w:cs="Arial"/>
          <w:lang w:eastAsia="en-CA"/>
        </w:rPr>
        <w:t>Mr. Tedesco informed the Tribunal that the entrance to the go-</w:t>
      </w:r>
      <w:r w:rsidR="00761AB2">
        <w:rPr>
          <w:rFonts w:cs="Arial"/>
          <w:lang w:eastAsia="en-CA"/>
        </w:rPr>
        <w:t>k</w:t>
      </w:r>
      <w:r w:rsidRPr="00D64C77">
        <w:rPr>
          <w:rFonts w:cs="Arial"/>
          <w:lang w:eastAsia="en-CA"/>
        </w:rPr>
        <w:t>art facility is only a few metres east of the western property line. There are a small number of parking spaces provided directly in front of the go-kart facility</w:t>
      </w:r>
      <w:r w:rsidR="008C58BF">
        <w:rPr>
          <w:rFonts w:cs="Arial"/>
          <w:lang w:eastAsia="en-CA"/>
        </w:rPr>
        <w:t>’</w:t>
      </w:r>
      <w:r w:rsidRPr="00D64C77">
        <w:rPr>
          <w:rFonts w:cs="Arial"/>
          <w:lang w:eastAsia="en-CA"/>
        </w:rPr>
        <w:t xml:space="preserve">s main entrance facing Eglinton Avenue East. </w:t>
      </w:r>
    </w:p>
    <w:p w14:paraId="3C697076" w14:textId="77777777" w:rsidR="00641C97" w:rsidRPr="00641C97" w:rsidRDefault="00641C97" w:rsidP="004B722F">
      <w:pPr>
        <w:spacing w:line="360" w:lineRule="auto"/>
      </w:pPr>
    </w:p>
    <w:p w14:paraId="14D68D50" w14:textId="3C2C7487" w:rsidR="00D64C77" w:rsidRDefault="00D64C77" w:rsidP="004B722F">
      <w:pPr>
        <w:pStyle w:val="DecisionBody"/>
        <w:widowControl/>
        <w:spacing w:beforeLines="0" w:before="0" w:afterLines="0" w:after="0"/>
        <w:rPr>
          <w:rFonts w:cs="Arial"/>
        </w:rPr>
      </w:pPr>
      <w:r w:rsidRPr="00D64C77">
        <w:rPr>
          <w:rFonts w:cs="Arial"/>
          <w:lang w:eastAsia="en-CA"/>
        </w:rPr>
        <w:t xml:space="preserve">He stated </w:t>
      </w:r>
      <w:r w:rsidR="008C58BF">
        <w:rPr>
          <w:rFonts w:cs="Arial"/>
          <w:lang w:eastAsia="en-CA"/>
        </w:rPr>
        <w:t xml:space="preserve">that </w:t>
      </w:r>
      <w:r w:rsidRPr="00D64C77">
        <w:rPr>
          <w:rFonts w:cs="Arial"/>
          <w:lang w:eastAsia="en-CA"/>
        </w:rPr>
        <w:t>the vast majority of proposed parking spaces are located to the rear of the building. Due to the proposed orientation of the go-kart facility, the majority of parking for the facility will be behind the building and away from any of its primary entrances. Conversely, due to its proximity to that front entrance, parking on the Prombank lands will be considerably closer</w:t>
      </w:r>
      <w:r w:rsidR="00761AB2">
        <w:rPr>
          <w:rFonts w:cs="Arial"/>
          <w:lang w:eastAsia="en-CA"/>
        </w:rPr>
        <w:t>,</w:t>
      </w:r>
      <w:r w:rsidRPr="00D64C77">
        <w:rPr>
          <w:rFonts w:cs="Arial"/>
          <w:lang w:eastAsia="en-CA"/>
        </w:rPr>
        <w:t xml:space="preserve"> in his opinion</w:t>
      </w:r>
      <w:r w:rsidR="00761AB2">
        <w:rPr>
          <w:rFonts w:cs="Arial"/>
          <w:lang w:eastAsia="en-CA"/>
        </w:rPr>
        <w:t>,</w:t>
      </w:r>
      <w:r w:rsidRPr="00D64C77">
        <w:rPr>
          <w:rFonts w:cs="Arial"/>
          <w:lang w:eastAsia="en-CA"/>
        </w:rPr>
        <w:t xml:space="preserve"> more attractive to users of the go-kart facility.</w:t>
      </w:r>
    </w:p>
    <w:p w14:paraId="6380F45B" w14:textId="77777777" w:rsidR="00641C97" w:rsidRPr="00641C97" w:rsidRDefault="00641C97" w:rsidP="004B722F">
      <w:pPr>
        <w:spacing w:line="360" w:lineRule="auto"/>
      </w:pPr>
    </w:p>
    <w:p w14:paraId="05F7FB26" w14:textId="1BB7641C" w:rsidR="00D64C77" w:rsidRDefault="00D64C77" w:rsidP="004B722F">
      <w:pPr>
        <w:pStyle w:val="DecisionBody"/>
        <w:spacing w:beforeLines="0" w:before="0" w:afterLines="0" w:after="0"/>
        <w:rPr>
          <w:rFonts w:cs="Arial"/>
        </w:rPr>
      </w:pPr>
      <w:r w:rsidRPr="00D64C77">
        <w:rPr>
          <w:rFonts w:cs="Arial"/>
          <w:lang w:eastAsia="en-CA"/>
        </w:rPr>
        <w:t>He informed the Tribunal that the risk of frequent trespass and unauthorized parking by customers of the go-kart facility is substantial, and that this behaviour will take away much needed parking from the Prombank’s businesses</w:t>
      </w:r>
      <w:r w:rsidRPr="00641C97">
        <w:rPr>
          <w:rFonts w:cs="Arial"/>
          <w:lang w:eastAsia="en-CA"/>
        </w:rPr>
        <w:t>.</w:t>
      </w:r>
    </w:p>
    <w:p w14:paraId="65884B41" w14:textId="77777777" w:rsidR="00641C97" w:rsidRPr="00641C97" w:rsidRDefault="00641C97" w:rsidP="004B722F">
      <w:pPr>
        <w:spacing w:line="360" w:lineRule="auto"/>
      </w:pPr>
    </w:p>
    <w:p w14:paraId="4FA8837D" w14:textId="36704292" w:rsidR="00641C97" w:rsidRPr="00641C97" w:rsidRDefault="00D64C77" w:rsidP="004B722F">
      <w:pPr>
        <w:pStyle w:val="DecisionBody"/>
        <w:widowControl/>
        <w:spacing w:beforeLines="0" w:before="0" w:afterLines="0" w:after="0"/>
        <w:rPr>
          <w:rFonts w:cs="Arial"/>
          <w:lang w:eastAsia="en-CA"/>
        </w:rPr>
      </w:pPr>
      <w:r w:rsidRPr="00D64C77">
        <w:rPr>
          <w:rFonts w:cs="Arial"/>
          <w:lang w:eastAsia="en-CA"/>
        </w:rPr>
        <w:t xml:space="preserve">Mr. Tedesco opined that after a peer review of the studies undertaken by Mr. Pernicky, the Application does not maintain the general intent and purpose of the </w:t>
      </w:r>
      <w:r w:rsidR="00761AB2">
        <w:rPr>
          <w:rFonts w:cs="Arial"/>
          <w:lang w:eastAsia="en-CA"/>
        </w:rPr>
        <w:t>ZBL</w:t>
      </w:r>
      <w:r w:rsidR="00B202FD">
        <w:rPr>
          <w:rFonts w:cs="Arial"/>
          <w:lang w:eastAsia="en-CA"/>
        </w:rPr>
        <w:t>.</w:t>
      </w:r>
      <w:r w:rsidRPr="00D64C77">
        <w:rPr>
          <w:rFonts w:cs="Arial"/>
          <w:lang w:eastAsia="en-CA"/>
        </w:rPr>
        <w:t xml:space="preserve"> Stating concerns with the methodology of the study on the proxy site and </w:t>
      </w:r>
      <w:r w:rsidR="00761AB2">
        <w:rPr>
          <w:rFonts w:cs="Arial"/>
          <w:lang w:eastAsia="en-CA"/>
        </w:rPr>
        <w:t>on the</w:t>
      </w:r>
      <w:r w:rsidRPr="00D64C77">
        <w:rPr>
          <w:rFonts w:cs="Arial"/>
          <w:lang w:eastAsia="en-CA"/>
        </w:rPr>
        <w:t xml:space="preserve"> anticipated number of patrons moving through the facility</w:t>
      </w:r>
      <w:r w:rsidR="00B202FD">
        <w:rPr>
          <w:rFonts w:cs="Arial"/>
          <w:lang w:eastAsia="en-CA"/>
        </w:rPr>
        <w:t>, the</w:t>
      </w:r>
      <w:r w:rsidRPr="00D64C77">
        <w:rPr>
          <w:rFonts w:cs="Arial"/>
          <w:lang w:eastAsia="en-CA"/>
        </w:rPr>
        <w:t xml:space="preserve"> studies did not reflect the </w:t>
      </w:r>
      <w:r w:rsidRPr="00D64C77">
        <w:rPr>
          <w:rFonts w:cs="Arial"/>
          <w:lang w:eastAsia="en-CA"/>
        </w:rPr>
        <w:lastRenderedPageBreak/>
        <w:t xml:space="preserve">total hours </w:t>
      </w:r>
      <w:r w:rsidR="008C58BF">
        <w:rPr>
          <w:rFonts w:cs="Arial"/>
          <w:lang w:eastAsia="en-CA"/>
        </w:rPr>
        <w:t xml:space="preserve">the </w:t>
      </w:r>
      <w:r w:rsidRPr="00D64C77">
        <w:rPr>
          <w:rFonts w:cs="Arial"/>
          <w:lang w:eastAsia="en-CA"/>
        </w:rPr>
        <w:t>attendees spend on site nor were the numbers reflective of post-COVID counts as the province is not yet at that point.  He also stated his concern with truck loading requirements expressing that there was insufficient evidence that shows the swept path required for trucks to access loading docks at the rear of the property.</w:t>
      </w:r>
    </w:p>
    <w:p w14:paraId="3D114493" w14:textId="77777777" w:rsidR="00641C97" w:rsidRPr="00641C97" w:rsidRDefault="00641C97" w:rsidP="004B722F">
      <w:pPr>
        <w:spacing w:line="360" w:lineRule="auto"/>
        <w:rPr>
          <w:lang w:eastAsia="en-CA"/>
        </w:rPr>
      </w:pPr>
    </w:p>
    <w:p w14:paraId="377F0088" w14:textId="0BB69ACE" w:rsidR="00D64C77" w:rsidRDefault="00D64C77" w:rsidP="004B722F">
      <w:pPr>
        <w:pStyle w:val="DecisionBody"/>
        <w:spacing w:beforeLines="0" w:before="0" w:afterLines="0" w:after="0"/>
        <w:rPr>
          <w:rFonts w:cs="Arial"/>
          <w:lang w:eastAsia="en-CA"/>
        </w:rPr>
      </w:pPr>
      <w:r w:rsidRPr="00D64C77">
        <w:rPr>
          <w:rFonts w:cs="Arial"/>
          <w:lang w:eastAsia="en-CA"/>
        </w:rPr>
        <w:t>As a result, he anticipates that customers are likely to utilize parking facilities that are closer to the go-kart facility's known and advertised entrance facing Eglinton Avenue East where only a small fraction of parking spaces are located; there will be significantly more attendees than what Mr. Pernicky’s study shows and that trucks will have insufficient room to access loading at the rear of the property.</w:t>
      </w:r>
    </w:p>
    <w:p w14:paraId="7F24FF16" w14:textId="77777777" w:rsidR="00641C97" w:rsidRPr="00641C97" w:rsidRDefault="00641C97" w:rsidP="004B722F">
      <w:pPr>
        <w:spacing w:line="360" w:lineRule="auto"/>
        <w:rPr>
          <w:lang w:eastAsia="en-CA"/>
        </w:rPr>
      </w:pPr>
    </w:p>
    <w:p w14:paraId="29A8F3BD" w14:textId="28903925" w:rsidR="00641C97" w:rsidRDefault="00D64C77" w:rsidP="004B722F">
      <w:pPr>
        <w:pStyle w:val="DecisionBody"/>
        <w:spacing w:beforeLines="0" w:before="0" w:afterLines="0" w:after="0"/>
        <w:rPr>
          <w:rFonts w:cs="Arial"/>
          <w:lang w:eastAsia="en-CA"/>
        </w:rPr>
      </w:pPr>
      <w:r w:rsidRPr="00D64C77">
        <w:rPr>
          <w:rFonts w:cs="Arial"/>
          <w:lang w:eastAsia="en-CA"/>
        </w:rPr>
        <w:t>The Tribunal is satisfied that the studies undertaken by Mr. Pernicky</w:t>
      </w:r>
      <w:r w:rsidR="00761AB2">
        <w:rPr>
          <w:rFonts w:cs="Arial"/>
          <w:lang w:eastAsia="en-CA"/>
        </w:rPr>
        <w:t xml:space="preserve">, </w:t>
      </w:r>
      <w:r w:rsidRPr="00D64C77">
        <w:rPr>
          <w:rFonts w:cs="Arial"/>
          <w:lang w:eastAsia="en-CA"/>
        </w:rPr>
        <w:t xml:space="preserve">are reflective of </w:t>
      </w:r>
      <w:r w:rsidR="00B202FD">
        <w:rPr>
          <w:rFonts w:cs="Arial"/>
          <w:lang w:eastAsia="en-CA"/>
        </w:rPr>
        <w:t xml:space="preserve">the </w:t>
      </w:r>
      <w:r w:rsidRPr="00D64C77">
        <w:rPr>
          <w:rFonts w:cs="Arial"/>
          <w:lang w:eastAsia="en-CA"/>
        </w:rPr>
        <w:t>shared parking sufficiency with other tenants on site.  Further, the Tribunal</w:t>
      </w:r>
      <w:r w:rsidR="007D1E82">
        <w:rPr>
          <w:rFonts w:cs="Arial"/>
          <w:lang w:eastAsia="en-CA"/>
        </w:rPr>
        <w:t>,</w:t>
      </w:r>
      <w:r w:rsidRPr="00D64C77">
        <w:rPr>
          <w:rFonts w:cs="Arial"/>
          <w:lang w:eastAsia="en-CA"/>
        </w:rPr>
        <w:t xml:space="preserve"> through the evidence presented, understands there will be peak period usage due to the nature of the business.  Through the use of parking designated markings to ensure accurate parking space indication and signage as per the Order below, the Tribunal is satisfied that there will be sufficient spaces to accommodate the proposed use of the site.  Through introduction and enhancement in lighting on the site</w:t>
      </w:r>
      <w:r w:rsidR="007D1E82">
        <w:rPr>
          <w:rFonts w:cs="Arial"/>
          <w:lang w:eastAsia="en-CA"/>
        </w:rPr>
        <w:t>,</w:t>
      </w:r>
      <w:r w:rsidRPr="00D64C77">
        <w:rPr>
          <w:rFonts w:cs="Arial"/>
          <w:lang w:eastAsia="en-CA"/>
        </w:rPr>
        <w:t xml:space="preserve"> as suggested by both Parties (as per the Order), traffic movement for patrons locating parking will be safer and readily visible.</w:t>
      </w:r>
    </w:p>
    <w:p w14:paraId="206A9B1B" w14:textId="77777777" w:rsidR="00641C97" w:rsidRPr="00641C97" w:rsidRDefault="00641C97" w:rsidP="004B722F">
      <w:pPr>
        <w:spacing w:line="360" w:lineRule="auto"/>
        <w:rPr>
          <w:lang w:eastAsia="en-CA"/>
        </w:rPr>
      </w:pPr>
    </w:p>
    <w:p w14:paraId="3A963214" w14:textId="440577C2" w:rsidR="00D64C77" w:rsidRPr="00641C97" w:rsidRDefault="00D64C77" w:rsidP="004B722F">
      <w:pPr>
        <w:pStyle w:val="DecisionBody"/>
        <w:numPr>
          <w:ilvl w:val="0"/>
          <w:numId w:val="0"/>
        </w:numPr>
        <w:spacing w:beforeLines="0" w:before="0" w:afterLines="0" w:after="0"/>
        <w:rPr>
          <w:rFonts w:cs="Arial"/>
        </w:rPr>
      </w:pPr>
      <w:r w:rsidRPr="00D64C77">
        <w:rPr>
          <w:rFonts w:cs="Arial"/>
          <w:b/>
          <w:bCs w:val="0"/>
          <w:color w:val="000000"/>
        </w:rPr>
        <w:t xml:space="preserve">Is the proposal desirable for the appropriate development of the subject lands and minor in nature? </w:t>
      </w:r>
    </w:p>
    <w:p w14:paraId="20D03568" w14:textId="77777777" w:rsidR="00641C97" w:rsidRPr="00641C97" w:rsidRDefault="00641C97" w:rsidP="004B722F">
      <w:pPr>
        <w:spacing w:line="360" w:lineRule="auto"/>
      </w:pPr>
    </w:p>
    <w:p w14:paraId="2F0BECC7" w14:textId="4798F922" w:rsidR="00D64C77" w:rsidRDefault="00D64C77" w:rsidP="004B722F">
      <w:pPr>
        <w:pStyle w:val="DecisionBody"/>
        <w:spacing w:beforeLines="0" w:before="0" w:afterLines="0" w:after="0"/>
        <w:rPr>
          <w:rFonts w:cs="Arial"/>
        </w:rPr>
      </w:pPr>
      <w:r w:rsidRPr="00D64C77">
        <w:rPr>
          <w:rFonts w:cs="Arial"/>
        </w:rPr>
        <w:t xml:space="preserve">Based on a survey of the entire site, Planning Staff were of the opinion that there is sufficient parking to accommodate all five buildings on site. As such, the </w:t>
      </w:r>
      <w:r w:rsidR="007D1E82">
        <w:rPr>
          <w:rFonts w:cs="Arial"/>
        </w:rPr>
        <w:t>V</w:t>
      </w:r>
      <w:r w:rsidRPr="00D64C77">
        <w:rPr>
          <w:rFonts w:cs="Arial"/>
        </w:rPr>
        <w:t>ariance represents the orderly development of the lands, and is minor in nature.</w:t>
      </w:r>
    </w:p>
    <w:p w14:paraId="2E605C8A" w14:textId="77777777" w:rsidR="00641C97" w:rsidRPr="00D64C77" w:rsidRDefault="00641C97" w:rsidP="004B722F">
      <w:pPr>
        <w:pStyle w:val="DecisionBody"/>
        <w:numPr>
          <w:ilvl w:val="0"/>
          <w:numId w:val="0"/>
        </w:numPr>
        <w:spacing w:beforeLines="0" w:before="0" w:afterLines="0" w:after="0"/>
        <w:rPr>
          <w:rFonts w:cs="Arial"/>
        </w:rPr>
      </w:pPr>
    </w:p>
    <w:p w14:paraId="77875B04" w14:textId="529A6684" w:rsidR="00D64C77" w:rsidRDefault="00D64C77" w:rsidP="004B722F">
      <w:pPr>
        <w:pStyle w:val="DecisionBody"/>
        <w:widowControl/>
        <w:spacing w:beforeLines="0" w:before="0" w:afterLines="0" w:after="0"/>
        <w:rPr>
          <w:rFonts w:cs="Arial"/>
        </w:rPr>
      </w:pPr>
      <w:r w:rsidRPr="00D64C77">
        <w:rPr>
          <w:rFonts w:cs="Arial"/>
          <w:lang w:eastAsia="en-CA"/>
        </w:rPr>
        <w:t>Mr. McKay recognized, there is a need to balance the amount of parking provided at the Subject Property so that</w:t>
      </w:r>
      <w:r w:rsidRPr="00D64C77">
        <w:rPr>
          <w:rFonts w:cs="Arial"/>
        </w:rPr>
        <w:t xml:space="preserve"> </w:t>
      </w:r>
      <w:r w:rsidRPr="00D64C77">
        <w:rPr>
          <w:rFonts w:cs="Arial"/>
          <w:lang w:eastAsia="en-CA"/>
        </w:rPr>
        <w:t xml:space="preserve">an oversupply of parking is not provided nor is an undersupply of parking provided. Mr. McKay opined that the </w:t>
      </w:r>
      <w:r w:rsidR="007D1E82">
        <w:rPr>
          <w:rFonts w:cs="Arial"/>
          <w:lang w:eastAsia="en-CA"/>
        </w:rPr>
        <w:t>V</w:t>
      </w:r>
      <w:r w:rsidRPr="00D64C77">
        <w:rPr>
          <w:rFonts w:cs="Arial"/>
          <w:lang w:eastAsia="en-CA"/>
        </w:rPr>
        <w:t xml:space="preserve">ariance should be </w:t>
      </w:r>
      <w:r w:rsidRPr="00D64C77">
        <w:rPr>
          <w:rFonts w:cs="Arial"/>
          <w:lang w:eastAsia="en-CA"/>
        </w:rPr>
        <w:lastRenderedPageBreak/>
        <w:t>approved because he believes there will not be an undersupply of parking based on Mr. Pernicky’s evidence included in his parking justification report.</w:t>
      </w:r>
    </w:p>
    <w:p w14:paraId="22ADC13E" w14:textId="77777777" w:rsidR="00641C97" w:rsidRPr="00641C97" w:rsidRDefault="00641C97" w:rsidP="004B722F">
      <w:pPr>
        <w:spacing w:line="360" w:lineRule="auto"/>
      </w:pPr>
    </w:p>
    <w:p w14:paraId="1EBBA8A8" w14:textId="35314DDF" w:rsidR="00D64C77" w:rsidRDefault="00D64C77" w:rsidP="004B722F">
      <w:pPr>
        <w:pStyle w:val="DecisionBody"/>
        <w:spacing w:beforeLines="0" w:before="0" w:afterLines="0" w:after="0"/>
        <w:rPr>
          <w:rFonts w:cs="Arial"/>
        </w:rPr>
      </w:pPr>
      <w:r w:rsidRPr="00D64C77">
        <w:rPr>
          <w:rFonts w:cs="Arial"/>
        </w:rPr>
        <w:t>Mr. Pernicky</w:t>
      </w:r>
      <w:r w:rsidR="007D1E82">
        <w:rPr>
          <w:rFonts w:cs="Arial"/>
        </w:rPr>
        <w:t>,</w:t>
      </w:r>
      <w:r w:rsidRPr="00D64C77">
        <w:rPr>
          <w:rFonts w:cs="Arial"/>
        </w:rPr>
        <w:t xml:space="preserve"> through the surveys undertaken in accordance with the City’s Parking Guidelines</w:t>
      </w:r>
      <w:r w:rsidR="007D1E82">
        <w:rPr>
          <w:rFonts w:cs="Arial"/>
        </w:rPr>
        <w:t>,</w:t>
      </w:r>
      <w:r w:rsidRPr="00D64C77">
        <w:rPr>
          <w:rFonts w:cs="Arial"/>
        </w:rPr>
        <w:t xml:space="preserve"> opined that there will be sufficient parking to accommodate all uses on site including peak hour and Friday/Saturday demands.</w:t>
      </w:r>
    </w:p>
    <w:p w14:paraId="082C8048" w14:textId="77777777" w:rsidR="00641C97" w:rsidRPr="00641C97" w:rsidRDefault="00641C97" w:rsidP="004B722F">
      <w:pPr>
        <w:spacing w:line="360" w:lineRule="auto"/>
      </w:pPr>
    </w:p>
    <w:p w14:paraId="204206C8" w14:textId="009809E7" w:rsidR="00D64C77" w:rsidRDefault="00D64C77" w:rsidP="004B722F">
      <w:pPr>
        <w:pStyle w:val="DecisionBody"/>
        <w:spacing w:beforeLines="0" w:before="0" w:afterLines="0" w:after="0"/>
        <w:rPr>
          <w:rFonts w:cs="Arial"/>
        </w:rPr>
      </w:pPr>
      <w:r w:rsidRPr="00D64C77">
        <w:rPr>
          <w:rFonts w:cs="Arial"/>
        </w:rPr>
        <w:t xml:space="preserve">Mr. Pernicky recognized that the lack of signage could be a true </w:t>
      </w:r>
      <w:r w:rsidRPr="00D64C77">
        <w:rPr>
          <w:rFonts w:cs="Arial"/>
          <w:color w:val="000000"/>
        </w:rPr>
        <w:t xml:space="preserve">source of driver confusion when entering the shared driveway. </w:t>
      </w:r>
      <w:r w:rsidRPr="00D64C77">
        <w:rPr>
          <w:rFonts w:cs="Arial"/>
          <w:lang w:eastAsia="en-CA"/>
        </w:rPr>
        <w:t>In response to Prombank</w:t>
      </w:r>
      <w:r w:rsidR="007D1E82">
        <w:rPr>
          <w:rFonts w:cs="Arial"/>
          <w:lang w:eastAsia="en-CA"/>
        </w:rPr>
        <w:t>’s</w:t>
      </w:r>
      <w:r w:rsidRPr="00D64C77">
        <w:rPr>
          <w:rFonts w:cs="Arial"/>
          <w:lang w:eastAsia="en-CA"/>
        </w:rPr>
        <w:t xml:space="preserve"> concerns, in his Parking Study Addendum, Mr. Pernicky created a signage plan to direct K1 customers onto the Site (Ex</w:t>
      </w:r>
      <w:r w:rsidR="007D1E82">
        <w:rPr>
          <w:rFonts w:cs="Arial"/>
          <w:lang w:eastAsia="en-CA"/>
        </w:rPr>
        <w:t>.</w:t>
      </w:r>
      <w:r w:rsidRPr="00D64C77">
        <w:rPr>
          <w:rFonts w:cs="Arial"/>
          <w:lang w:eastAsia="en-CA"/>
        </w:rPr>
        <w:t xml:space="preserve"> 1, Tab 36) (the “Signage Plan”).</w:t>
      </w:r>
    </w:p>
    <w:p w14:paraId="701AECBA" w14:textId="77777777" w:rsidR="00641C97" w:rsidRPr="00641C97" w:rsidRDefault="00641C97" w:rsidP="004B722F">
      <w:pPr>
        <w:spacing w:line="360" w:lineRule="auto"/>
      </w:pPr>
    </w:p>
    <w:p w14:paraId="200AE0A7" w14:textId="2AE89F53" w:rsidR="00D64C77" w:rsidRDefault="00D64C77" w:rsidP="004B722F">
      <w:pPr>
        <w:pStyle w:val="DecisionBody"/>
        <w:spacing w:beforeLines="0" w:before="0" w:afterLines="0" w:after="0"/>
        <w:rPr>
          <w:rFonts w:cs="Arial"/>
        </w:rPr>
      </w:pPr>
      <w:r w:rsidRPr="00D64C77">
        <w:rPr>
          <w:rFonts w:cs="Arial"/>
          <w:lang w:eastAsia="en-CA"/>
        </w:rPr>
        <w:t>He o</w:t>
      </w:r>
      <w:r w:rsidR="00F3276A">
        <w:rPr>
          <w:rFonts w:cs="Arial"/>
          <w:lang w:eastAsia="en-CA"/>
        </w:rPr>
        <w:t>pi</w:t>
      </w:r>
      <w:r w:rsidRPr="00D64C77">
        <w:rPr>
          <w:rFonts w:cs="Arial"/>
          <w:lang w:eastAsia="en-CA"/>
        </w:rPr>
        <w:t>ned</w:t>
      </w:r>
      <w:r w:rsidR="00F3276A">
        <w:rPr>
          <w:rFonts w:cs="Arial"/>
          <w:lang w:eastAsia="en-CA"/>
        </w:rPr>
        <w:t xml:space="preserve"> that</w:t>
      </w:r>
      <w:r w:rsidRPr="00D64C77">
        <w:rPr>
          <w:rFonts w:cs="Arial"/>
          <w:lang w:eastAsia="en-CA"/>
        </w:rPr>
        <w:t xml:space="preserve"> based on the advice of K1, 50% of customers are repeat customers so they will become accustomed to where the parking spaces are located. Nonetheless, it was his view that signage will direct and educate newer customers that there is parking at the rear of the building.</w:t>
      </w:r>
    </w:p>
    <w:p w14:paraId="6B5ADFD5" w14:textId="77777777" w:rsidR="00641C97" w:rsidRPr="00641C97" w:rsidRDefault="00641C97" w:rsidP="004B722F">
      <w:pPr>
        <w:spacing w:line="360" w:lineRule="auto"/>
      </w:pPr>
    </w:p>
    <w:p w14:paraId="5C5930C5" w14:textId="094FE3B1" w:rsidR="00D64C77" w:rsidRDefault="00D64C77" w:rsidP="004B722F">
      <w:pPr>
        <w:pStyle w:val="DecisionBody"/>
        <w:spacing w:beforeLines="0" w:before="0" w:afterLines="0" w:after="0"/>
        <w:rPr>
          <w:rFonts w:cs="Arial"/>
        </w:rPr>
      </w:pPr>
      <w:r w:rsidRPr="00D64C77">
        <w:rPr>
          <w:rFonts w:cs="Arial"/>
          <w:lang w:eastAsia="en-CA"/>
        </w:rPr>
        <w:t xml:space="preserve">Mr. Pernicky stated that </w:t>
      </w:r>
      <w:r w:rsidR="00F3276A">
        <w:rPr>
          <w:rFonts w:cs="Arial"/>
          <w:lang w:eastAsia="en-CA"/>
        </w:rPr>
        <w:t xml:space="preserve">increased and sized </w:t>
      </w:r>
      <w:r w:rsidRPr="00D64C77">
        <w:rPr>
          <w:rFonts w:cs="Arial"/>
          <w:lang w:eastAsia="en-CA"/>
        </w:rPr>
        <w:t xml:space="preserve">signage would be </w:t>
      </w:r>
      <w:r w:rsidR="007D1E82">
        <w:rPr>
          <w:rFonts w:cs="Arial"/>
          <w:lang w:eastAsia="en-CA"/>
        </w:rPr>
        <w:t xml:space="preserve">an </w:t>
      </w:r>
      <w:r w:rsidRPr="00D64C77">
        <w:rPr>
          <w:rFonts w:cs="Arial"/>
          <w:lang w:eastAsia="en-CA"/>
        </w:rPr>
        <w:t xml:space="preserve">appropriate condition to the </w:t>
      </w:r>
      <w:r w:rsidR="007D1E82">
        <w:rPr>
          <w:rFonts w:cs="Arial"/>
          <w:lang w:eastAsia="en-CA"/>
        </w:rPr>
        <w:t>V</w:t>
      </w:r>
      <w:r w:rsidRPr="00D64C77">
        <w:rPr>
          <w:rFonts w:cs="Arial"/>
          <w:lang w:eastAsia="en-CA"/>
        </w:rPr>
        <w:t>ariance.</w:t>
      </w:r>
    </w:p>
    <w:p w14:paraId="01E5000B" w14:textId="77777777" w:rsidR="00641C97" w:rsidRPr="00641C97" w:rsidRDefault="00641C97" w:rsidP="004B722F">
      <w:pPr>
        <w:spacing w:line="360" w:lineRule="auto"/>
      </w:pPr>
    </w:p>
    <w:p w14:paraId="119D2A31" w14:textId="541351B9" w:rsidR="00641C97" w:rsidRDefault="00D64C77" w:rsidP="004B722F">
      <w:pPr>
        <w:pStyle w:val="DecisionBody"/>
        <w:spacing w:beforeLines="0" w:before="0" w:afterLines="0" w:after="0"/>
        <w:rPr>
          <w:rFonts w:cs="Arial"/>
          <w:lang w:eastAsia="en-CA"/>
        </w:rPr>
      </w:pPr>
      <w:r w:rsidRPr="00D64C77">
        <w:rPr>
          <w:rFonts w:cs="Arial"/>
          <w:lang w:eastAsia="en-CA"/>
        </w:rPr>
        <w:t>In contrast, Mr. Tedesco stated the Application is not minor in nature</w:t>
      </w:r>
      <w:r w:rsidR="00F3276A">
        <w:rPr>
          <w:rFonts w:cs="Arial"/>
          <w:lang w:eastAsia="en-CA"/>
        </w:rPr>
        <w:t xml:space="preserve"> and that </w:t>
      </w:r>
      <w:r w:rsidRPr="00D64C77">
        <w:rPr>
          <w:rFonts w:cs="Arial"/>
          <w:lang w:eastAsia="en-CA"/>
        </w:rPr>
        <w:t>Prombank and its tenants will be significantly impacted by a proliferation of unauthorized parking and trespass onto the</w:t>
      </w:r>
      <w:r w:rsidR="00F3276A">
        <w:rPr>
          <w:rFonts w:cs="Arial"/>
          <w:lang w:eastAsia="en-CA"/>
        </w:rPr>
        <w:t>ir</w:t>
      </w:r>
      <w:r w:rsidRPr="00D64C77">
        <w:rPr>
          <w:rFonts w:cs="Arial"/>
          <w:lang w:eastAsia="en-CA"/>
        </w:rPr>
        <w:t xml:space="preserve"> Adjacent Lands.</w:t>
      </w:r>
    </w:p>
    <w:p w14:paraId="074FB154" w14:textId="77777777" w:rsidR="00641C97" w:rsidRPr="00641C97" w:rsidRDefault="00641C97" w:rsidP="004B722F">
      <w:pPr>
        <w:pStyle w:val="DecisionBody"/>
        <w:numPr>
          <w:ilvl w:val="0"/>
          <w:numId w:val="0"/>
        </w:numPr>
        <w:spacing w:beforeLines="0" w:before="0" w:afterLines="0" w:after="0"/>
        <w:rPr>
          <w:rFonts w:cs="Arial"/>
          <w:lang w:eastAsia="en-CA"/>
        </w:rPr>
      </w:pPr>
    </w:p>
    <w:p w14:paraId="6CDD438E" w14:textId="7288DE14" w:rsidR="00D64C77" w:rsidRPr="00D64C77" w:rsidRDefault="00D64C77" w:rsidP="004B722F">
      <w:pPr>
        <w:pStyle w:val="DecisionBody"/>
        <w:widowControl/>
        <w:spacing w:beforeLines="0" w:before="0" w:afterLines="0" w:after="0"/>
        <w:rPr>
          <w:rFonts w:cs="Arial"/>
          <w:lang w:eastAsia="en-CA"/>
        </w:rPr>
      </w:pPr>
      <w:r w:rsidRPr="00D64C77">
        <w:rPr>
          <w:rFonts w:cs="Arial"/>
          <w:lang w:eastAsia="en-CA"/>
        </w:rPr>
        <w:t>In his opinion, other impacts Prombank could encounter would be significant expense to ensure that customers of the Go-Kart Facility do not trespass onto the Adjacent Lands; have to constantly monitor and seek removal of unauthorized vehicles on the Adjacent Lands; experience more frequent "wear and tear" of its facilities; face complaints from its tenants regarding unauthorized parking</w:t>
      </w:r>
      <w:r w:rsidR="007D1E82">
        <w:rPr>
          <w:rFonts w:cs="Arial"/>
          <w:lang w:eastAsia="en-CA"/>
        </w:rPr>
        <w:t>,</w:t>
      </w:r>
      <w:r w:rsidRPr="00D64C77">
        <w:rPr>
          <w:rFonts w:cs="Arial"/>
          <w:lang w:eastAsia="en-CA"/>
        </w:rPr>
        <w:t xml:space="preserve"> which could result in vacancies; and be subject to liability concerns relating to unauthorized visitors on the Adjacent Lands.</w:t>
      </w:r>
    </w:p>
    <w:p w14:paraId="7F759B7D" w14:textId="232ED18D" w:rsidR="00D64C77" w:rsidRPr="00F3276A" w:rsidRDefault="00D64C77" w:rsidP="004B722F">
      <w:pPr>
        <w:pStyle w:val="DecisionBody"/>
        <w:numPr>
          <w:ilvl w:val="0"/>
          <w:numId w:val="0"/>
        </w:numPr>
        <w:spacing w:beforeLines="0" w:before="0" w:afterLines="0" w:after="0"/>
        <w:rPr>
          <w:rFonts w:cs="Arial"/>
          <w:b/>
          <w:bCs w:val="0"/>
          <w:lang w:eastAsia="en-CA"/>
        </w:rPr>
      </w:pPr>
      <w:r w:rsidRPr="00F3276A">
        <w:rPr>
          <w:rFonts w:cs="Arial"/>
          <w:b/>
          <w:bCs w:val="0"/>
          <w:lang w:eastAsia="en-CA"/>
        </w:rPr>
        <w:lastRenderedPageBreak/>
        <w:t>Desirability</w:t>
      </w:r>
    </w:p>
    <w:p w14:paraId="6D279D0B" w14:textId="77777777" w:rsidR="00641C97" w:rsidRDefault="00641C97" w:rsidP="004B722F">
      <w:pPr>
        <w:pStyle w:val="DecisionBody"/>
        <w:numPr>
          <w:ilvl w:val="0"/>
          <w:numId w:val="0"/>
        </w:numPr>
        <w:spacing w:beforeLines="0" w:before="0" w:afterLines="0" w:after="0"/>
        <w:rPr>
          <w:rFonts w:cs="Arial"/>
          <w:lang w:eastAsia="en-CA"/>
        </w:rPr>
      </w:pPr>
    </w:p>
    <w:p w14:paraId="5DDB02D2" w14:textId="04331AA6" w:rsidR="00D64C77" w:rsidRPr="00D64C77" w:rsidRDefault="00D64C77" w:rsidP="004B722F">
      <w:pPr>
        <w:pStyle w:val="DecisionBody"/>
        <w:spacing w:beforeLines="0" w:before="0" w:afterLines="0" w:after="0"/>
        <w:rPr>
          <w:rFonts w:cs="Arial"/>
          <w:lang w:eastAsia="en-CA"/>
        </w:rPr>
      </w:pPr>
      <w:r w:rsidRPr="00D64C77">
        <w:rPr>
          <w:rFonts w:cs="Arial"/>
          <w:lang w:eastAsia="en-CA"/>
        </w:rPr>
        <w:t xml:space="preserve">It was Mr. Tedesco’s opinion that the </w:t>
      </w:r>
      <w:r w:rsidR="007D1E82">
        <w:rPr>
          <w:rFonts w:cs="Arial"/>
          <w:lang w:eastAsia="en-CA"/>
        </w:rPr>
        <w:t>A</w:t>
      </w:r>
      <w:r w:rsidRPr="00D64C77">
        <w:rPr>
          <w:rFonts w:cs="Arial"/>
          <w:lang w:eastAsia="en-CA"/>
        </w:rPr>
        <w:t xml:space="preserve">pplication is not desirable for the appropriate development or use of the Subject Lands. It will contribute to a non-orderly configuration of parking that will entice visitors to park outside the boundaries of the Subject Lands. </w:t>
      </w:r>
    </w:p>
    <w:p w14:paraId="25230833" w14:textId="77777777" w:rsidR="00641C97" w:rsidRDefault="00641C97" w:rsidP="004B722F">
      <w:pPr>
        <w:pStyle w:val="DecisionBody"/>
        <w:numPr>
          <w:ilvl w:val="0"/>
          <w:numId w:val="0"/>
        </w:numPr>
        <w:spacing w:beforeLines="0" w:before="0" w:afterLines="0" w:after="0"/>
        <w:rPr>
          <w:rFonts w:cs="Arial"/>
          <w:lang w:eastAsia="en-CA"/>
        </w:rPr>
      </w:pPr>
    </w:p>
    <w:p w14:paraId="3608083C" w14:textId="3792101F" w:rsidR="00D64C77" w:rsidRDefault="00D64C77" w:rsidP="004B722F">
      <w:pPr>
        <w:pStyle w:val="DecisionBody"/>
        <w:spacing w:beforeLines="0" w:before="0" w:afterLines="0" w:after="0"/>
        <w:rPr>
          <w:rFonts w:cs="Arial"/>
          <w:lang w:eastAsia="en-CA"/>
        </w:rPr>
      </w:pPr>
      <w:r w:rsidRPr="00D64C77">
        <w:rPr>
          <w:rFonts w:cs="Arial"/>
          <w:lang w:eastAsia="en-CA"/>
        </w:rPr>
        <w:t xml:space="preserve">He noted that many of the parking spaces currently in front of the go-kart facility are often occupied by customers and staff of the adjacent tenant on the subject lands, further increasing demand on the Prombank Lands. Without appropriate mitigation, this will cause spillover effects as K1 patrons will choose to park on the Prombank </w:t>
      </w:r>
      <w:r w:rsidR="007D1E82">
        <w:rPr>
          <w:rFonts w:cs="Arial"/>
          <w:lang w:eastAsia="en-CA"/>
        </w:rPr>
        <w:t>L</w:t>
      </w:r>
      <w:r w:rsidRPr="00D64C77">
        <w:rPr>
          <w:rFonts w:cs="Arial"/>
          <w:lang w:eastAsia="en-CA"/>
        </w:rPr>
        <w:t>ands as opposed to the rear and certain parts of the side of Building “D”. These spillover effects will adversely impact the Prombank Lands.</w:t>
      </w:r>
    </w:p>
    <w:p w14:paraId="0E3756D8" w14:textId="77777777" w:rsidR="007D1E82" w:rsidRPr="007D1E82" w:rsidRDefault="007D1E82" w:rsidP="004B722F">
      <w:pPr>
        <w:spacing w:line="360" w:lineRule="auto"/>
        <w:ind w:left="720"/>
        <w:rPr>
          <w:lang w:eastAsia="en-CA"/>
        </w:rPr>
      </w:pPr>
    </w:p>
    <w:p w14:paraId="6D30A662" w14:textId="7981497A" w:rsidR="00D64C77" w:rsidRDefault="00D64C77" w:rsidP="004B722F">
      <w:pPr>
        <w:pStyle w:val="DecisionBody"/>
        <w:spacing w:beforeLines="0" w:before="0" w:afterLines="0" w:after="0"/>
        <w:rPr>
          <w:rFonts w:cs="Arial"/>
          <w:lang w:eastAsia="en-CA"/>
        </w:rPr>
      </w:pPr>
      <w:r w:rsidRPr="00D64C77">
        <w:rPr>
          <w:rFonts w:cs="Arial"/>
          <w:lang w:eastAsia="en-CA"/>
        </w:rPr>
        <w:t xml:space="preserve">The City and </w:t>
      </w:r>
      <w:r w:rsidR="00FF6C26">
        <w:rPr>
          <w:rFonts w:cs="Arial"/>
          <w:lang w:eastAsia="en-CA"/>
        </w:rPr>
        <w:t xml:space="preserve">the </w:t>
      </w:r>
      <w:r w:rsidRPr="00D64C77">
        <w:rPr>
          <w:rFonts w:cs="Arial"/>
          <w:lang w:eastAsia="en-CA"/>
        </w:rPr>
        <w:t xml:space="preserve">Applicant both agree the use of the building for the purpose of the go karting facility is desirable as a recreational use with the parking </w:t>
      </w:r>
      <w:r w:rsidR="007D1E82">
        <w:rPr>
          <w:rFonts w:cs="Arial"/>
          <w:lang w:eastAsia="en-CA"/>
        </w:rPr>
        <w:t>V</w:t>
      </w:r>
      <w:r w:rsidRPr="00D64C77">
        <w:rPr>
          <w:rFonts w:cs="Arial"/>
          <w:lang w:eastAsia="en-CA"/>
        </w:rPr>
        <w:t>ariance being minor in nature.</w:t>
      </w:r>
    </w:p>
    <w:p w14:paraId="7C3CE712" w14:textId="77777777" w:rsidR="00641C97" w:rsidRPr="00D64C77" w:rsidRDefault="00641C97" w:rsidP="004B722F">
      <w:pPr>
        <w:pStyle w:val="DecisionBody"/>
        <w:numPr>
          <w:ilvl w:val="0"/>
          <w:numId w:val="0"/>
        </w:numPr>
        <w:spacing w:beforeLines="0" w:before="0" w:afterLines="0" w:after="0"/>
        <w:rPr>
          <w:rFonts w:cs="Arial"/>
          <w:lang w:eastAsia="en-CA"/>
        </w:rPr>
      </w:pPr>
    </w:p>
    <w:p w14:paraId="696DD221" w14:textId="77777777" w:rsidR="004B722F" w:rsidRDefault="00D64C77" w:rsidP="004B722F">
      <w:pPr>
        <w:pStyle w:val="DecisionBody"/>
        <w:spacing w:beforeLines="0" w:before="0" w:afterLines="0" w:after="0"/>
        <w:rPr>
          <w:rFonts w:cs="Arial"/>
          <w:lang w:eastAsia="en-CA"/>
        </w:rPr>
      </w:pPr>
      <w:r w:rsidRPr="00D64C77">
        <w:rPr>
          <w:rFonts w:cs="Arial"/>
          <w:lang w:eastAsia="en-CA"/>
        </w:rPr>
        <w:t>The Tribunal is satisfied that the proposed use is appropriate for the building and</w:t>
      </w:r>
      <w:r w:rsidR="00FF6C26">
        <w:rPr>
          <w:rFonts w:cs="Arial"/>
          <w:lang w:eastAsia="en-CA"/>
        </w:rPr>
        <w:t xml:space="preserve"> is</w:t>
      </w:r>
      <w:r w:rsidRPr="00D64C77">
        <w:rPr>
          <w:rFonts w:cs="Arial"/>
          <w:lang w:eastAsia="en-CA"/>
        </w:rPr>
        <w:t xml:space="preserve"> in a desirable location that is serviced by transit and facilitated with parking.  With both Parties agreeable to enhanced signage and lighting</w:t>
      </w:r>
      <w:r w:rsidR="00FF6C26">
        <w:rPr>
          <w:rFonts w:cs="Arial"/>
          <w:lang w:eastAsia="en-CA"/>
        </w:rPr>
        <w:t>,</w:t>
      </w:r>
      <w:r w:rsidRPr="00D64C77">
        <w:rPr>
          <w:rFonts w:cs="Arial"/>
          <w:lang w:eastAsia="en-CA"/>
        </w:rPr>
        <w:t xml:space="preserve"> </w:t>
      </w:r>
      <w:r w:rsidR="00F3276A">
        <w:rPr>
          <w:rFonts w:cs="Arial"/>
          <w:lang w:eastAsia="en-CA"/>
        </w:rPr>
        <w:t xml:space="preserve">to </w:t>
      </w:r>
      <w:r w:rsidR="00F3276A" w:rsidRPr="00D64C77">
        <w:rPr>
          <w:rFonts w:cs="Arial"/>
          <w:lang w:eastAsia="en-CA"/>
        </w:rPr>
        <w:t>encourag</w:t>
      </w:r>
      <w:r w:rsidR="00F3276A">
        <w:rPr>
          <w:rFonts w:cs="Arial"/>
          <w:lang w:eastAsia="en-CA"/>
        </w:rPr>
        <w:t>e</w:t>
      </w:r>
      <w:r w:rsidR="00F3276A" w:rsidRPr="00D64C77">
        <w:rPr>
          <w:rFonts w:cs="Arial"/>
          <w:lang w:eastAsia="en-CA"/>
        </w:rPr>
        <w:t xml:space="preserve"> </w:t>
      </w:r>
      <w:r w:rsidRPr="00D64C77">
        <w:rPr>
          <w:rFonts w:cs="Arial"/>
          <w:lang w:eastAsia="en-CA"/>
        </w:rPr>
        <w:t>patrons to park in the identified, designated areas, the Tribunal is satisfied that the relief sought is minor in nature.</w:t>
      </w:r>
    </w:p>
    <w:p w14:paraId="35233A9E" w14:textId="238C9831" w:rsidR="004B722F" w:rsidRDefault="004B722F" w:rsidP="004B722F">
      <w:pPr>
        <w:pStyle w:val="ListParagraph"/>
        <w:numPr>
          <w:ilvl w:val="0"/>
          <w:numId w:val="0"/>
        </w:numPr>
        <w:ind w:left="1260"/>
        <w:rPr>
          <w:rFonts w:cs="Arial"/>
          <w:color w:val="000000"/>
        </w:rPr>
      </w:pPr>
    </w:p>
    <w:p w14:paraId="63B74CA4" w14:textId="318252DD" w:rsidR="004B722F" w:rsidRPr="004B722F" w:rsidRDefault="004B722F" w:rsidP="004B722F">
      <w:pPr>
        <w:pStyle w:val="DecisionBody"/>
        <w:keepNext/>
        <w:keepLines/>
        <w:numPr>
          <w:ilvl w:val="0"/>
          <w:numId w:val="0"/>
        </w:numPr>
        <w:tabs>
          <w:tab w:val="left" w:pos="1668"/>
        </w:tabs>
        <w:spacing w:beforeLines="0" w:before="0" w:afterLines="0" w:after="0"/>
        <w:rPr>
          <w:rFonts w:cs="Arial"/>
          <w:b/>
          <w:bCs w:val="0"/>
          <w:color w:val="000000"/>
        </w:rPr>
      </w:pPr>
      <w:r w:rsidRPr="00D64C77">
        <w:rPr>
          <w:rFonts w:cs="Arial"/>
          <w:b/>
          <w:bCs w:val="0"/>
          <w:color w:val="000000"/>
        </w:rPr>
        <w:t>ANALYSIS AND DECISION</w:t>
      </w:r>
    </w:p>
    <w:p w14:paraId="592F0DA4" w14:textId="77777777" w:rsidR="004B722F" w:rsidRPr="004B722F" w:rsidRDefault="004B722F" w:rsidP="004B722F">
      <w:pPr>
        <w:spacing w:line="360" w:lineRule="auto"/>
        <w:rPr>
          <w:rFonts w:cs="Arial"/>
          <w:color w:val="000000"/>
        </w:rPr>
      </w:pPr>
    </w:p>
    <w:p w14:paraId="36C1497F" w14:textId="66E4788B" w:rsidR="00F3276A" w:rsidRPr="004B722F" w:rsidRDefault="00D64C77" w:rsidP="004B722F">
      <w:pPr>
        <w:pStyle w:val="DecisionBody"/>
        <w:spacing w:beforeLines="0" w:before="0" w:afterLines="0" w:after="0"/>
        <w:rPr>
          <w:rFonts w:cs="Arial"/>
          <w:lang w:eastAsia="en-CA"/>
        </w:rPr>
      </w:pPr>
      <w:r w:rsidRPr="004B722F">
        <w:rPr>
          <w:rFonts w:cs="Arial"/>
          <w:color w:val="000000"/>
        </w:rPr>
        <w:t>The Tribunal prefers the evidence of Mr. Pernicky and Mr. McKay</w:t>
      </w:r>
      <w:r w:rsidR="00F10E2A" w:rsidRPr="004B722F">
        <w:rPr>
          <w:rFonts w:cs="Arial"/>
          <w:color w:val="000000"/>
        </w:rPr>
        <w:t>,</w:t>
      </w:r>
      <w:r w:rsidRPr="004B722F">
        <w:rPr>
          <w:rFonts w:cs="Arial"/>
          <w:color w:val="000000"/>
        </w:rPr>
        <w:t xml:space="preserve"> and finds the requested variance is desirable for the appropriate development or use of the building and land.</w:t>
      </w:r>
    </w:p>
    <w:p w14:paraId="52574B70" w14:textId="77777777" w:rsidR="00F3276A" w:rsidRDefault="00D64C77" w:rsidP="004B722F">
      <w:pPr>
        <w:pStyle w:val="DecisionBody"/>
        <w:keepNext/>
        <w:keepLines/>
        <w:spacing w:beforeLines="0" w:before="0" w:afterLines="0" w:after="0"/>
        <w:rPr>
          <w:rFonts w:cs="Arial"/>
          <w:lang w:eastAsia="en-CA"/>
        </w:rPr>
      </w:pPr>
      <w:r w:rsidRPr="00F3276A">
        <w:rPr>
          <w:rFonts w:cs="Arial"/>
          <w:lang w:eastAsia="en-CA"/>
        </w:rPr>
        <w:lastRenderedPageBreak/>
        <w:t>In the context of the surrounding area, upon examination of the visual</w:t>
      </w:r>
      <w:r w:rsidRPr="00F3276A">
        <w:rPr>
          <w:rFonts w:cs="Arial"/>
        </w:rPr>
        <w:t xml:space="preserve"> </w:t>
      </w:r>
      <w:r w:rsidRPr="00F3276A">
        <w:rPr>
          <w:rFonts w:cs="Arial"/>
          <w:lang w:eastAsia="en-CA"/>
        </w:rPr>
        <w:t xml:space="preserve">evidence, the photos, and drone footage, the Tribunal is persuaded that with the conditions set out through the following Order, the Applicant will have taken appropriate steps to mitigate potential overspill of parking onto the Prombank </w:t>
      </w:r>
      <w:r w:rsidR="007D1E82" w:rsidRPr="00F3276A">
        <w:rPr>
          <w:rFonts w:cs="Arial"/>
          <w:lang w:eastAsia="en-CA"/>
        </w:rPr>
        <w:t>L</w:t>
      </w:r>
      <w:r w:rsidRPr="00F3276A">
        <w:rPr>
          <w:rFonts w:cs="Arial"/>
          <w:lang w:eastAsia="en-CA"/>
        </w:rPr>
        <w:t>ands</w:t>
      </w:r>
      <w:r w:rsidR="00F3276A" w:rsidRPr="00F3276A">
        <w:rPr>
          <w:rFonts w:cs="Arial"/>
          <w:lang w:eastAsia="en-CA"/>
        </w:rPr>
        <w:t>.</w:t>
      </w:r>
    </w:p>
    <w:p w14:paraId="6BAB523A" w14:textId="47D50616" w:rsidR="00641C97" w:rsidRPr="00F3276A" w:rsidRDefault="00F3276A" w:rsidP="004B722F">
      <w:pPr>
        <w:pStyle w:val="DecisionBody"/>
        <w:numPr>
          <w:ilvl w:val="0"/>
          <w:numId w:val="0"/>
        </w:numPr>
        <w:spacing w:beforeLines="0" w:before="0" w:afterLines="0" w:after="0"/>
        <w:rPr>
          <w:rFonts w:cs="Arial"/>
          <w:b/>
          <w:bCs w:val="0"/>
          <w:color w:val="000000"/>
        </w:rPr>
      </w:pPr>
      <w:r w:rsidRPr="00F3276A">
        <w:rPr>
          <w:rFonts w:cs="Arial"/>
          <w:lang w:eastAsia="en-CA"/>
        </w:rPr>
        <w:t xml:space="preserve"> </w:t>
      </w:r>
    </w:p>
    <w:p w14:paraId="06F7B989" w14:textId="267E7222" w:rsidR="00D64C77" w:rsidRDefault="00D64C77" w:rsidP="004B722F">
      <w:pPr>
        <w:pStyle w:val="DecisionBody"/>
        <w:numPr>
          <w:ilvl w:val="0"/>
          <w:numId w:val="0"/>
        </w:numPr>
        <w:spacing w:beforeLines="0" w:before="0" w:afterLines="0" w:after="0"/>
        <w:rPr>
          <w:rFonts w:cs="Arial"/>
          <w:b/>
          <w:bCs w:val="0"/>
          <w:color w:val="000000"/>
        </w:rPr>
      </w:pPr>
      <w:r w:rsidRPr="00D64C77">
        <w:rPr>
          <w:rFonts w:cs="Arial"/>
          <w:b/>
          <w:bCs w:val="0"/>
          <w:color w:val="000000"/>
        </w:rPr>
        <w:t>CONCLUSION</w:t>
      </w:r>
    </w:p>
    <w:p w14:paraId="5BED4DF4" w14:textId="77777777" w:rsidR="00641C97" w:rsidRPr="00D64C77" w:rsidRDefault="00641C97" w:rsidP="004B722F">
      <w:pPr>
        <w:pStyle w:val="DecisionBody"/>
        <w:numPr>
          <w:ilvl w:val="0"/>
          <w:numId w:val="0"/>
        </w:numPr>
        <w:spacing w:beforeLines="0" w:before="0" w:afterLines="0" w:after="0"/>
        <w:rPr>
          <w:rFonts w:cs="Arial"/>
        </w:rPr>
      </w:pPr>
    </w:p>
    <w:p w14:paraId="689562AE" w14:textId="41C7DF43" w:rsidR="00D64C77" w:rsidRPr="00641C97" w:rsidRDefault="00D64C77" w:rsidP="004B722F">
      <w:pPr>
        <w:pStyle w:val="DecisionBody"/>
        <w:widowControl/>
        <w:spacing w:beforeLines="0" w:before="0" w:afterLines="0" w:after="0"/>
        <w:rPr>
          <w:rFonts w:cs="Arial"/>
        </w:rPr>
      </w:pPr>
      <w:r w:rsidRPr="00D64C77">
        <w:rPr>
          <w:rFonts w:cs="Arial"/>
          <w:color w:val="000000"/>
        </w:rPr>
        <w:t xml:space="preserve">The Tribunal finds the requested </w:t>
      </w:r>
      <w:r w:rsidR="007D1E82">
        <w:rPr>
          <w:rFonts w:cs="Arial"/>
          <w:color w:val="000000"/>
        </w:rPr>
        <w:t>V</w:t>
      </w:r>
      <w:r w:rsidRPr="00D64C77">
        <w:rPr>
          <w:rFonts w:cs="Arial"/>
          <w:color w:val="000000"/>
        </w:rPr>
        <w:t xml:space="preserve">ariance, subject to the following conditions, is consistent with the PPS and has regard for matters of Provincial </w:t>
      </w:r>
      <w:r w:rsidR="007D1E82">
        <w:rPr>
          <w:rFonts w:cs="Arial"/>
          <w:color w:val="000000"/>
        </w:rPr>
        <w:t>I</w:t>
      </w:r>
      <w:r w:rsidRPr="00D64C77">
        <w:rPr>
          <w:rFonts w:cs="Arial"/>
          <w:color w:val="000000"/>
        </w:rPr>
        <w:t>nterest, insofar as it seeks to provide for a recreational use in an appropriate transit supportive location</w:t>
      </w:r>
      <w:r w:rsidR="00644D75">
        <w:rPr>
          <w:rFonts w:cs="Arial"/>
          <w:color w:val="000000"/>
        </w:rPr>
        <w:t>,</w:t>
      </w:r>
      <w:r w:rsidRPr="00D64C77">
        <w:rPr>
          <w:rFonts w:cs="Arial"/>
          <w:color w:val="000000"/>
        </w:rPr>
        <w:t xml:space="preserve"> which </w:t>
      </w:r>
      <w:r w:rsidR="00644D75">
        <w:rPr>
          <w:rFonts w:cs="Arial"/>
          <w:color w:val="000000"/>
        </w:rPr>
        <w:t xml:space="preserve">is </w:t>
      </w:r>
      <w:r w:rsidRPr="00D64C77">
        <w:rPr>
          <w:rFonts w:cs="Arial"/>
          <w:color w:val="000000"/>
        </w:rPr>
        <w:t>located on a major arterial road with transit services.</w:t>
      </w:r>
    </w:p>
    <w:p w14:paraId="3D866841" w14:textId="77777777" w:rsidR="00641C97" w:rsidRPr="00D64C77" w:rsidRDefault="00641C97" w:rsidP="004B722F">
      <w:pPr>
        <w:pStyle w:val="DecisionBody"/>
        <w:numPr>
          <w:ilvl w:val="0"/>
          <w:numId w:val="0"/>
        </w:numPr>
        <w:spacing w:beforeLines="0" w:before="0" w:afterLines="0" w:after="0"/>
        <w:rPr>
          <w:rFonts w:cs="Arial"/>
        </w:rPr>
      </w:pPr>
    </w:p>
    <w:p w14:paraId="45F7A9F7" w14:textId="5B6F5FFC" w:rsidR="00D64C77" w:rsidRPr="00D64C77" w:rsidRDefault="00D64C77" w:rsidP="004B722F">
      <w:pPr>
        <w:pStyle w:val="DecisionBody"/>
        <w:widowControl/>
        <w:spacing w:beforeLines="0" w:before="0" w:afterLines="0" w:after="0"/>
        <w:rPr>
          <w:rFonts w:cs="Arial"/>
        </w:rPr>
      </w:pPr>
      <w:r w:rsidRPr="00D64C77">
        <w:rPr>
          <w:rFonts w:cs="Arial"/>
        </w:rPr>
        <w:t>Based on the totality of the evidence, the Tribunal is satisfied that the variance, subject to conditions set out in paragraph [</w:t>
      </w:r>
      <w:r w:rsidR="00B166A9">
        <w:rPr>
          <w:rFonts w:cs="Arial"/>
        </w:rPr>
        <w:t>68</w:t>
      </w:r>
      <w:r w:rsidRPr="00D64C77">
        <w:rPr>
          <w:rFonts w:cs="Arial"/>
        </w:rPr>
        <w:t xml:space="preserve">] and the implementation of the conditions prior to K1 commencing operation, meets the criteria established in s. 45(1) of the </w:t>
      </w:r>
      <w:r w:rsidRPr="00F3276A">
        <w:rPr>
          <w:rFonts w:cs="Arial"/>
        </w:rPr>
        <w:t>Act</w:t>
      </w:r>
      <w:r w:rsidRPr="00D64C77">
        <w:rPr>
          <w:rFonts w:cs="Arial"/>
        </w:rPr>
        <w:t xml:space="preserve">. </w:t>
      </w:r>
    </w:p>
    <w:p w14:paraId="75124AB6" w14:textId="77777777" w:rsidR="00641C97" w:rsidRDefault="00641C97" w:rsidP="004B722F">
      <w:pPr>
        <w:pStyle w:val="DecisionBody"/>
        <w:numPr>
          <w:ilvl w:val="0"/>
          <w:numId w:val="0"/>
        </w:numPr>
        <w:spacing w:beforeLines="0" w:before="0" w:afterLines="0" w:after="0"/>
        <w:rPr>
          <w:rFonts w:cs="Arial"/>
          <w:b/>
          <w:bCs w:val="0"/>
          <w:color w:val="000000"/>
        </w:rPr>
      </w:pPr>
    </w:p>
    <w:p w14:paraId="49405321" w14:textId="59C92565" w:rsidR="00D64C77" w:rsidRDefault="00D64C77" w:rsidP="004B722F">
      <w:pPr>
        <w:pStyle w:val="DecisionBody"/>
        <w:numPr>
          <w:ilvl w:val="0"/>
          <w:numId w:val="0"/>
        </w:numPr>
        <w:spacing w:beforeLines="0" w:before="0" w:afterLines="0" w:after="0"/>
        <w:rPr>
          <w:rFonts w:cs="Arial"/>
          <w:lang w:eastAsia="en-CA"/>
        </w:rPr>
      </w:pPr>
      <w:r w:rsidRPr="00D64C77">
        <w:rPr>
          <w:rFonts w:cs="Arial"/>
          <w:b/>
          <w:bCs w:val="0"/>
          <w:color w:val="000000"/>
        </w:rPr>
        <w:t>ORDER</w:t>
      </w:r>
      <w:r w:rsidRPr="00D64C77">
        <w:rPr>
          <w:rFonts w:cs="Arial"/>
          <w:lang w:eastAsia="en-CA"/>
        </w:rPr>
        <w:t> </w:t>
      </w:r>
    </w:p>
    <w:p w14:paraId="14AC8882" w14:textId="77777777" w:rsidR="00641C97" w:rsidRPr="00D64C77" w:rsidRDefault="00641C97" w:rsidP="004B722F">
      <w:pPr>
        <w:pStyle w:val="DecisionBody"/>
        <w:numPr>
          <w:ilvl w:val="0"/>
          <w:numId w:val="0"/>
        </w:numPr>
        <w:spacing w:beforeLines="0" w:before="0" w:afterLines="0" w:after="0"/>
        <w:rPr>
          <w:rFonts w:cs="Arial"/>
          <w:lang w:eastAsia="en-CA"/>
        </w:rPr>
      </w:pPr>
    </w:p>
    <w:p w14:paraId="7AE5357F" w14:textId="6DAB4E71" w:rsidR="00F10E2A" w:rsidRDefault="00D64C77" w:rsidP="004B722F">
      <w:pPr>
        <w:pStyle w:val="DecisionBody"/>
        <w:spacing w:beforeLines="0" w:before="0" w:afterLines="0" w:after="0"/>
        <w:rPr>
          <w:rFonts w:cs="Arial"/>
          <w:lang w:eastAsia="en-CA"/>
        </w:rPr>
      </w:pPr>
      <w:r w:rsidRPr="00D64C77">
        <w:rPr>
          <w:rFonts w:cs="Arial"/>
          <w:b/>
          <w:bCs w:val="0"/>
        </w:rPr>
        <w:t xml:space="preserve">THE TRIBUNAL ORDERS </w:t>
      </w:r>
      <w:r w:rsidRPr="00D64C77">
        <w:rPr>
          <w:rFonts w:cs="Arial"/>
        </w:rPr>
        <w:t xml:space="preserve">that the appeal is dismissed and the </w:t>
      </w:r>
      <w:r w:rsidR="008C7347">
        <w:rPr>
          <w:rFonts w:cs="Arial"/>
        </w:rPr>
        <w:t>V</w:t>
      </w:r>
      <w:r w:rsidRPr="00D64C77">
        <w:rPr>
          <w:rFonts w:cs="Arial"/>
        </w:rPr>
        <w:t xml:space="preserve">ariance to By-law </w:t>
      </w:r>
      <w:r w:rsidR="00644D75">
        <w:rPr>
          <w:rFonts w:cs="Arial"/>
        </w:rPr>
        <w:t xml:space="preserve">No. </w:t>
      </w:r>
      <w:r w:rsidRPr="00D64C77">
        <w:rPr>
          <w:rFonts w:cs="Arial"/>
          <w:lang w:eastAsia="en-CA"/>
        </w:rPr>
        <w:t>0225-2007</w:t>
      </w:r>
      <w:r w:rsidRPr="00D64C77">
        <w:rPr>
          <w:rFonts w:cs="Arial"/>
        </w:rPr>
        <w:t xml:space="preserve"> is authorized subject to the following condition</w:t>
      </w:r>
      <w:r w:rsidR="00644D75">
        <w:rPr>
          <w:rFonts w:cs="Arial"/>
        </w:rPr>
        <w:t>,</w:t>
      </w:r>
      <w:r w:rsidRPr="00D64C77">
        <w:rPr>
          <w:rFonts w:cs="Arial"/>
        </w:rPr>
        <w:t xml:space="preserve"> </w:t>
      </w:r>
      <w:r w:rsidRPr="00D64C77">
        <w:rPr>
          <w:rFonts w:cs="Arial"/>
          <w:lang w:eastAsia="en-CA"/>
        </w:rPr>
        <w:t>which are to be implemented prior to K1 commencing operation on the site:</w:t>
      </w:r>
    </w:p>
    <w:p w14:paraId="4A91E1B9" w14:textId="77777777" w:rsidR="00F10E2A" w:rsidRDefault="00F10E2A" w:rsidP="004B722F">
      <w:pPr>
        <w:pStyle w:val="DecisionBody"/>
        <w:numPr>
          <w:ilvl w:val="0"/>
          <w:numId w:val="0"/>
        </w:numPr>
        <w:spacing w:beforeLines="0" w:before="0" w:afterLines="0" w:after="0"/>
        <w:rPr>
          <w:rFonts w:cs="Arial"/>
          <w:lang w:eastAsia="en-CA"/>
        </w:rPr>
      </w:pPr>
    </w:p>
    <w:p w14:paraId="6EA0AD3D" w14:textId="77777777" w:rsidR="00F10E2A" w:rsidRPr="008C7347" w:rsidRDefault="00F10E2A" w:rsidP="004B722F">
      <w:pPr>
        <w:pStyle w:val="ListParagraph"/>
        <w:rPr>
          <w:lang w:val="en-CA" w:eastAsia="en-CA"/>
        </w:rPr>
      </w:pPr>
      <w:r w:rsidRPr="008C7347">
        <w:rPr>
          <w:lang w:val="en-CA" w:eastAsia="en-CA"/>
        </w:rPr>
        <w:t xml:space="preserve">The Applicant shall install signage directing customers to park along the side and at the rear of Building “D”, and to ensure that those signs meet the requirements of City Staff. The signs shall be illuminated. </w:t>
      </w:r>
    </w:p>
    <w:p w14:paraId="2522EEE7" w14:textId="77777777" w:rsidR="00F10E2A" w:rsidRPr="00644D75" w:rsidRDefault="00F10E2A" w:rsidP="004B722F">
      <w:pPr>
        <w:spacing w:line="360" w:lineRule="auto"/>
        <w:ind w:left="1260" w:hanging="540"/>
        <w:rPr>
          <w:lang w:val="en-CA" w:eastAsia="en-CA"/>
        </w:rPr>
      </w:pPr>
    </w:p>
    <w:p w14:paraId="4833E391" w14:textId="77777777" w:rsidR="00F10E2A" w:rsidRDefault="00F10E2A" w:rsidP="004B722F">
      <w:pPr>
        <w:pStyle w:val="ListParagraph"/>
        <w:rPr>
          <w:lang w:val="en-CA" w:eastAsia="en-CA"/>
        </w:rPr>
      </w:pPr>
      <w:r w:rsidRPr="00644D75">
        <w:rPr>
          <w:lang w:val="en-CA" w:eastAsia="en-CA"/>
        </w:rPr>
        <w:t>The Applicant shall illuminate the drive aisle that connects the front of Building “D” with the proposed parking at the rear of Building “D” and illuminate the parking area behind Building “D”.</w:t>
      </w:r>
    </w:p>
    <w:p w14:paraId="09AE0EBE" w14:textId="77777777" w:rsidR="00F10E2A" w:rsidRPr="00644D75" w:rsidRDefault="00F10E2A" w:rsidP="004B722F">
      <w:pPr>
        <w:spacing w:line="360" w:lineRule="auto"/>
        <w:ind w:left="1260" w:hanging="540"/>
        <w:rPr>
          <w:lang w:val="en-CA" w:eastAsia="en-CA"/>
        </w:rPr>
      </w:pPr>
    </w:p>
    <w:p w14:paraId="75783310" w14:textId="77777777" w:rsidR="00F10E2A" w:rsidRPr="00644D75" w:rsidRDefault="00F10E2A" w:rsidP="004B722F">
      <w:pPr>
        <w:pStyle w:val="ListParagraph"/>
        <w:widowControl/>
        <w:ind w:left="1267" w:hanging="547"/>
        <w:rPr>
          <w:lang w:val="en-CA" w:eastAsia="en-CA"/>
        </w:rPr>
      </w:pPr>
      <w:r w:rsidRPr="00644D75">
        <w:rPr>
          <w:lang w:val="en-CA" w:eastAsia="en-CA"/>
        </w:rPr>
        <w:lastRenderedPageBreak/>
        <w:t xml:space="preserve">The Applicant shall advise all customers who book online reservations for the K1 Facility that parking at the adjacent Prombank Lands is not permitted. </w:t>
      </w:r>
    </w:p>
    <w:p w14:paraId="1F4BD4D1" w14:textId="77777777" w:rsidR="00F10E2A" w:rsidRPr="00D64C77" w:rsidRDefault="00F10E2A" w:rsidP="004B722F">
      <w:pPr>
        <w:autoSpaceDE w:val="0"/>
        <w:autoSpaceDN w:val="0"/>
        <w:adjustRightInd w:val="0"/>
        <w:spacing w:line="360" w:lineRule="auto"/>
        <w:ind w:left="1260" w:hanging="540"/>
        <w:rPr>
          <w:rFonts w:ascii="Arial" w:hAnsi="Arial" w:cs="Arial"/>
          <w:lang w:val="en-CA" w:eastAsia="en-CA"/>
        </w:rPr>
      </w:pPr>
    </w:p>
    <w:p w14:paraId="3B300DE6" w14:textId="77777777" w:rsidR="00F10E2A" w:rsidRPr="00644D75" w:rsidRDefault="00F10E2A" w:rsidP="004B722F">
      <w:pPr>
        <w:pStyle w:val="ListParagraph"/>
        <w:rPr>
          <w:lang w:val="en-CA" w:eastAsia="en-CA"/>
        </w:rPr>
      </w:pPr>
      <w:r w:rsidRPr="00644D75">
        <w:rPr>
          <w:lang w:val="en-CA" w:eastAsia="en-CA"/>
        </w:rPr>
        <w:t>The Applicant shall stripe the lot at 1330 Eglinton Ave</w:t>
      </w:r>
      <w:r>
        <w:rPr>
          <w:lang w:val="en-CA" w:eastAsia="en-CA"/>
        </w:rPr>
        <w:t>nue</w:t>
      </w:r>
      <w:r w:rsidRPr="00644D75">
        <w:rPr>
          <w:lang w:val="en-CA" w:eastAsia="en-CA"/>
        </w:rPr>
        <w:t xml:space="preserve"> East</w:t>
      </w:r>
      <w:r>
        <w:rPr>
          <w:lang w:val="en-CA" w:eastAsia="en-CA"/>
        </w:rPr>
        <w:t>,</w:t>
      </w:r>
      <w:r w:rsidRPr="00644D75">
        <w:rPr>
          <w:lang w:val="en-CA" w:eastAsia="en-CA"/>
        </w:rPr>
        <w:t xml:space="preserve"> in accordance with the site plan that provides 329 parking spaces on the subject site by the City</w:t>
      </w:r>
      <w:r>
        <w:rPr>
          <w:lang w:val="en-CA" w:eastAsia="en-CA"/>
        </w:rPr>
        <w:t xml:space="preserve"> of Mississauga</w:t>
      </w:r>
      <w:r w:rsidRPr="00644D75">
        <w:rPr>
          <w:lang w:val="en-CA" w:eastAsia="en-CA"/>
        </w:rPr>
        <w:t>’s buildings department.</w:t>
      </w:r>
    </w:p>
    <w:p w14:paraId="3D91FE55" w14:textId="77777777" w:rsidR="00F10E2A" w:rsidRPr="00D64C77" w:rsidRDefault="00F10E2A" w:rsidP="004B722F">
      <w:pPr>
        <w:autoSpaceDE w:val="0"/>
        <w:autoSpaceDN w:val="0"/>
        <w:adjustRightInd w:val="0"/>
        <w:spacing w:line="360" w:lineRule="auto"/>
        <w:ind w:left="1260" w:hanging="540"/>
        <w:rPr>
          <w:rFonts w:ascii="Arial" w:hAnsi="Arial" w:cs="Arial"/>
          <w:lang w:val="en-CA" w:eastAsia="en-CA"/>
        </w:rPr>
      </w:pPr>
    </w:p>
    <w:p w14:paraId="24D6CB30" w14:textId="77777777" w:rsidR="00F10E2A" w:rsidRDefault="00F10E2A" w:rsidP="004B722F">
      <w:pPr>
        <w:pStyle w:val="ListParagraph"/>
        <w:widowControl/>
        <w:ind w:left="1267" w:hanging="547"/>
        <w:rPr>
          <w:lang w:val="en-CA" w:eastAsia="en-CA"/>
        </w:rPr>
      </w:pPr>
      <w:r w:rsidRPr="00644D75">
        <w:rPr>
          <w:lang w:val="en-CA" w:eastAsia="en-CA"/>
        </w:rPr>
        <w:t>The Applicant shall make all of the modifications shown on the</w:t>
      </w:r>
      <w:r>
        <w:rPr>
          <w:lang w:val="en-CA" w:eastAsia="en-CA"/>
        </w:rPr>
        <w:t xml:space="preserve"> </w:t>
      </w:r>
      <w:r w:rsidRPr="00644D75">
        <w:rPr>
          <w:lang w:val="en-CA" w:eastAsia="en-CA"/>
        </w:rPr>
        <w:t>site plan at Exhibit 1, Tab 35, including the addition of the new parking spots, the revisions to loading spaces and the addition of new curb works to the satisfaction of the City</w:t>
      </w:r>
      <w:r>
        <w:rPr>
          <w:lang w:val="en-CA" w:eastAsia="en-CA"/>
        </w:rPr>
        <w:t xml:space="preserve"> of Mississauga</w:t>
      </w:r>
      <w:r w:rsidRPr="00644D75">
        <w:rPr>
          <w:lang w:val="en-CA" w:eastAsia="en-CA"/>
        </w:rPr>
        <w:t xml:space="preserve">. </w:t>
      </w:r>
    </w:p>
    <w:p w14:paraId="5F3DAEC7" w14:textId="77777777" w:rsidR="00F10E2A" w:rsidRPr="008C58BF" w:rsidRDefault="00F10E2A" w:rsidP="004B722F">
      <w:pPr>
        <w:spacing w:line="360" w:lineRule="auto"/>
        <w:ind w:left="1260" w:hanging="540"/>
        <w:rPr>
          <w:lang w:val="en-CA" w:eastAsia="en-CA"/>
        </w:rPr>
      </w:pPr>
    </w:p>
    <w:p w14:paraId="5C66E6ED" w14:textId="4F904F41" w:rsidR="00F10E2A" w:rsidRDefault="00F10E2A" w:rsidP="004B722F">
      <w:pPr>
        <w:pStyle w:val="ListParagraph"/>
        <w:rPr>
          <w:lang w:val="en-CA" w:eastAsia="en-CA"/>
        </w:rPr>
      </w:pPr>
      <w:r w:rsidRPr="00644D75">
        <w:rPr>
          <w:lang w:val="en-CA" w:eastAsia="en-CA"/>
        </w:rPr>
        <w:t>The Applicant shall demonstrate to the satisfaction of the City of</w:t>
      </w:r>
      <w:r>
        <w:rPr>
          <w:lang w:val="en-CA" w:eastAsia="en-CA"/>
        </w:rPr>
        <w:t xml:space="preserve"> </w:t>
      </w:r>
      <w:r w:rsidRPr="00644D75">
        <w:rPr>
          <w:lang w:val="en-CA" w:eastAsia="en-CA"/>
        </w:rPr>
        <w:t>Mississauga that the elimination of loading spaces behind Buildings “B”</w:t>
      </w:r>
      <w:r>
        <w:rPr>
          <w:lang w:val="en-CA" w:eastAsia="en-CA"/>
        </w:rPr>
        <w:t>,</w:t>
      </w:r>
      <w:r w:rsidRPr="00644D75">
        <w:rPr>
          <w:lang w:val="en-CA" w:eastAsia="en-CA"/>
        </w:rPr>
        <w:t xml:space="preserve"> “C” and “D” does not create a truck turning movement issue for tractor trailer trucks that are required to service the adjacent tenant within Building “D” or any of the other surrounding tenants. </w:t>
      </w:r>
    </w:p>
    <w:p w14:paraId="6E3D602E" w14:textId="77777777" w:rsidR="004B722F" w:rsidRPr="004B722F" w:rsidRDefault="004B722F" w:rsidP="004B722F">
      <w:pPr>
        <w:pStyle w:val="ListParagraph"/>
        <w:numPr>
          <w:ilvl w:val="0"/>
          <w:numId w:val="0"/>
        </w:numPr>
        <w:ind w:left="1260"/>
        <w:rPr>
          <w:lang w:val="en-CA" w:eastAsia="en-CA"/>
        </w:rPr>
      </w:pPr>
    </w:p>
    <w:p w14:paraId="49ACB1C1" w14:textId="62C1F08A" w:rsidR="00D64C77" w:rsidRPr="004B722F" w:rsidRDefault="00D64C77" w:rsidP="004B722F">
      <w:pPr>
        <w:pStyle w:val="DecisionBody"/>
        <w:spacing w:beforeLines="0" w:before="0" w:afterLines="0" w:after="0"/>
        <w:rPr>
          <w:rFonts w:cs="Arial"/>
          <w:lang w:eastAsia="en-CA"/>
        </w:rPr>
      </w:pPr>
      <w:r w:rsidRPr="00F10E2A">
        <w:rPr>
          <w:rFonts w:cs="Arial"/>
          <w:lang w:eastAsia="en-CA"/>
        </w:rPr>
        <w:t>So orders the Tribunal.</w:t>
      </w:r>
    </w:p>
    <w:p w14:paraId="159AFB90" w14:textId="77777777" w:rsidR="00AA2EED" w:rsidRDefault="00AA2EED" w:rsidP="00B46BEE">
      <w:pPr>
        <w:pStyle w:val="DecisionBody"/>
        <w:numPr>
          <w:ilvl w:val="0"/>
          <w:numId w:val="0"/>
        </w:numPr>
        <w:spacing w:beforeLines="0" w:before="0" w:afterLines="0" w:after="0" w:line="240" w:lineRule="auto"/>
        <w:ind w:right="-36"/>
        <w:jc w:val="right"/>
        <w:rPr>
          <w:i/>
          <w:iCs/>
        </w:rPr>
      </w:pPr>
    </w:p>
    <w:p w14:paraId="32920E07" w14:textId="13ADF7D5" w:rsidR="00371F4C" w:rsidRPr="00371F4C" w:rsidRDefault="00371F4C" w:rsidP="00B46BEE">
      <w:pPr>
        <w:pStyle w:val="DecisionBody"/>
        <w:numPr>
          <w:ilvl w:val="0"/>
          <w:numId w:val="0"/>
        </w:numPr>
        <w:spacing w:beforeLines="0" w:before="0" w:afterLines="0" w:after="0" w:line="240" w:lineRule="auto"/>
        <w:ind w:right="-36"/>
        <w:jc w:val="right"/>
        <w:rPr>
          <w:i/>
          <w:iCs/>
        </w:rPr>
      </w:pPr>
      <w:r w:rsidRPr="00371F4C">
        <w:rPr>
          <w:i/>
          <w:iCs/>
        </w:rPr>
        <w:t>“</w:t>
      </w:r>
      <w:r w:rsidR="00586890">
        <w:rPr>
          <w:i/>
          <w:iCs/>
        </w:rPr>
        <w:t>D. Chipman</w:t>
      </w:r>
      <w:r w:rsidR="00905522">
        <w:rPr>
          <w:i/>
          <w:iCs/>
        </w:rPr>
        <w:t>”</w:t>
      </w:r>
    </w:p>
    <w:p w14:paraId="2830F916" w14:textId="77777777" w:rsidR="00371F4C" w:rsidRDefault="00371F4C" w:rsidP="00B46BEE">
      <w:pPr>
        <w:pStyle w:val="DecisionBody"/>
        <w:numPr>
          <w:ilvl w:val="0"/>
          <w:numId w:val="0"/>
        </w:numPr>
        <w:spacing w:beforeLines="0" w:before="0" w:afterLines="0" w:after="0" w:line="240" w:lineRule="auto"/>
        <w:ind w:right="-36"/>
        <w:jc w:val="right"/>
      </w:pPr>
    </w:p>
    <w:p w14:paraId="51A2DCA1" w14:textId="77777777" w:rsidR="00371F4C" w:rsidRDefault="00371F4C" w:rsidP="00A319ED">
      <w:pPr>
        <w:pStyle w:val="DecisionBody"/>
        <w:numPr>
          <w:ilvl w:val="0"/>
          <w:numId w:val="0"/>
        </w:numPr>
        <w:spacing w:beforeLines="0" w:before="0" w:afterLines="0" w:after="0" w:line="240" w:lineRule="auto"/>
        <w:ind w:right="-36"/>
      </w:pPr>
    </w:p>
    <w:p w14:paraId="6FF6F0AA" w14:textId="1409694B" w:rsidR="00371F4C" w:rsidRDefault="00586890" w:rsidP="00B46BEE">
      <w:pPr>
        <w:pStyle w:val="DecisionBody"/>
        <w:numPr>
          <w:ilvl w:val="0"/>
          <w:numId w:val="0"/>
        </w:numPr>
        <w:spacing w:beforeLines="0" w:before="0" w:afterLines="0" w:after="0" w:line="240" w:lineRule="auto"/>
        <w:ind w:right="-36"/>
        <w:jc w:val="right"/>
      </w:pPr>
      <w:r>
        <w:t>D. CHIPMAN</w:t>
      </w:r>
    </w:p>
    <w:p w14:paraId="61729CF4" w14:textId="488C4788" w:rsidR="00E90165" w:rsidRPr="00AA2EED" w:rsidRDefault="00FF6C26" w:rsidP="00AA2EED">
      <w:pPr>
        <w:pStyle w:val="DecisionBody"/>
        <w:numPr>
          <w:ilvl w:val="0"/>
          <w:numId w:val="0"/>
        </w:numPr>
        <w:spacing w:beforeLines="0" w:before="0" w:afterLines="0" w:after="0" w:line="240" w:lineRule="auto"/>
        <w:ind w:right="-36"/>
        <w:jc w:val="right"/>
      </w:pPr>
      <w:r>
        <w:t>MEMBER</w:t>
      </w:r>
    </w:p>
    <w:p w14:paraId="3A8D6A17" w14:textId="77777777" w:rsidR="002877FF" w:rsidRDefault="002877FF" w:rsidP="001B3403">
      <w:pPr>
        <w:rPr>
          <w:rFonts w:ascii="Arial" w:hAnsi="Arial" w:cs="Arial"/>
        </w:rPr>
      </w:pPr>
    </w:p>
    <w:p w14:paraId="04FC308F" w14:textId="77777777" w:rsidR="001B3403" w:rsidRPr="005D7E92" w:rsidRDefault="001B3403" w:rsidP="001B3403">
      <w:pPr>
        <w:pStyle w:val="Footer"/>
        <w:rPr>
          <w:rFonts w:cs="Arial"/>
          <w:b/>
        </w:rPr>
      </w:pPr>
      <w:r w:rsidRPr="005D7E92">
        <w:rPr>
          <w:rFonts w:cs="Arial"/>
          <w:b/>
        </w:rPr>
        <w:t>Ontario Land Tribunal</w:t>
      </w:r>
    </w:p>
    <w:p w14:paraId="59DF9159" w14:textId="77777777" w:rsidR="001B3403" w:rsidRPr="005D7E92" w:rsidRDefault="001B3403" w:rsidP="001B3403">
      <w:pPr>
        <w:pStyle w:val="Footer"/>
        <w:rPr>
          <w:rFonts w:cs="Arial"/>
        </w:rPr>
      </w:pPr>
      <w:r w:rsidRPr="005D7E92">
        <w:rPr>
          <w:rFonts w:cs="Arial"/>
        </w:rPr>
        <w:t xml:space="preserve">Website: </w:t>
      </w:r>
      <w:hyperlink r:id="rId12" w:history="1">
        <w:r w:rsidRPr="005D7E92">
          <w:rPr>
            <w:rStyle w:val="Hyperlink"/>
            <w:rFonts w:cs="Arial"/>
            <w:color w:val="auto"/>
          </w:rPr>
          <w:t>olt.gov.on.ca</w:t>
        </w:r>
      </w:hyperlink>
      <w:r w:rsidRPr="005D7E92">
        <w:rPr>
          <w:rFonts w:cs="Arial"/>
        </w:rPr>
        <w:t xml:space="preserve">   Telephone: 416-212-6349   Toll Free: 1-866-448-2248</w:t>
      </w:r>
    </w:p>
    <w:p w14:paraId="70D7F465" w14:textId="77777777" w:rsidR="001B3403" w:rsidRPr="005D7E92" w:rsidRDefault="001B3403" w:rsidP="001B3403">
      <w:pPr>
        <w:rPr>
          <w:rFonts w:ascii="Arial" w:hAnsi="Arial" w:cs="Arial"/>
        </w:rPr>
      </w:pPr>
    </w:p>
    <w:p w14:paraId="27C7CA91" w14:textId="77777777" w:rsidR="001B3403" w:rsidRPr="005D7E92" w:rsidRDefault="001B3403" w:rsidP="001B3403">
      <w:pPr>
        <w:pStyle w:val="Footer"/>
        <w:rPr>
          <w:rFonts w:cs="Arial"/>
        </w:rPr>
      </w:pPr>
    </w:p>
    <w:p w14:paraId="36B2EA87" w14:textId="03DD02E8" w:rsidR="00F679FA" w:rsidRDefault="00F679FA" w:rsidP="00FF6C26">
      <w:pPr>
        <w:tabs>
          <w:tab w:val="left" w:pos="2673"/>
        </w:tabs>
        <w:spacing w:after="200" w:line="276" w:lineRule="auto"/>
        <w:rPr>
          <w:rFonts w:ascii="Arial" w:hAnsi="Arial" w:cs="Arial"/>
          <w:b/>
          <w:bCs/>
          <w:lang w:val="en-CA"/>
        </w:rPr>
      </w:pPr>
      <w:r w:rsidRPr="005873BD">
        <w:rPr>
          <w:rFonts w:ascii="Arial" w:hAnsi="Arial" w:cs="Arial"/>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p>
    <w:sectPr w:rsidR="00F679FA" w:rsidSect="00E51D0F">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4426C" w14:textId="77777777" w:rsidR="00B210CC" w:rsidRDefault="00B210CC">
      <w:r>
        <w:separator/>
      </w:r>
    </w:p>
  </w:endnote>
  <w:endnote w:type="continuationSeparator" w:id="0">
    <w:p w14:paraId="4A6B8DC9" w14:textId="77777777" w:rsidR="00B210CC" w:rsidRDefault="00B2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16001" w14:textId="77777777" w:rsidR="00B210CC" w:rsidRDefault="00B210CC">
      <w:r>
        <w:separator/>
      </w:r>
    </w:p>
  </w:footnote>
  <w:footnote w:type="continuationSeparator" w:id="0">
    <w:p w14:paraId="1798116D" w14:textId="77777777" w:rsidR="00B210CC" w:rsidRDefault="00B2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F0C3" w14:textId="0CE19317" w:rsidR="00FF6C26" w:rsidRDefault="00FF6C26" w:rsidP="00FF6C26">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Pr>
        <w:rFonts w:ascii="Arial" w:hAnsi="Arial" w:cs="Arial"/>
      </w:rPr>
      <w:t>2</w:t>
    </w:r>
    <w:r w:rsidRPr="005E51AF">
      <w:rPr>
        <w:rFonts w:ascii="Arial" w:hAnsi="Arial" w:cs="Arial"/>
        <w:noProof/>
      </w:rPr>
      <w:fldChar w:fldCharType="end"/>
    </w:r>
    <w:r>
      <w:rPr>
        <w:rFonts w:ascii="Arial" w:hAnsi="Arial" w:cs="Arial"/>
        <w:noProof/>
      </w:rPr>
      <w:tab/>
      <w:t>PL210284</w:t>
    </w:r>
  </w:p>
  <w:p w14:paraId="7AFF562C" w14:textId="77777777" w:rsidR="00B210CC" w:rsidRDefault="00B21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E23"/>
    <w:multiLevelType w:val="multilevel"/>
    <w:tmpl w:val="C24EB9C2"/>
    <w:name w:val="MT Standard"/>
    <w:lvl w:ilvl="0">
      <w:start w:val="1"/>
      <w:numFmt w:val="decimal"/>
      <w:lvlText w:val="%1."/>
      <w:lvlJc w:val="left"/>
      <w:pPr>
        <w:tabs>
          <w:tab w:val="num" w:pos="720"/>
        </w:tabs>
        <w:ind w:left="720" w:hanging="720"/>
      </w:pPr>
      <w:rPr>
        <w:b w:val="0"/>
        <w:i w:val="0"/>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upperLetter"/>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upperLetter"/>
      <w:lvlText w:val="%7)"/>
      <w:lvlJc w:val="left"/>
      <w:pPr>
        <w:tabs>
          <w:tab w:val="num" w:pos="4320"/>
        </w:tabs>
        <w:ind w:left="4320" w:hanging="720"/>
      </w:pPr>
      <w:rPr>
        <w:caps w:val="0"/>
        <w:color w:val="010000"/>
        <w:u w:val="none"/>
      </w:rPr>
    </w:lvl>
    <w:lvl w:ilvl="7">
      <w:start w:val="1"/>
      <w:numFmt w:val="upperLetter"/>
      <w:suff w:val="nothing"/>
      <w:lvlText w:val="Schedule %8"/>
      <w:lvlJc w:val="left"/>
      <w:pPr>
        <w:tabs>
          <w:tab w:val="num" w:pos="0"/>
        </w:tabs>
        <w:ind w:left="0" w:firstLine="0"/>
      </w:pPr>
      <w:rPr>
        <w:caps/>
        <w:smallCaps w:val="0"/>
        <w:color w:val="010000"/>
        <w:u w:val="none"/>
      </w:rPr>
    </w:lvl>
    <w:lvl w:ilvl="8">
      <w:start w:val="1"/>
      <w:numFmt w:val="decimal"/>
      <w:suff w:val="space"/>
      <w:lvlText w:val="Exhibit %9"/>
      <w:lvlJc w:val="left"/>
      <w:pPr>
        <w:tabs>
          <w:tab w:val="num" w:pos="0"/>
        </w:tabs>
        <w:ind w:left="0" w:firstLine="0"/>
      </w:pPr>
      <w:rPr>
        <w:caps/>
        <w:smallCaps w:val="0"/>
        <w:color w:val="010000"/>
        <w:u w:val="none"/>
      </w:rPr>
    </w:lvl>
  </w:abstractNum>
  <w:abstractNum w:abstractNumId="1" w15:restartNumberingAfterBreak="0">
    <w:nsid w:val="0C3E5AFB"/>
    <w:multiLevelType w:val="hybridMultilevel"/>
    <w:tmpl w:val="FBCA421A"/>
    <w:lvl w:ilvl="0" w:tplc="D7F21D0C">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CB6028"/>
    <w:multiLevelType w:val="hybridMultilevel"/>
    <w:tmpl w:val="A68CB44C"/>
    <w:lvl w:ilvl="0" w:tplc="0610DE3E">
      <w:start w:val="1"/>
      <w:numFmt w:val="decimal"/>
      <w:lvlText w:val="%1."/>
      <w:lvlJc w:val="left"/>
      <w:pPr>
        <w:ind w:left="1365" w:hanging="10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5754C0"/>
    <w:multiLevelType w:val="hybridMultilevel"/>
    <w:tmpl w:val="0FC2C56A"/>
    <w:lvl w:ilvl="0" w:tplc="F7C028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F136EB"/>
    <w:multiLevelType w:val="hybridMultilevel"/>
    <w:tmpl w:val="7AFA3A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0F3D92"/>
    <w:multiLevelType w:val="hybridMultilevel"/>
    <w:tmpl w:val="8B885A3C"/>
    <w:lvl w:ilvl="0" w:tplc="06A42F22">
      <w:start w:val="1"/>
      <w:numFmt w:val="decimal"/>
      <w:pStyle w:val="DecisionBody"/>
      <w:lvlText w:val="[%1]"/>
      <w:lvlJc w:val="left"/>
      <w:pPr>
        <w:ind w:left="720" w:hanging="360"/>
      </w:pPr>
      <w:rPr>
        <w:rFonts w:hint="default"/>
        <w:b w:val="0"/>
        <w:bCs/>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6B6494"/>
    <w:multiLevelType w:val="hybridMultilevel"/>
    <w:tmpl w:val="B8A66172"/>
    <w:lvl w:ilvl="0" w:tplc="DFB24EEA">
      <w:start w:val="1"/>
      <w:numFmt w:val="decimal"/>
      <w:lvlText w:val="[%1]"/>
      <w:lvlJc w:val="left"/>
      <w:pPr>
        <w:ind w:left="720" w:hanging="360"/>
      </w:pPr>
      <w:rPr>
        <w:rFonts w:hint="default"/>
        <w:b w:val="0"/>
        <w:bCs/>
      </w:rPr>
    </w:lvl>
    <w:lvl w:ilvl="1" w:tplc="CED422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DE24F6"/>
    <w:multiLevelType w:val="hybridMultilevel"/>
    <w:tmpl w:val="6B9CD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6356BB"/>
    <w:multiLevelType w:val="hybridMultilevel"/>
    <w:tmpl w:val="FFF6202C"/>
    <w:lvl w:ilvl="0" w:tplc="7A742348">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9E060B"/>
    <w:multiLevelType w:val="hybridMultilevel"/>
    <w:tmpl w:val="0B5AD1A0"/>
    <w:lvl w:ilvl="0" w:tplc="F7C028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E905C0B"/>
    <w:multiLevelType w:val="hybridMultilevel"/>
    <w:tmpl w:val="6F3A86BC"/>
    <w:lvl w:ilvl="0" w:tplc="7D9A1E9C">
      <w:start w:val="1"/>
      <w:numFmt w:val="lowerLetter"/>
      <w:pStyle w:val="ListParagraph"/>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3A6321"/>
    <w:multiLevelType w:val="hybridMultilevel"/>
    <w:tmpl w:val="7FF676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C24E8A"/>
    <w:multiLevelType w:val="hybridMultilevel"/>
    <w:tmpl w:val="4A5E6F52"/>
    <w:lvl w:ilvl="0" w:tplc="085E451E">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12"/>
  </w:num>
  <w:num w:numId="6">
    <w:abstractNumId w:val="7"/>
  </w:num>
  <w:num w:numId="7">
    <w:abstractNumId w:val="4"/>
  </w:num>
  <w:num w:numId="8">
    <w:abstractNumId w:val="11"/>
  </w:num>
  <w:num w:numId="9">
    <w:abstractNumId w:val="2"/>
  </w:num>
  <w:num w:numId="10">
    <w:abstractNumId w:val="8"/>
  </w:num>
  <w:num w:numId="11">
    <w:abstractNumId w:val="8"/>
    <w:lvlOverride w:ilvl="0">
      <w:startOverride w:val="1"/>
    </w:lvlOverride>
  </w:num>
  <w:num w:numId="12">
    <w:abstractNumId w:val="9"/>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CC"/>
    <w:rsid w:val="0001398A"/>
    <w:rsid w:val="0001519D"/>
    <w:rsid w:val="000170F3"/>
    <w:rsid w:val="00017A12"/>
    <w:rsid w:val="00017DFC"/>
    <w:rsid w:val="00022EAD"/>
    <w:rsid w:val="00031C6E"/>
    <w:rsid w:val="00032100"/>
    <w:rsid w:val="0003783B"/>
    <w:rsid w:val="000424A6"/>
    <w:rsid w:val="00044AD5"/>
    <w:rsid w:val="00052084"/>
    <w:rsid w:val="000530FC"/>
    <w:rsid w:val="00054A9F"/>
    <w:rsid w:val="00056F73"/>
    <w:rsid w:val="00060BAC"/>
    <w:rsid w:val="0006526A"/>
    <w:rsid w:val="00075342"/>
    <w:rsid w:val="00076196"/>
    <w:rsid w:val="0008105B"/>
    <w:rsid w:val="00081B93"/>
    <w:rsid w:val="00094E62"/>
    <w:rsid w:val="000A5BAE"/>
    <w:rsid w:val="000B4BFB"/>
    <w:rsid w:val="000C21BB"/>
    <w:rsid w:val="000C25F1"/>
    <w:rsid w:val="000C3EB3"/>
    <w:rsid w:val="000C480C"/>
    <w:rsid w:val="000C7608"/>
    <w:rsid w:val="000D09B3"/>
    <w:rsid w:val="000D6F9D"/>
    <w:rsid w:val="000D7BBD"/>
    <w:rsid w:val="000F1CE9"/>
    <w:rsid w:val="000F6357"/>
    <w:rsid w:val="000F7957"/>
    <w:rsid w:val="00100AF6"/>
    <w:rsid w:val="0010191A"/>
    <w:rsid w:val="00104001"/>
    <w:rsid w:val="0010677E"/>
    <w:rsid w:val="0011734D"/>
    <w:rsid w:val="00120DCF"/>
    <w:rsid w:val="001220E4"/>
    <w:rsid w:val="001253ED"/>
    <w:rsid w:val="0013161B"/>
    <w:rsid w:val="0013555E"/>
    <w:rsid w:val="00137797"/>
    <w:rsid w:val="00146ED9"/>
    <w:rsid w:val="00154894"/>
    <w:rsid w:val="001551CC"/>
    <w:rsid w:val="00155D0A"/>
    <w:rsid w:val="001562BE"/>
    <w:rsid w:val="001617E7"/>
    <w:rsid w:val="001634FB"/>
    <w:rsid w:val="00163B38"/>
    <w:rsid w:val="001656BC"/>
    <w:rsid w:val="001702F3"/>
    <w:rsid w:val="00172CE7"/>
    <w:rsid w:val="00174B59"/>
    <w:rsid w:val="001765FB"/>
    <w:rsid w:val="001808B6"/>
    <w:rsid w:val="00182765"/>
    <w:rsid w:val="00182B0E"/>
    <w:rsid w:val="00182C6C"/>
    <w:rsid w:val="00185E46"/>
    <w:rsid w:val="00190DF3"/>
    <w:rsid w:val="00195ACE"/>
    <w:rsid w:val="00196D30"/>
    <w:rsid w:val="001A2AE2"/>
    <w:rsid w:val="001A3C06"/>
    <w:rsid w:val="001B3403"/>
    <w:rsid w:val="001B5CE4"/>
    <w:rsid w:val="001D654B"/>
    <w:rsid w:val="001D67CE"/>
    <w:rsid w:val="001D6F93"/>
    <w:rsid w:val="001E025D"/>
    <w:rsid w:val="001E764F"/>
    <w:rsid w:val="001F179F"/>
    <w:rsid w:val="0020298E"/>
    <w:rsid w:val="00205167"/>
    <w:rsid w:val="002159B4"/>
    <w:rsid w:val="0021608D"/>
    <w:rsid w:val="00220639"/>
    <w:rsid w:val="0022133C"/>
    <w:rsid w:val="00225203"/>
    <w:rsid w:val="0022579A"/>
    <w:rsid w:val="00226115"/>
    <w:rsid w:val="002315A3"/>
    <w:rsid w:val="002346B3"/>
    <w:rsid w:val="00235236"/>
    <w:rsid w:val="002419BB"/>
    <w:rsid w:val="0024300F"/>
    <w:rsid w:val="002433A2"/>
    <w:rsid w:val="002446DE"/>
    <w:rsid w:val="00246A65"/>
    <w:rsid w:val="00250221"/>
    <w:rsid w:val="00253A2B"/>
    <w:rsid w:val="00257414"/>
    <w:rsid w:val="0026320F"/>
    <w:rsid w:val="0026544D"/>
    <w:rsid w:val="00270AAE"/>
    <w:rsid w:val="002778E7"/>
    <w:rsid w:val="00277F40"/>
    <w:rsid w:val="00280925"/>
    <w:rsid w:val="00281FC1"/>
    <w:rsid w:val="00283370"/>
    <w:rsid w:val="00285AD7"/>
    <w:rsid w:val="002877FF"/>
    <w:rsid w:val="00290FEC"/>
    <w:rsid w:val="00293E85"/>
    <w:rsid w:val="002959D2"/>
    <w:rsid w:val="002A393B"/>
    <w:rsid w:val="002B47E9"/>
    <w:rsid w:val="002C00E1"/>
    <w:rsid w:val="002C7CBA"/>
    <w:rsid w:val="002D2254"/>
    <w:rsid w:val="002D23D0"/>
    <w:rsid w:val="002D38E7"/>
    <w:rsid w:val="002E7C9F"/>
    <w:rsid w:val="002E7D4B"/>
    <w:rsid w:val="002F37EF"/>
    <w:rsid w:val="002F4E11"/>
    <w:rsid w:val="002F6E52"/>
    <w:rsid w:val="002F73E5"/>
    <w:rsid w:val="003051EA"/>
    <w:rsid w:val="00307DEE"/>
    <w:rsid w:val="00316394"/>
    <w:rsid w:val="00323369"/>
    <w:rsid w:val="00324440"/>
    <w:rsid w:val="003274CD"/>
    <w:rsid w:val="00332D88"/>
    <w:rsid w:val="00336531"/>
    <w:rsid w:val="00340879"/>
    <w:rsid w:val="003437B3"/>
    <w:rsid w:val="00345480"/>
    <w:rsid w:val="003463CC"/>
    <w:rsid w:val="003506EA"/>
    <w:rsid w:val="00350E1B"/>
    <w:rsid w:val="00354C2E"/>
    <w:rsid w:val="003620BF"/>
    <w:rsid w:val="00367CB0"/>
    <w:rsid w:val="00371F4C"/>
    <w:rsid w:val="00375F31"/>
    <w:rsid w:val="0038484F"/>
    <w:rsid w:val="00385FC9"/>
    <w:rsid w:val="003862C1"/>
    <w:rsid w:val="00391DD7"/>
    <w:rsid w:val="003A0E81"/>
    <w:rsid w:val="003B236D"/>
    <w:rsid w:val="003B298B"/>
    <w:rsid w:val="003B7CE2"/>
    <w:rsid w:val="003C1386"/>
    <w:rsid w:val="003D1234"/>
    <w:rsid w:val="003E05F0"/>
    <w:rsid w:val="003E165C"/>
    <w:rsid w:val="003F1818"/>
    <w:rsid w:val="003F266C"/>
    <w:rsid w:val="00401F7B"/>
    <w:rsid w:val="00403715"/>
    <w:rsid w:val="00420FFD"/>
    <w:rsid w:val="004233D2"/>
    <w:rsid w:val="00430ABB"/>
    <w:rsid w:val="00432FC5"/>
    <w:rsid w:val="00441A9B"/>
    <w:rsid w:val="004507E6"/>
    <w:rsid w:val="00452228"/>
    <w:rsid w:val="004539BB"/>
    <w:rsid w:val="00455DE0"/>
    <w:rsid w:val="004565E3"/>
    <w:rsid w:val="004568CC"/>
    <w:rsid w:val="00460B87"/>
    <w:rsid w:val="00464AEA"/>
    <w:rsid w:val="004662FE"/>
    <w:rsid w:val="004850D0"/>
    <w:rsid w:val="0048609C"/>
    <w:rsid w:val="004A4461"/>
    <w:rsid w:val="004A587D"/>
    <w:rsid w:val="004B3247"/>
    <w:rsid w:val="004B6547"/>
    <w:rsid w:val="004B722F"/>
    <w:rsid w:val="004B7E92"/>
    <w:rsid w:val="004C06AB"/>
    <w:rsid w:val="004C3B19"/>
    <w:rsid w:val="004C5ADC"/>
    <w:rsid w:val="004D4FA4"/>
    <w:rsid w:val="004D5D5D"/>
    <w:rsid w:val="004D6E02"/>
    <w:rsid w:val="004E03A4"/>
    <w:rsid w:val="004E127B"/>
    <w:rsid w:val="004E31D7"/>
    <w:rsid w:val="004E4C91"/>
    <w:rsid w:val="004E4CD6"/>
    <w:rsid w:val="004F13B0"/>
    <w:rsid w:val="004F1B46"/>
    <w:rsid w:val="004F1C80"/>
    <w:rsid w:val="00505DF1"/>
    <w:rsid w:val="005064E9"/>
    <w:rsid w:val="00513CCD"/>
    <w:rsid w:val="0051499C"/>
    <w:rsid w:val="005176E6"/>
    <w:rsid w:val="00522C48"/>
    <w:rsid w:val="00530917"/>
    <w:rsid w:val="0053773B"/>
    <w:rsid w:val="0055024F"/>
    <w:rsid w:val="00550A15"/>
    <w:rsid w:val="005517CB"/>
    <w:rsid w:val="005554F9"/>
    <w:rsid w:val="00570E58"/>
    <w:rsid w:val="00575802"/>
    <w:rsid w:val="00581834"/>
    <w:rsid w:val="00581FFB"/>
    <w:rsid w:val="005826C8"/>
    <w:rsid w:val="005832B8"/>
    <w:rsid w:val="00585347"/>
    <w:rsid w:val="00585632"/>
    <w:rsid w:val="0058684A"/>
    <w:rsid w:val="00586890"/>
    <w:rsid w:val="005873BD"/>
    <w:rsid w:val="00595D46"/>
    <w:rsid w:val="005A6B29"/>
    <w:rsid w:val="005A767F"/>
    <w:rsid w:val="005B0EFC"/>
    <w:rsid w:val="005B2223"/>
    <w:rsid w:val="005B5DC7"/>
    <w:rsid w:val="005C46AA"/>
    <w:rsid w:val="005C6BD8"/>
    <w:rsid w:val="005C7251"/>
    <w:rsid w:val="005C7AA9"/>
    <w:rsid w:val="005D1ED7"/>
    <w:rsid w:val="005D7E92"/>
    <w:rsid w:val="005E1637"/>
    <w:rsid w:val="005E51AF"/>
    <w:rsid w:val="005E6869"/>
    <w:rsid w:val="005F182A"/>
    <w:rsid w:val="005F1F5D"/>
    <w:rsid w:val="005F7A16"/>
    <w:rsid w:val="006002DC"/>
    <w:rsid w:val="00602B8C"/>
    <w:rsid w:val="006034C4"/>
    <w:rsid w:val="0060505C"/>
    <w:rsid w:val="00611B55"/>
    <w:rsid w:val="00614648"/>
    <w:rsid w:val="00616822"/>
    <w:rsid w:val="00621CCF"/>
    <w:rsid w:val="00625E23"/>
    <w:rsid w:val="00627521"/>
    <w:rsid w:val="006306A8"/>
    <w:rsid w:val="0063575A"/>
    <w:rsid w:val="00640174"/>
    <w:rsid w:val="006419E7"/>
    <w:rsid w:val="00641AD3"/>
    <w:rsid w:val="00641C97"/>
    <w:rsid w:val="00642599"/>
    <w:rsid w:val="00644D75"/>
    <w:rsid w:val="00646BFB"/>
    <w:rsid w:val="00647B4B"/>
    <w:rsid w:val="00647ECC"/>
    <w:rsid w:val="00650EFB"/>
    <w:rsid w:val="006510E9"/>
    <w:rsid w:val="00651FF7"/>
    <w:rsid w:val="0065326A"/>
    <w:rsid w:val="00653B50"/>
    <w:rsid w:val="00653C08"/>
    <w:rsid w:val="00655F95"/>
    <w:rsid w:val="00656CC7"/>
    <w:rsid w:val="00657AF0"/>
    <w:rsid w:val="00657E0B"/>
    <w:rsid w:val="00657FF0"/>
    <w:rsid w:val="006629F9"/>
    <w:rsid w:val="00663C56"/>
    <w:rsid w:val="00665DAE"/>
    <w:rsid w:val="006664C3"/>
    <w:rsid w:val="00677294"/>
    <w:rsid w:val="006802A5"/>
    <w:rsid w:val="00682FA2"/>
    <w:rsid w:val="006A119C"/>
    <w:rsid w:val="006A19B7"/>
    <w:rsid w:val="006A2B5B"/>
    <w:rsid w:val="006B0B1C"/>
    <w:rsid w:val="006B3FF4"/>
    <w:rsid w:val="006C6150"/>
    <w:rsid w:val="006C6D4C"/>
    <w:rsid w:val="006D09B4"/>
    <w:rsid w:val="006D1DFD"/>
    <w:rsid w:val="006E6454"/>
    <w:rsid w:val="006F214C"/>
    <w:rsid w:val="006F2DF2"/>
    <w:rsid w:val="006F3415"/>
    <w:rsid w:val="006F6F82"/>
    <w:rsid w:val="007057F0"/>
    <w:rsid w:val="00706196"/>
    <w:rsid w:val="00707B3B"/>
    <w:rsid w:val="00715DD1"/>
    <w:rsid w:val="00716030"/>
    <w:rsid w:val="007219CE"/>
    <w:rsid w:val="007342E5"/>
    <w:rsid w:val="007353C0"/>
    <w:rsid w:val="00735538"/>
    <w:rsid w:val="00743106"/>
    <w:rsid w:val="0075545E"/>
    <w:rsid w:val="0076119A"/>
    <w:rsid w:val="00761AB2"/>
    <w:rsid w:val="00765C2D"/>
    <w:rsid w:val="00775E84"/>
    <w:rsid w:val="00783908"/>
    <w:rsid w:val="00794B34"/>
    <w:rsid w:val="007A1709"/>
    <w:rsid w:val="007A2C3D"/>
    <w:rsid w:val="007B41D0"/>
    <w:rsid w:val="007C08BD"/>
    <w:rsid w:val="007C217E"/>
    <w:rsid w:val="007C7D69"/>
    <w:rsid w:val="007D1E82"/>
    <w:rsid w:val="007E0C30"/>
    <w:rsid w:val="007F3BF3"/>
    <w:rsid w:val="007F7583"/>
    <w:rsid w:val="00802055"/>
    <w:rsid w:val="008046EB"/>
    <w:rsid w:val="0080724D"/>
    <w:rsid w:val="008173CF"/>
    <w:rsid w:val="00823753"/>
    <w:rsid w:val="008316DB"/>
    <w:rsid w:val="0083211C"/>
    <w:rsid w:val="00835A80"/>
    <w:rsid w:val="00837AE6"/>
    <w:rsid w:val="00840A0F"/>
    <w:rsid w:val="00847C0D"/>
    <w:rsid w:val="00865727"/>
    <w:rsid w:val="00866681"/>
    <w:rsid w:val="00872C88"/>
    <w:rsid w:val="00890E5D"/>
    <w:rsid w:val="0089782A"/>
    <w:rsid w:val="008A0A23"/>
    <w:rsid w:val="008A1A0C"/>
    <w:rsid w:val="008A3586"/>
    <w:rsid w:val="008B25A1"/>
    <w:rsid w:val="008B3EB4"/>
    <w:rsid w:val="008B667D"/>
    <w:rsid w:val="008B6A2C"/>
    <w:rsid w:val="008C09C4"/>
    <w:rsid w:val="008C23ED"/>
    <w:rsid w:val="008C58BF"/>
    <w:rsid w:val="008C7347"/>
    <w:rsid w:val="008C7470"/>
    <w:rsid w:val="008D2EC7"/>
    <w:rsid w:val="008D3B01"/>
    <w:rsid w:val="008D7796"/>
    <w:rsid w:val="008E10BC"/>
    <w:rsid w:val="008E147D"/>
    <w:rsid w:val="008E5B11"/>
    <w:rsid w:val="008F716F"/>
    <w:rsid w:val="00900C5B"/>
    <w:rsid w:val="00902134"/>
    <w:rsid w:val="00905522"/>
    <w:rsid w:val="00907DA4"/>
    <w:rsid w:val="009148E3"/>
    <w:rsid w:val="0092760B"/>
    <w:rsid w:val="00930FD3"/>
    <w:rsid w:val="00932DC3"/>
    <w:rsid w:val="009333AA"/>
    <w:rsid w:val="00935095"/>
    <w:rsid w:val="00935ABA"/>
    <w:rsid w:val="009360FC"/>
    <w:rsid w:val="00946327"/>
    <w:rsid w:val="00951EE2"/>
    <w:rsid w:val="00954D73"/>
    <w:rsid w:val="0095571C"/>
    <w:rsid w:val="0096422B"/>
    <w:rsid w:val="009650D8"/>
    <w:rsid w:val="009748FB"/>
    <w:rsid w:val="009755AD"/>
    <w:rsid w:val="00976AA8"/>
    <w:rsid w:val="009773EC"/>
    <w:rsid w:val="00981E7A"/>
    <w:rsid w:val="00982637"/>
    <w:rsid w:val="00990F55"/>
    <w:rsid w:val="009A1884"/>
    <w:rsid w:val="009A31C9"/>
    <w:rsid w:val="009A34A1"/>
    <w:rsid w:val="009A6BD8"/>
    <w:rsid w:val="009A6D63"/>
    <w:rsid w:val="009A73F6"/>
    <w:rsid w:val="009C20B2"/>
    <w:rsid w:val="009C4D62"/>
    <w:rsid w:val="009D0B82"/>
    <w:rsid w:val="009D4954"/>
    <w:rsid w:val="009D5078"/>
    <w:rsid w:val="009E0558"/>
    <w:rsid w:val="009E0DF7"/>
    <w:rsid w:val="009E1C08"/>
    <w:rsid w:val="009E202F"/>
    <w:rsid w:val="009E40F3"/>
    <w:rsid w:val="009E6983"/>
    <w:rsid w:val="009F040C"/>
    <w:rsid w:val="009F3047"/>
    <w:rsid w:val="00A04900"/>
    <w:rsid w:val="00A07D8A"/>
    <w:rsid w:val="00A11CE2"/>
    <w:rsid w:val="00A20E8C"/>
    <w:rsid w:val="00A30C0B"/>
    <w:rsid w:val="00A319ED"/>
    <w:rsid w:val="00A45D63"/>
    <w:rsid w:val="00A47406"/>
    <w:rsid w:val="00A550FC"/>
    <w:rsid w:val="00A63AEE"/>
    <w:rsid w:val="00A64A08"/>
    <w:rsid w:val="00A7018C"/>
    <w:rsid w:val="00A70B89"/>
    <w:rsid w:val="00A70E2F"/>
    <w:rsid w:val="00A74FEA"/>
    <w:rsid w:val="00A754BD"/>
    <w:rsid w:val="00A75D15"/>
    <w:rsid w:val="00A76E5B"/>
    <w:rsid w:val="00A7756A"/>
    <w:rsid w:val="00A802DE"/>
    <w:rsid w:val="00A81716"/>
    <w:rsid w:val="00A81DB3"/>
    <w:rsid w:val="00A84EF0"/>
    <w:rsid w:val="00A86E97"/>
    <w:rsid w:val="00A955CF"/>
    <w:rsid w:val="00AA1090"/>
    <w:rsid w:val="00AA1241"/>
    <w:rsid w:val="00AA2EED"/>
    <w:rsid w:val="00AA432A"/>
    <w:rsid w:val="00AA607D"/>
    <w:rsid w:val="00AA6E2C"/>
    <w:rsid w:val="00AB07FC"/>
    <w:rsid w:val="00AB519E"/>
    <w:rsid w:val="00AB7E2E"/>
    <w:rsid w:val="00AC517A"/>
    <w:rsid w:val="00AC548D"/>
    <w:rsid w:val="00AC630B"/>
    <w:rsid w:val="00AD02FB"/>
    <w:rsid w:val="00AD29BF"/>
    <w:rsid w:val="00AE075F"/>
    <w:rsid w:val="00AE1098"/>
    <w:rsid w:val="00AE1446"/>
    <w:rsid w:val="00AE27FD"/>
    <w:rsid w:val="00AE57C9"/>
    <w:rsid w:val="00AE5E79"/>
    <w:rsid w:val="00AE6DE0"/>
    <w:rsid w:val="00B10666"/>
    <w:rsid w:val="00B12A97"/>
    <w:rsid w:val="00B13C3D"/>
    <w:rsid w:val="00B157E1"/>
    <w:rsid w:val="00B166A9"/>
    <w:rsid w:val="00B16A05"/>
    <w:rsid w:val="00B17BED"/>
    <w:rsid w:val="00B202FD"/>
    <w:rsid w:val="00B210CC"/>
    <w:rsid w:val="00B225A1"/>
    <w:rsid w:val="00B25ACB"/>
    <w:rsid w:val="00B25ECF"/>
    <w:rsid w:val="00B268A7"/>
    <w:rsid w:val="00B30A93"/>
    <w:rsid w:val="00B346E3"/>
    <w:rsid w:val="00B35686"/>
    <w:rsid w:val="00B364DA"/>
    <w:rsid w:val="00B46BEE"/>
    <w:rsid w:val="00B50BF9"/>
    <w:rsid w:val="00B51EB2"/>
    <w:rsid w:val="00B51EBA"/>
    <w:rsid w:val="00B5261C"/>
    <w:rsid w:val="00B5585B"/>
    <w:rsid w:val="00B5628D"/>
    <w:rsid w:val="00B62606"/>
    <w:rsid w:val="00B62690"/>
    <w:rsid w:val="00B6431E"/>
    <w:rsid w:val="00B65D79"/>
    <w:rsid w:val="00B67AB9"/>
    <w:rsid w:val="00B70285"/>
    <w:rsid w:val="00B702CE"/>
    <w:rsid w:val="00B721A7"/>
    <w:rsid w:val="00B73739"/>
    <w:rsid w:val="00B77B07"/>
    <w:rsid w:val="00B818DE"/>
    <w:rsid w:val="00B92BA3"/>
    <w:rsid w:val="00BA2773"/>
    <w:rsid w:val="00BA28A5"/>
    <w:rsid w:val="00BA5F87"/>
    <w:rsid w:val="00BA79F7"/>
    <w:rsid w:val="00BB1683"/>
    <w:rsid w:val="00BB6524"/>
    <w:rsid w:val="00BB6613"/>
    <w:rsid w:val="00BB66A5"/>
    <w:rsid w:val="00BC3735"/>
    <w:rsid w:val="00BC66D9"/>
    <w:rsid w:val="00BD2CE3"/>
    <w:rsid w:val="00BD3726"/>
    <w:rsid w:val="00BE0FA0"/>
    <w:rsid w:val="00BE6DD8"/>
    <w:rsid w:val="00BF23CB"/>
    <w:rsid w:val="00BF3612"/>
    <w:rsid w:val="00BF497A"/>
    <w:rsid w:val="00BF7426"/>
    <w:rsid w:val="00C02B28"/>
    <w:rsid w:val="00C1171C"/>
    <w:rsid w:val="00C13B5F"/>
    <w:rsid w:val="00C17AB3"/>
    <w:rsid w:val="00C300F2"/>
    <w:rsid w:val="00C321C9"/>
    <w:rsid w:val="00C331BE"/>
    <w:rsid w:val="00C3555A"/>
    <w:rsid w:val="00C409F2"/>
    <w:rsid w:val="00C43E51"/>
    <w:rsid w:val="00C47DD7"/>
    <w:rsid w:val="00C5671C"/>
    <w:rsid w:val="00C6592A"/>
    <w:rsid w:val="00C801A0"/>
    <w:rsid w:val="00C838B9"/>
    <w:rsid w:val="00C92977"/>
    <w:rsid w:val="00C940BC"/>
    <w:rsid w:val="00CC269B"/>
    <w:rsid w:val="00CC29F3"/>
    <w:rsid w:val="00CC5C59"/>
    <w:rsid w:val="00CC6F62"/>
    <w:rsid w:val="00CD235D"/>
    <w:rsid w:val="00CD5591"/>
    <w:rsid w:val="00CE10CC"/>
    <w:rsid w:val="00CF2AB8"/>
    <w:rsid w:val="00CF3F96"/>
    <w:rsid w:val="00CF4C37"/>
    <w:rsid w:val="00CF55CF"/>
    <w:rsid w:val="00CF6519"/>
    <w:rsid w:val="00D008AB"/>
    <w:rsid w:val="00D01696"/>
    <w:rsid w:val="00D265BD"/>
    <w:rsid w:val="00D30F49"/>
    <w:rsid w:val="00D32294"/>
    <w:rsid w:val="00D35322"/>
    <w:rsid w:val="00D35B18"/>
    <w:rsid w:val="00D36525"/>
    <w:rsid w:val="00D37CEE"/>
    <w:rsid w:val="00D42D9F"/>
    <w:rsid w:val="00D50C1C"/>
    <w:rsid w:val="00D53BDA"/>
    <w:rsid w:val="00D64C77"/>
    <w:rsid w:val="00D66856"/>
    <w:rsid w:val="00D67780"/>
    <w:rsid w:val="00D725BD"/>
    <w:rsid w:val="00D76186"/>
    <w:rsid w:val="00D76968"/>
    <w:rsid w:val="00D83C03"/>
    <w:rsid w:val="00D84899"/>
    <w:rsid w:val="00D8571F"/>
    <w:rsid w:val="00D858B9"/>
    <w:rsid w:val="00D91064"/>
    <w:rsid w:val="00D9357D"/>
    <w:rsid w:val="00DA3393"/>
    <w:rsid w:val="00DB023D"/>
    <w:rsid w:val="00DB16DE"/>
    <w:rsid w:val="00DB45DF"/>
    <w:rsid w:val="00DB49FE"/>
    <w:rsid w:val="00DC00E7"/>
    <w:rsid w:val="00DD35F5"/>
    <w:rsid w:val="00DD3941"/>
    <w:rsid w:val="00DD5D21"/>
    <w:rsid w:val="00DD6665"/>
    <w:rsid w:val="00DE62BC"/>
    <w:rsid w:val="00DF0B1D"/>
    <w:rsid w:val="00DF75FB"/>
    <w:rsid w:val="00E06FC3"/>
    <w:rsid w:val="00E11D71"/>
    <w:rsid w:val="00E12DE7"/>
    <w:rsid w:val="00E13EBF"/>
    <w:rsid w:val="00E15446"/>
    <w:rsid w:val="00E3420C"/>
    <w:rsid w:val="00E40778"/>
    <w:rsid w:val="00E4342D"/>
    <w:rsid w:val="00E45C87"/>
    <w:rsid w:val="00E51D0F"/>
    <w:rsid w:val="00E5336E"/>
    <w:rsid w:val="00E54213"/>
    <w:rsid w:val="00E555EE"/>
    <w:rsid w:val="00E65759"/>
    <w:rsid w:val="00E73226"/>
    <w:rsid w:val="00E743D2"/>
    <w:rsid w:val="00E7454C"/>
    <w:rsid w:val="00E773BE"/>
    <w:rsid w:val="00E77E48"/>
    <w:rsid w:val="00E77E50"/>
    <w:rsid w:val="00E81DD8"/>
    <w:rsid w:val="00E8779D"/>
    <w:rsid w:val="00E87A9B"/>
    <w:rsid w:val="00E90165"/>
    <w:rsid w:val="00E97D24"/>
    <w:rsid w:val="00E97F04"/>
    <w:rsid w:val="00EA1C8A"/>
    <w:rsid w:val="00EA4187"/>
    <w:rsid w:val="00EA73B7"/>
    <w:rsid w:val="00EB3E73"/>
    <w:rsid w:val="00EC181A"/>
    <w:rsid w:val="00EC2949"/>
    <w:rsid w:val="00ED228F"/>
    <w:rsid w:val="00ED7440"/>
    <w:rsid w:val="00EE4399"/>
    <w:rsid w:val="00EE4BA3"/>
    <w:rsid w:val="00EE62E6"/>
    <w:rsid w:val="00EE6D35"/>
    <w:rsid w:val="00EF4FA7"/>
    <w:rsid w:val="00EF6354"/>
    <w:rsid w:val="00EF7E45"/>
    <w:rsid w:val="00F00B1D"/>
    <w:rsid w:val="00F04473"/>
    <w:rsid w:val="00F10E2A"/>
    <w:rsid w:val="00F13970"/>
    <w:rsid w:val="00F206C1"/>
    <w:rsid w:val="00F20B8D"/>
    <w:rsid w:val="00F3276A"/>
    <w:rsid w:val="00F376E5"/>
    <w:rsid w:val="00F403A9"/>
    <w:rsid w:val="00F404B1"/>
    <w:rsid w:val="00F408C2"/>
    <w:rsid w:val="00F46275"/>
    <w:rsid w:val="00F548C9"/>
    <w:rsid w:val="00F62C56"/>
    <w:rsid w:val="00F679FA"/>
    <w:rsid w:val="00F71AB8"/>
    <w:rsid w:val="00F76E36"/>
    <w:rsid w:val="00F801FB"/>
    <w:rsid w:val="00F82F6D"/>
    <w:rsid w:val="00F90029"/>
    <w:rsid w:val="00F9597B"/>
    <w:rsid w:val="00FA016B"/>
    <w:rsid w:val="00FA6295"/>
    <w:rsid w:val="00FB6170"/>
    <w:rsid w:val="00FD10D9"/>
    <w:rsid w:val="00FD1994"/>
    <w:rsid w:val="00FD395A"/>
    <w:rsid w:val="00FD4182"/>
    <w:rsid w:val="00FE1AB5"/>
    <w:rsid w:val="00FE3524"/>
    <w:rsid w:val="00FE478E"/>
    <w:rsid w:val="00FE4D6A"/>
    <w:rsid w:val="00FE6726"/>
    <w:rsid w:val="00FF6BB4"/>
    <w:rsid w:val="00FF6C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07EA1E6"/>
  <w15:docId w15:val="{40FFD26D-AF9B-4871-951F-68D7F11C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B210CC"/>
    <w:pPr>
      <w:pBdr>
        <w:bottom w:val="single" w:sz="4" w:space="1" w:color="auto"/>
      </w:pBdr>
      <w:ind w:right="270"/>
    </w:pPr>
    <w:rPr>
      <w:b/>
    </w:rPr>
  </w:style>
  <w:style w:type="paragraph" w:styleId="ListParagraph">
    <w:name w:val="List Paragraph"/>
    <w:basedOn w:val="List"/>
    <w:autoRedefine/>
    <w:uiPriority w:val="34"/>
    <w:qFormat/>
    <w:rsid w:val="008C7347"/>
    <w:pPr>
      <w:widowControl w:val="0"/>
      <w:numPr>
        <w:numId w:val="13"/>
      </w:numPr>
      <w:autoSpaceDE w:val="0"/>
      <w:autoSpaceDN w:val="0"/>
      <w:adjustRightInd w:val="0"/>
      <w:spacing w:line="360" w:lineRule="auto"/>
      <w:ind w:left="1260" w:hanging="540"/>
      <w:contextualSpacing w:val="0"/>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link w:val="DecisionBodyChar"/>
    <w:rsid w:val="0048609C"/>
    <w:pPr>
      <w:widowControl w:val="0"/>
      <w:numPr>
        <w:numId w:val="1"/>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uiPriority w:val="99"/>
    <w:semiHidden/>
    <w:unhideWhenUsed/>
    <w:rsid w:val="00052084"/>
    <w:rPr>
      <w:color w:val="605E5C"/>
      <w:shd w:val="clear" w:color="auto" w:fill="E1DFDD"/>
    </w:rPr>
  </w:style>
  <w:style w:type="paragraph" w:styleId="Revision">
    <w:name w:val="Revision"/>
    <w:hidden/>
    <w:uiPriority w:val="99"/>
    <w:semiHidden/>
    <w:rsid w:val="00783908"/>
    <w:rPr>
      <w:sz w:val="24"/>
      <w:szCs w:val="24"/>
      <w:lang w:val="en-US" w:eastAsia="en-US"/>
    </w:rPr>
  </w:style>
  <w:style w:type="paragraph" w:customStyle="1" w:styleId="TableParagraph">
    <w:name w:val="Table Paragraph"/>
    <w:basedOn w:val="Normal"/>
    <w:uiPriority w:val="1"/>
    <w:qFormat/>
    <w:rsid w:val="00017A12"/>
    <w:pPr>
      <w:widowControl w:val="0"/>
      <w:autoSpaceDE w:val="0"/>
      <w:autoSpaceDN w:val="0"/>
      <w:adjustRightInd w:val="0"/>
      <w:spacing w:line="256" w:lineRule="exact"/>
      <w:ind w:left="50"/>
    </w:pPr>
    <w:rPr>
      <w:rFonts w:ascii="Arial" w:hAnsi="Arial" w:cs="Arial"/>
      <w:lang w:val="en-CA" w:eastAsia="en-CA"/>
    </w:rPr>
  </w:style>
  <w:style w:type="table" w:customStyle="1" w:styleId="TableGrid1">
    <w:name w:val="Table Grid1"/>
    <w:basedOn w:val="TableNormal"/>
    <w:next w:val="TableGrid"/>
    <w:rsid w:val="00651FF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4894"/>
    <w:pPr>
      <w:spacing w:before="100" w:beforeAutospacing="1" w:after="100" w:afterAutospacing="1"/>
    </w:pPr>
    <w:rPr>
      <w:lang w:val="en-CA" w:eastAsia="en-CA"/>
    </w:rPr>
  </w:style>
  <w:style w:type="character" w:customStyle="1" w:styleId="normaltextrun">
    <w:name w:val="normaltextrun"/>
    <w:rsid w:val="00154894"/>
  </w:style>
  <w:style w:type="character" w:customStyle="1" w:styleId="eop">
    <w:name w:val="eop"/>
    <w:rsid w:val="00154894"/>
  </w:style>
  <w:style w:type="character" w:customStyle="1" w:styleId="bcx0">
    <w:name w:val="bcx0"/>
    <w:rsid w:val="00B346E3"/>
  </w:style>
  <w:style w:type="table" w:customStyle="1" w:styleId="TableGrid2">
    <w:name w:val="Table Grid2"/>
    <w:basedOn w:val="TableNormal"/>
    <w:next w:val="TableGrid"/>
    <w:uiPriority w:val="59"/>
    <w:rsid w:val="005B5DC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lexhl">
    <w:name w:val="solexhl"/>
    <w:basedOn w:val="DefaultParagraphFont"/>
    <w:rsid w:val="00D64C77"/>
  </w:style>
  <w:style w:type="character" w:customStyle="1" w:styleId="DecisionBodyChar">
    <w:name w:val="DecisionBody Char"/>
    <w:link w:val="DecisionBody"/>
    <w:rsid w:val="00D64C77"/>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51925788">
      <w:bodyDiv w:val="1"/>
      <w:marLeft w:val="0"/>
      <w:marRight w:val="0"/>
      <w:marTop w:val="0"/>
      <w:marBottom w:val="0"/>
      <w:divBdr>
        <w:top w:val="none" w:sz="0" w:space="0" w:color="auto"/>
        <w:left w:val="none" w:sz="0" w:space="0" w:color="auto"/>
        <w:bottom w:val="none" w:sz="0" w:space="0" w:color="auto"/>
        <w:right w:val="none" w:sz="0" w:space="0" w:color="auto"/>
      </w:divBdr>
      <w:divsChild>
        <w:div w:id="486283551">
          <w:marLeft w:val="0"/>
          <w:marRight w:val="0"/>
          <w:marTop w:val="0"/>
          <w:marBottom w:val="0"/>
          <w:divBdr>
            <w:top w:val="none" w:sz="0" w:space="0" w:color="auto"/>
            <w:left w:val="none" w:sz="0" w:space="0" w:color="auto"/>
            <w:bottom w:val="none" w:sz="0" w:space="0" w:color="auto"/>
            <w:right w:val="none" w:sz="0" w:space="0" w:color="auto"/>
          </w:divBdr>
        </w:div>
        <w:div w:id="896014114">
          <w:marLeft w:val="0"/>
          <w:marRight w:val="0"/>
          <w:marTop w:val="0"/>
          <w:marBottom w:val="0"/>
          <w:divBdr>
            <w:top w:val="none" w:sz="0" w:space="0" w:color="auto"/>
            <w:left w:val="none" w:sz="0" w:space="0" w:color="auto"/>
            <w:bottom w:val="none" w:sz="0" w:space="0" w:color="auto"/>
            <w:right w:val="none" w:sz="0" w:space="0" w:color="auto"/>
          </w:divBdr>
        </w:div>
        <w:div w:id="1114903879">
          <w:marLeft w:val="0"/>
          <w:marRight w:val="0"/>
          <w:marTop w:val="0"/>
          <w:marBottom w:val="0"/>
          <w:divBdr>
            <w:top w:val="none" w:sz="0" w:space="0" w:color="auto"/>
            <w:left w:val="none" w:sz="0" w:space="0" w:color="auto"/>
            <w:bottom w:val="none" w:sz="0" w:space="0" w:color="auto"/>
            <w:right w:val="none" w:sz="0" w:space="0" w:color="auto"/>
          </w:divBdr>
        </w:div>
        <w:div w:id="2067140364">
          <w:marLeft w:val="0"/>
          <w:marRight w:val="0"/>
          <w:marTop w:val="0"/>
          <w:marBottom w:val="0"/>
          <w:divBdr>
            <w:top w:val="none" w:sz="0" w:space="0" w:color="auto"/>
            <w:left w:val="none" w:sz="0" w:space="0" w:color="auto"/>
            <w:bottom w:val="none" w:sz="0" w:space="0" w:color="auto"/>
            <w:right w:val="none" w:sz="0" w:space="0" w:color="auto"/>
          </w:divBdr>
        </w:div>
      </w:divsChild>
    </w:div>
    <w:div w:id="157380859">
      <w:bodyDiv w:val="1"/>
      <w:marLeft w:val="0"/>
      <w:marRight w:val="0"/>
      <w:marTop w:val="0"/>
      <w:marBottom w:val="0"/>
      <w:divBdr>
        <w:top w:val="none" w:sz="0" w:space="0" w:color="auto"/>
        <w:left w:val="none" w:sz="0" w:space="0" w:color="auto"/>
        <w:bottom w:val="none" w:sz="0" w:space="0" w:color="auto"/>
        <w:right w:val="none" w:sz="0" w:space="0" w:color="auto"/>
      </w:divBdr>
    </w:div>
    <w:div w:id="288366860">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381292208">
      <w:bodyDiv w:val="1"/>
      <w:marLeft w:val="0"/>
      <w:marRight w:val="0"/>
      <w:marTop w:val="0"/>
      <w:marBottom w:val="0"/>
      <w:divBdr>
        <w:top w:val="none" w:sz="0" w:space="0" w:color="auto"/>
        <w:left w:val="none" w:sz="0" w:space="0" w:color="auto"/>
        <w:bottom w:val="none" w:sz="0" w:space="0" w:color="auto"/>
        <w:right w:val="none" w:sz="0" w:space="0" w:color="auto"/>
      </w:divBdr>
      <w:divsChild>
        <w:div w:id="761872963">
          <w:marLeft w:val="0"/>
          <w:marRight w:val="0"/>
          <w:marTop w:val="0"/>
          <w:marBottom w:val="0"/>
          <w:divBdr>
            <w:top w:val="none" w:sz="0" w:space="0" w:color="auto"/>
            <w:left w:val="none" w:sz="0" w:space="0" w:color="auto"/>
            <w:bottom w:val="none" w:sz="0" w:space="0" w:color="auto"/>
            <w:right w:val="none" w:sz="0" w:space="0" w:color="auto"/>
          </w:divBdr>
        </w:div>
        <w:div w:id="807670252">
          <w:marLeft w:val="0"/>
          <w:marRight w:val="0"/>
          <w:marTop w:val="0"/>
          <w:marBottom w:val="0"/>
          <w:divBdr>
            <w:top w:val="none" w:sz="0" w:space="0" w:color="auto"/>
            <w:left w:val="none" w:sz="0" w:space="0" w:color="auto"/>
            <w:bottom w:val="none" w:sz="0" w:space="0" w:color="auto"/>
            <w:right w:val="none" w:sz="0" w:space="0" w:color="auto"/>
          </w:divBdr>
        </w:div>
        <w:div w:id="247542472">
          <w:marLeft w:val="0"/>
          <w:marRight w:val="0"/>
          <w:marTop w:val="0"/>
          <w:marBottom w:val="0"/>
          <w:divBdr>
            <w:top w:val="none" w:sz="0" w:space="0" w:color="auto"/>
            <w:left w:val="none" w:sz="0" w:space="0" w:color="auto"/>
            <w:bottom w:val="none" w:sz="0" w:space="0" w:color="auto"/>
            <w:right w:val="none" w:sz="0" w:space="0" w:color="auto"/>
          </w:divBdr>
        </w:div>
        <w:div w:id="1694964208">
          <w:marLeft w:val="0"/>
          <w:marRight w:val="0"/>
          <w:marTop w:val="0"/>
          <w:marBottom w:val="0"/>
          <w:divBdr>
            <w:top w:val="none" w:sz="0" w:space="0" w:color="auto"/>
            <w:left w:val="none" w:sz="0" w:space="0" w:color="auto"/>
            <w:bottom w:val="none" w:sz="0" w:space="0" w:color="auto"/>
            <w:right w:val="none" w:sz="0" w:space="0" w:color="auto"/>
          </w:divBdr>
        </w:div>
        <w:div w:id="1263144924">
          <w:marLeft w:val="0"/>
          <w:marRight w:val="0"/>
          <w:marTop w:val="0"/>
          <w:marBottom w:val="0"/>
          <w:divBdr>
            <w:top w:val="none" w:sz="0" w:space="0" w:color="auto"/>
            <w:left w:val="none" w:sz="0" w:space="0" w:color="auto"/>
            <w:bottom w:val="none" w:sz="0" w:space="0" w:color="auto"/>
            <w:right w:val="none" w:sz="0" w:space="0" w:color="auto"/>
          </w:divBdr>
        </w:div>
        <w:div w:id="1606226432">
          <w:marLeft w:val="0"/>
          <w:marRight w:val="0"/>
          <w:marTop w:val="0"/>
          <w:marBottom w:val="0"/>
          <w:divBdr>
            <w:top w:val="none" w:sz="0" w:space="0" w:color="auto"/>
            <w:left w:val="none" w:sz="0" w:space="0" w:color="auto"/>
            <w:bottom w:val="none" w:sz="0" w:space="0" w:color="auto"/>
            <w:right w:val="none" w:sz="0" w:space="0" w:color="auto"/>
          </w:divBdr>
        </w:div>
      </w:divsChild>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847449262">
      <w:bodyDiv w:val="1"/>
      <w:marLeft w:val="0"/>
      <w:marRight w:val="0"/>
      <w:marTop w:val="0"/>
      <w:marBottom w:val="0"/>
      <w:divBdr>
        <w:top w:val="none" w:sz="0" w:space="0" w:color="auto"/>
        <w:left w:val="none" w:sz="0" w:space="0" w:color="auto"/>
        <w:bottom w:val="none" w:sz="0" w:space="0" w:color="auto"/>
        <w:right w:val="none" w:sz="0" w:space="0" w:color="auto"/>
      </w:divBdr>
    </w:div>
    <w:div w:id="916523495">
      <w:bodyDiv w:val="1"/>
      <w:marLeft w:val="0"/>
      <w:marRight w:val="0"/>
      <w:marTop w:val="0"/>
      <w:marBottom w:val="0"/>
      <w:divBdr>
        <w:top w:val="none" w:sz="0" w:space="0" w:color="auto"/>
        <w:left w:val="none" w:sz="0" w:space="0" w:color="auto"/>
        <w:bottom w:val="none" w:sz="0" w:space="0" w:color="auto"/>
        <w:right w:val="none" w:sz="0" w:space="0" w:color="auto"/>
      </w:divBdr>
      <w:divsChild>
        <w:div w:id="101386207">
          <w:marLeft w:val="0"/>
          <w:marRight w:val="0"/>
          <w:marTop w:val="0"/>
          <w:marBottom w:val="0"/>
          <w:divBdr>
            <w:top w:val="none" w:sz="0" w:space="0" w:color="auto"/>
            <w:left w:val="none" w:sz="0" w:space="0" w:color="auto"/>
            <w:bottom w:val="none" w:sz="0" w:space="0" w:color="auto"/>
            <w:right w:val="none" w:sz="0" w:space="0" w:color="auto"/>
          </w:divBdr>
        </w:div>
        <w:div w:id="2034186718">
          <w:marLeft w:val="0"/>
          <w:marRight w:val="0"/>
          <w:marTop w:val="0"/>
          <w:marBottom w:val="0"/>
          <w:divBdr>
            <w:top w:val="none" w:sz="0" w:space="0" w:color="auto"/>
            <w:left w:val="none" w:sz="0" w:space="0" w:color="auto"/>
            <w:bottom w:val="none" w:sz="0" w:space="0" w:color="auto"/>
            <w:right w:val="none" w:sz="0" w:space="0" w:color="auto"/>
          </w:divBdr>
        </w:div>
        <w:div w:id="70549085">
          <w:marLeft w:val="0"/>
          <w:marRight w:val="0"/>
          <w:marTop w:val="0"/>
          <w:marBottom w:val="0"/>
          <w:divBdr>
            <w:top w:val="none" w:sz="0" w:space="0" w:color="auto"/>
            <w:left w:val="none" w:sz="0" w:space="0" w:color="auto"/>
            <w:bottom w:val="none" w:sz="0" w:space="0" w:color="auto"/>
            <w:right w:val="none" w:sz="0" w:space="0" w:color="auto"/>
          </w:divBdr>
        </w:div>
        <w:div w:id="1222904809">
          <w:marLeft w:val="0"/>
          <w:marRight w:val="0"/>
          <w:marTop w:val="0"/>
          <w:marBottom w:val="0"/>
          <w:divBdr>
            <w:top w:val="none" w:sz="0" w:space="0" w:color="auto"/>
            <w:left w:val="none" w:sz="0" w:space="0" w:color="auto"/>
            <w:bottom w:val="none" w:sz="0" w:space="0" w:color="auto"/>
            <w:right w:val="none" w:sz="0" w:space="0" w:color="auto"/>
          </w:divBdr>
        </w:div>
        <w:div w:id="1169708639">
          <w:marLeft w:val="0"/>
          <w:marRight w:val="0"/>
          <w:marTop w:val="0"/>
          <w:marBottom w:val="0"/>
          <w:divBdr>
            <w:top w:val="none" w:sz="0" w:space="0" w:color="auto"/>
            <w:left w:val="none" w:sz="0" w:space="0" w:color="auto"/>
            <w:bottom w:val="none" w:sz="0" w:space="0" w:color="auto"/>
            <w:right w:val="none" w:sz="0" w:space="0" w:color="auto"/>
          </w:divBdr>
        </w:div>
        <w:div w:id="675377298">
          <w:marLeft w:val="0"/>
          <w:marRight w:val="0"/>
          <w:marTop w:val="0"/>
          <w:marBottom w:val="0"/>
          <w:divBdr>
            <w:top w:val="none" w:sz="0" w:space="0" w:color="auto"/>
            <w:left w:val="none" w:sz="0" w:space="0" w:color="auto"/>
            <w:bottom w:val="none" w:sz="0" w:space="0" w:color="auto"/>
            <w:right w:val="none" w:sz="0" w:space="0" w:color="auto"/>
          </w:divBdr>
        </w:div>
      </w:divsChild>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47559777">
      <w:bodyDiv w:val="1"/>
      <w:marLeft w:val="0"/>
      <w:marRight w:val="0"/>
      <w:marTop w:val="0"/>
      <w:marBottom w:val="0"/>
      <w:divBdr>
        <w:top w:val="none" w:sz="0" w:space="0" w:color="auto"/>
        <w:left w:val="none" w:sz="0" w:space="0" w:color="auto"/>
        <w:bottom w:val="none" w:sz="0" w:space="0" w:color="auto"/>
        <w:right w:val="none" w:sz="0" w:space="0" w:color="auto"/>
      </w:divBdr>
      <w:divsChild>
        <w:div w:id="22556181">
          <w:marLeft w:val="0"/>
          <w:marRight w:val="0"/>
          <w:marTop w:val="0"/>
          <w:marBottom w:val="0"/>
          <w:divBdr>
            <w:top w:val="none" w:sz="0" w:space="0" w:color="auto"/>
            <w:left w:val="none" w:sz="0" w:space="0" w:color="auto"/>
            <w:bottom w:val="none" w:sz="0" w:space="0" w:color="auto"/>
            <w:right w:val="none" w:sz="0" w:space="0" w:color="auto"/>
          </w:divBdr>
        </w:div>
        <w:div w:id="815680863">
          <w:marLeft w:val="0"/>
          <w:marRight w:val="0"/>
          <w:marTop w:val="0"/>
          <w:marBottom w:val="0"/>
          <w:divBdr>
            <w:top w:val="none" w:sz="0" w:space="0" w:color="auto"/>
            <w:left w:val="none" w:sz="0" w:space="0" w:color="auto"/>
            <w:bottom w:val="none" w:sz="0" w:space="0" w:color="auto"/>
            <w:right w:val="none" w:sz="0" w:space="0" w:color="auto"/>
          </w:divBdr>
        </w:div>
        <w:div w:id="1217820168">
          <w:marLeft w:val="0"/>
          <w:marRight w:val="0"/>
          <w:marTop w:val="0"/>
          <w:marBottom w:val="0"/>
          <w:divBdr>
            <w:top w:val="none" w:sz="0" w:space="0" w:color="auto"/>
            <w:left w:val="none" w:sz="0" w:space="0" w:color="auto"/>
            <w:bottom w:val="none" w:sz="0" w:space="0" w:color="auto"/>
            <w:right w:val="none" w:sz="0" w:space="0" w:color="auto"/>
          </w:divBdr>
        </w:div>
        <w:div w:id="1245265971">
          <w:marLeft w:val="0"/>
          <w:marRight w:val="0"/>
          <w:marTop w:val="0"/>
          <w:marBottom w:val="0"/>
          <w:divBdr>
            <w:top w:val="none" w:sz="0" w:space="0" w:color="auto"/>
            <w:left w:val="none" w:sz="0" w:space="0" w:color="auto"/>
            <w:bottom w:val="none" w:sz="0" w:space="0" w:color="auto"/>
            <w:right w:val="none" w:sz="0" w:space="0" w:color="auto"/>
          </w:divBdr>
        </w:div>
        <w:div w:id="1669943697">
          <w:marLeft w:val="0"/>
          <w:marRight w:val="0"/>
          <w:marTop w:val="0"/>
          <w:marBottom w:val="0"/>
          <w:divBdr>
            <w:top w:val="none" w:sz="0" w:space="0" w:color="auto"/>
            <w:left w:val="none" w:sz="0" w:space="0" w:color="auto"/>
            <w:bottom w:val="none" w:sz="0" w:space="0" w:color="auto"/>
            <w:right w:val="none" w:sz="0" w:space="0" w:color="auto"/>
          </w:divBdr>
        </w:div>
        <w:div w:id="1968972535">
          <w:marLeft w:val="0"/>
          <w:marRight w:val="0"/>
          <w:marTop w:val="0"/>
          <w:marBottom w:val="0"/>
          <w:divBdr>
            <w:top w:val="none" w:sz="0" w:space="0" w:color="auto"/>
            <w:left w:val="none" w:sz="0" w:space="0" w:color="auto"/>
            <w:bottom w:val="none" w:sz="0" w:space="0" w:color="auto"/>
            <w:right w:val="none" w:sz="0" w:space="0" w:color="auto"/>
          </w:divBdr>
        </w:div>
      </w:divsChild>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36713537">
      <w:bodyDiv w:val="1"/>
      <w:marLeft w:val="0"/>
      <w:marRight w:val="0"/>
      <w:marTop w:val="0"/>
      <w:marBottom w:val="0"/>
      <w:divBdr>
        <w:top w:val="none" w:sz="0" w:space="0" w:color="auto"/>
        <w:left w:val="none" w:sz="0" w:space="0" w:color="auto"/>
        <w:bottom w:val="none" w:sz="0" w:space="0" w:color="auto"/>
        <w:right w:val="none" w:sz="0" w:space="0" w:color="auto"/>
      </w:divBdr>
    </w:div>
    <w:div w:id="1666400597">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1847597336">
      <w:bodyDiv w:val="1"/>
      <w:marLeft w:val="0"/>
      <w:marRight w:val="0"/>
      <w:marTop w:val="0"/>
      <w:marBottom w:val="0"/>
      <w:divBdr>
        <w:top w:val="none" w:sz="0" w:space="0" w:color="auto"/>
        <w:left w:val="none" w:sz="0" w:space="0" w:color="auto"/>
        <w:bottom w:val="none" w:sz="0" w:space="0" w:color="auto"/>
        <w:right w:val="none" w:sz="0" w:space="0" w:color="auto"/>
      </w:divBdr>
      <w:divsChild>
        <w:div w:id="875044860">
          <w:marLeft w:val="0"/>
          <w:marRight w:val="0"/>
          <w:marTop w:val="0"/>
          <w:marBottom w:val="0"/>
          <w:divBdr>
            <w:top w:val="none" w:sz="0" w:space="0" w:color="auto"/>
            <w:left w:val="none" w:sz="0" w:space="0" w:color="auto"/>
            <w:bottom w:val="none" w:sz="0" w:space="0" w:color="auto"/>
            <w:right w:val="none" w:sz="0" w:space="0" w:color="auto"/>
          </w:divBdr>
        </w:div>
        <w:div w:id="1871529578">
          <w:marLeft w:val="0"/>
          <w:marRight w:val="0"/>
          <w:marTop w:val="0"/>
          <w:marBottom w:val="0"/>
          <w:divBdr>
            <w:top w:val="none" w:sz="0" w:space="0" w:color="auto"/>
            <w:left w:val="none" w:sz="0" w:space="0" w:color="auto"/>
            <w:bottom w:val="none" w:sz="0" w:space="0" w:color="auto"/>
            <w:right w:val="none" w:sz="0" w:space="0" w:color="auto"/>
          </w:divBdr>
        </w:div>
        <w:div w:id="1877696982">
          <w:marLeft w:val="0"/>
          <w:marRight w:val="0"/>
          <w:marTop w:val="0"/>
          <w:marBottom w:val="0"/>
          <w:divBdr>
            <w:top w:val="none" w:sz="0" w:space="0" w:color="auto"/>
            <w:left w:val="none" w:sz="0" w:space="0" w:color="auto"/>
            <w:bottom w:val="none" w:sz="0" w:space="0" w:color="auto"/>
            <w:right w:val="none" w:sz="0" w:space="0" w:color="auto"/>
          </w:divBdr>
        </w:div>
        <w:div w:id="2041973523">
          <w:marLeft w:val="0"/>
          <w:marRight w:val="0"/>
          <w:marTop w:val="0"/>
          <w:marBottom w:val="0"/>
          <w:divBdr>
            <w:top w:val="none" w:sz="0" w:space="0" w:color="auto"/>
            <w:left w:val="none" w:sz="0" w:space="0" w:color="auto"/>
            <w:bottom w:val="none" w:sz="0" w:space="0" w:color="auto"/>
            <w:right w:val="none" w:sz="0" w:space="0" w:color="auto"/>
          </w:divBdr>
        </w:div>
      </w:divsChild>
    </w:div>
    <w:div w:id="1893227898">
      <w:bodyDiv w:val="1"/>
      <w:marLeft w:val="0"/>
      <w:marRight w:val="0"/>
      <w:marTop w:val="0"/>
      <w:marBottom w:val="0"/>
      <w:divBdr>
        <w:top w:val="none" w:sz="0" w:space="0" w:color="auto"/>
        <w:left w:val="none" w:sz="0" w:space="0" w:color="auto"/>
        <w:bottom w:val="none" w:sz="0" w:space="0" w:color="auto"/>
        <w:right w:val="none" w:sz="0" w:space="0" w:color="auto"/>
      </w:divBdr>
    </w:div>
    <w:div w:id="2063357394">
      <w:bodyDiv w:val="1"/>
      <w:marLeft w:val="0"/>
      <w:marRight w:val="0"/>
      <w:marTop w:val="0"/>
      <w:marBottom w:val="0"/>
      <w:divBdr>
        <w:top w:val="none" w:sz="0" w:space="0" w:color="auto"/>
        <w:left w:val="none" w:sz="0" w:space="0" w:color="auto"/>
        <w:bottom w:val="none" w:sz="0" w:space="0" w:color="auto"/>
        <w:right w:val="none" w:sz="0" w:space="0" w:color="auto"/>
      </w:divBdr>
    </w:div>
    <w:div w:id="2064595071">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28B21723D9C1419A0BF669C332209A" ma:contentTypeVersion="13" ma:contentTypeDescription="Create a new document." ma:contentTypeScope="" ma:versionID="96de8d73b41a831958afee17619e6786">
  <xsd:schema xmlns:xsd="http://www.w3.org/2001/XMLSchema" xmlns:xs="http://www.w3.org/2001/XMLSchema" xmlns:p="http://schemas.microsoft.com/office/2006/metadata/properties" xmlns:ns3="f386fd7a-8638-4ae6-8ccd-568e2bc2aded" xmlns:ns4="7bf905f1-1c78-47ae-8201-ef7d2ceea735" targetNamespace="http://schemas.microsoft.com/office/2006/metadata/properties" ma:root="true" ma:fieldsID="35ed8bb9ccb3c9adb0f674022a15b859" ns3:_="" ns4:_="">
    <xsd:import namespace="f386fd7a-8638-4ae6-8ccd-568e2bc2aded"/>
    <xsd:import namespace="7bf905f1-1c78-47ae-8201-ef7d2ceea7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6fd7a-8638-4ae6-8ccd-568e2bc2a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905f1-1c78-47ae-8201-ef7d2ceea7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37FF-8E3F-4142-9F68-6D96CEF3EF1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bf905f1-1c78-47ae-8201-ef7d2ceea735"/>
    <ds:schemaRef ds:uri="http://purl.org/dc/terms/"/>
    <ds:schemaRef ds:uri="http://schemas.openxmlformats.org/package/2006/metadata/core-properties"/>
    <ds:schemaRef ds:uri="f386fd7a-8638-4ae6-8ccd-568e2bc2aded"/>
    <ds:schemaRef ds:uri="http://www.w3.org/XML/1998/namespace"/>
    <ds:schemaRef ds:uri="http://purl.org/dc/dcmitype/"/>
  </ds:schemaRefs>
</ds:datastoreItem>
</file>

<file path=customXml/itemProps2.xml><?xml version="1.0" encoding="utf-8"?>
<ds:datastoreItem xmlns:ds="http://schemas.openxmlformats.org/officeDocument/2006/customXml" ds:itemID="{E994A5D5-BC1A-4949-9D62-68C1ACBDD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6fd7a-8638-4ae6-8ccd-568e2bc2aded"/>
    <ds:schemaRef ds:uri="7bf905f1-1c78-47ae-8201-ef7d2cee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6DFC7-CC07-4965-8599-3FFBD9EA924E}">
  <ds:schemaRefs>
    <ds:schemaRef ds:uri="http://schemas.microsoft.com/sharepoint/v3/contenttype/forms"/>
  </ds:schemaRefs>
</ds:datastoreItem>
</file>

<file path=customXml/itemProps4.xml><?xml version="1.0" encoding="utf-8"?>
<ds:datastoreItem xmlns:ds="http://schemas.openxmlformats.org/officeDocument/2006/customXml" ds:itemID="{CD8BB0B5-6DBD-4EF0-8196-06D82955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4198</Words>
  <Characters>21559</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25706</CharactersWithSpaces>
  <SharedDoc>false</SharedDoc>
  <HLinks>
    <vt:vector size="6" baseType="variant">
      <vt:variant>
        <vt:i4>65630</vt:i4>
      </vt:variant>
      <vt:variant>
        <vt:i4>2</vt:i4>
      </vt:variant>
      <vt:variant>
        <vt:i4>0</vt:i4>
      </vt:variant>
      <vt:variant>
        <vt:i4>5</vt:i4>
      </vt:variant>
      <vt:variant>
        <vt:lpwstr>http://www.olt.gov.on.ca/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Cosentino, Yazzie (MAG)</cp:lastModifiedBy>
  <cp:revision>3</cp:revision>
  <cp:lastPrinted>2021-12-15T19:07:00Z</cp:lastPrinted>
  <dcterms:created xsi:type="dcterms:W3CDTF">2021-12-15T19:05:00Z</dcterms:created>
  <dcterms:modified xsi:type="dcterms:W3CDTF">2021-12-15T19:09:00Z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0x010100EA28B21723D9C1419A0BF669C332209A</vt:lpwstr>
  </property>
  <property fmtid="{D5CDD505-2E9C-101B-9397-08002B2CF9AE}" pid="3" name="MSIP_Label_034a106e-6316-442c-ad35-738afd673d2b_Enabled">
    <vt:lpwstr>true</vt:lpwstr>
  </property>
  <property fmtid="{D5CDD505-2E9C-101B-9397-08002B2CF9AE}" pid="4" name="MSIP_Label_034a106e-6316-442c-ad35-738afd673d2b_SetDate">
    <vt:lpwstr>2021-10-04T21:35:47Z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